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8"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18008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July 15, 2024, there were 3,863,057,248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203200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168910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6"/>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8"/>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6: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7: Equity and Share-Based Compensation</w:t>
            </w:r>
          </w:p>
        </w:tc>
        <w:tc>
          <w:tcPr>
            <w:tcW w:w="160" w:type="dxa"/>
            <w:vAlign w:val="bottom"/>
            <w:tcBorders>
              <w:top w:val="single" w:sz="8" w:color="0000FF"/>
            </w:tcBorders>
            <w:gridSpan w:val="2"/>
          </w:tcPr>
          <w:p>
            <w:pPr>
              <w:spacing w:after="0"/>
              <w:rPr>
                <w:sz w:val="18"/>
                <w:szCs w:val="18"/>
                <w:color w:val="auto"/>
              </w:rPr>
            </w:pP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8: Supplemental Financial Information</w:t>
            </w:r>
          </w:p>
        </w:tc>
        <w:tc>
          <w:tcPr>
            <w:tcW w:w="284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9: Commitments and Contingencies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19"/>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and six months ended June 30, 2024.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 In evaluating forward-looking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jc w:val="both"/>
        <w:ind w:left="660" w:right="9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8"/>
          </w:cols>
          <w:pgMar w:left="652" w:top="1417"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29,688</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30,513</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59,746</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7,961</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8,849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16,784</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0" w:type="dxa"/>
            <w:vAlign w:val="bottom"/>
          </w:tcPr>
          <w:p>
            <w:pPr>
              <w:spacing w:after="0"/>
              <w:rPr>
                <w:sz w:val="1"/>
                <w:szCs w:val="1"/>
                <w:color w:val="auto"/>
              </w:rPr>
            </w:pP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1,922</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2,100</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3,940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9,630</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9,317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19,487</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2,153</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2,195</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4,328</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1,387</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1,343</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2,762</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23,053</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23,804</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47,301</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6,635</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6,709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12,445</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(1,026)</w:t>
            </w: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4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(434)</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(137)</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5,175</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5,726</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10,280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(1,336)</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(1,537)</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(2,663)</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3,839</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4,189</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7,616</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(169)</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3,929</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4,248</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7,785</w:t>
            </w: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1.01</w:t>
            </w:r>
          </w:p>
        </w:tc>
        <w:tc>
          <w:tcPr>
            <w:tcW w:w="6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1.02</w:t>
            </w:r>
          </w:p>
        </w:tc>
        <w:tc>
          <w:tcPr>
            <w:tcW w:w="4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1.98</w:t>
            </w:r>
          </w:p>
        </w:tc>
        <w:tc>
          <w:tcPr>
            <w:tcW w:w="5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1.00</w:t>
            </w:r>
          </w:p>
        </w:tc>
        <w:tc>
          <w:tcPr>
            <w:tcW w:w="6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1.02</w:t>
            </w:r>
          </w:p>
        </w:tc>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1.97</w:t>
            </w:r>
          </w:p>
        </w:tc>
        <w:tc>
          <w:tcPr>
            <w:tcW w:w="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80" w:type="dxa"/>
            <w:vAlign w:val="bottom"/>
          </w:tcPr>
          <w:p>
            <w:pPr>
              <w:jc w:val="center"/>
              <w:ind w:right="908"/>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214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6"/>
        </w:trPr>
        <w:tc>
          <w:tcPr>
            <w:tcW w:w="49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928"/>
              <w:spacing w:after="0"/>
              <w:rPr>
                <w:sz w:val="20"/>
                <w:szCs w:val="20"/>
                <w:color w:val="auto"/>
              </w:rPr>
            </w:pPr>
            <w:r>
              <w:rPr>
                <w:rFonts w:ascii="Times New Roman" w:cs="Times New Roman" w:eastAsia="Times New Roman" w:hAnsi="Times New Roman"/>
                <w:sz w:val="14"/>
                <w:szCs w:val="14"/>
                <w:color w:val="auto"/>
              </w:rPr>
              <w:t>June 30,</w:t>
            </w:r>
          </w:p>
        </w:tc>
        <w:tc>
          <w:tcPr>
            <w:tcW w:w="10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June 30,</w:t>
            </w:r>
          </w:p>
        </w:tc>
      </w:tr>
      <w:tr>
        <w:trPr>
          <w:trHeight w:val="18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1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3"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p>
      <w:pPr>
        <w:spacing w:after="0" w:line="23" w:lineRule="exact"/>
        <w:rPr>
          <w:sz w:val="20"/>
          <w:szCs w:val="20"/>
          <w:color w:val="auto"/>
        </w:rPr>
      </w:pPr>
    </w:p>
    <w:p>
      <w:pPr>
        <w:ind w:left="300" w:right="380" w:hanging="161"/>
        <w:spacing w:after="0" w:line="234" w:lineRule="auto"/>
        <w:rPr>
          <w:sz w:val="20"/>
          <w:szCs w:val="20"/>
          <w:color w:val="auto"/>
        </w:rPr>
      </w:pPr>
      <w:r>
        <w:rPr>
          <w:rFonts w:ascii="Times New Roman" w:cs="Times New Roman" w:eastAsia="Times New Roman" w:hAnsi="Times New Roman"/>
          <w:sz w:val="18"/>
          <w:szCs w:val="18"/>
          <w:color w:val="auto"/>
        </w:rPr>
        <w:t>Currency translation adjustments, net of deferred taxes of $(22), $(20), $(43) and $(22)</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flow hedges:</w:t>
      </w:r>
    </w:p>
    <w:p>
      <w:pPr>
        <w:spacing w:after="0" w:line="27" w:lineRule="exact"/>
        <w:rPr>
          <w:sz w:val="20"/>
          <w:szCs w:val="20"/>
          <w:color w:val="auto"/>
        </w:rPr>
      </w:pPr>
    </w:p>
    <w:p>
      <w:pPr>
        <w:ind w:left="460" w:right="400" w:hanging="161"/>
        <w:spacing w:after="0" w:line="234" w:lineRule="auto"/>
        <w:rPr>
          <w:sz w:val="20"/>
          <w:szCs w:val="20"/>
          <w:color w:val="auto"/>
        </w:rPr>
      </w:pPr>
      <w:r>
        <w:rPr>
          <w:rFonts w:ascii="Times New Roman" w:cs="Times New Roman" w:eastAsia="Times New Roman" w:hAnsi="Times New Roman"/>
          <w:sz w:val="18"/>
          <w:szCs w:val="18"/>
          <w:color w:val="auto"/>
        </w:rPr>
        <w:t>Deferred gains (losses), net of deferred taxes of $0, $14, $(2), and $23</w:t>
      </w:r>
    </w:p>
    <w:p>
      <w:pPr>
        <w:spacing w:after="0" w:line="10" w:lineRule="exact"/>
        <w:rPr>
          <w:sz w:val="20"/>
          <w:szCs w:val="20"/>
          <w:color w:val="auto"/>
        </w:rPr>
      </w:pPr>
    </w:p>
    <w:p>
      <w:pPr>
        <w:ind w:left="460" w:right="800" w:hanging="161"/>
        <w:spacing w:after="0" w:line="237" w:lineRule="auto"/>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$1, $8, $0 and $16</w:t>
      </w:r>
    </w:p>
    <w:p>
      <w:pPr>
        <w:spacing w:after="0" w:line="10" w:lineRule="exact"/>
        <w:rPr>
          <w:sz w:val="20"/>
          <w:szCs w:val="20"/>
          <w:color w:val="auto"/>
        </w:rPr>
      </w:pPr>
    </w:p>
    <w:p>
      <w:pPr>
        <w:ind w:left="300" w:right="420" w:hanging="161"/>
        <w:spacing w:after="0" w:line="237" w:lineRule="auto"/>
        <w:rPr>
          <w:sz w:val="20"/>
          <w:szCs w:val="20"/>
          <w:color w:val="auto"/>
        </w:rPr>
      </w:pPr>
      <w:r>
        <w:rPr>
          <w:rFonts w:ascii="Times New Roman" w:cs="Times New Roman" w:eastAsia="Times New Roman" w:hAnsi="Times New Roman"/>
          <w:sz w:val="18"/>
          <w:szCs w:val="18"/>
          <w:color w:val="auto"/>
        </w:rPr>
        <w:t>Employee benefit obligations and other, net of deferred taxes of $3, $1, $8 and $3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3,839</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4,189</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7,616</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r>
      <w:tr>
        <w:trPr>
          <w:trHeight w:val="64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64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490</w:t>
            </w:r>
          </w:p>
        </w:tc>
        <w:tc>
          <w:tcPr>
            <w:tcW w:w="6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64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1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-1207770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-796290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-264795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40" w:space="720"/>
            <w:col w:w="5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6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429</w:t>
            </w:r>
          </w:p>
        </w:tc>
        <w:tc>
          <w:tcPr>
            <w:tcW w:w="6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6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3,698</w:t>
            </w: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4,619</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7,034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6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Other comprehensive income (loss) attributable to</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   $</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3,787</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4,714</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7,217</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7,616</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7,091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689</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391</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750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(3,798)</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12,572</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(5,354)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(1,341)</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557</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(6,879)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3,266</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(4,930)</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175</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(5,817)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6,282</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6,141</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400" w:type="dxa"/>
            <w:vAlign w:val="bottom"/>
          </w:tcPr>
          <w:p>
            <w:pPr>
              <w:spacing w:after="0"/>
              <w:rPr>
                <w:sz w:val="13"/>
                <w:szCs w:val="13"/>
                <w:color w:val="auto"/>
              </w:rPr>
            </w:pPr>
          </w:p>
        </w:tc>
        <w:tc>
          <w:tcPr>
            <w:tcW w:w="124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6,065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13,167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4,220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23,452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12,853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9,171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$59,470 and $58,701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60,507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58,376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$32,240 and $30,290</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26,363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12,468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262,555</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264,811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11,736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1,520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3,943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7,955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9,167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35,342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97,107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26,252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19,914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4,744,910,918 and</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4,842,108,959; outstanding, 3,872,119,890 and 3,969,317,931</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38,203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54,308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83,219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485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83,704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262,555</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264,811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5"/>
        </w:trPr>
        <w:tc>
          <w:tcPr>
            <w:tcW w:w="5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239</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r>
      <w:tr>
        <w:trPr>
          <w:trHeight w:val="230"/>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76"/>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39,262</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175"/>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38,203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39,118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38,203</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39,118</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52,524</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51,609</w:t>
            </w:r>
          </w:p>
        </w:tc>
      </w:tr>
      <w:tr>
        <w:trPr>
          <w:trHeight w:val="176"/>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(1,664)</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4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(1,208)</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4,248</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62"/>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54,308</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53,900</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54,308</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53,900</w:t>
            </w:r>
          </w:p>
        </w:tc>
      </w:tr>
      <w:tr>
        <w:trPr>
          <w:trHeight w:val="230"/>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29"/>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75"/>
        </w:trPr>
        <w:tc>
          <w:tcPr>
            <w:tcW w:w="5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466</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62"/>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(1,822)</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(1,432)</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(1,822)</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r>
      <w:tr>
        <w:trPr>
          <w:trHeight w:val="230"/>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559</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r>
      <w:tr>
        <w:trPr>
          <w:trHeight w:val="216"/>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83,704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84,679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83,704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84,679</w:t>
            </w:r>
          </w:p>
        </w:tc>
      </w:tr>
      <w:tr>
        <w:trPr>
          <w:trHeight w:val="23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0.29</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2023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updated accounting guidance related to annual and interim segment disclosures. The updated accounting guidance, among other things, requires disclosure of certain significant segment expenses. We will adopt the updated accounting guidance in our Annual Report on Form 10-K for the year ended December 31, 2024.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ended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w:t>
      </w:r>
    </w:p>
    <w:p>
      <w:pPr>
        <w:spacing w:after="0" w:line="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36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r>
        <w:trPr>
          <w:trHeight w:val="36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10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1"/>
                <w:szCs w:val="11"/>
                <w:color w:val="auto"/>
              </w:rPr>
            </w:pPr>
          </w:p>
        </w:tc>
        <w:tc>
          <w:tcPr>
            <w:tcW w:w="10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58,913</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60,205</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5"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Wells Fargo Center arena in Philadelphia, Pennsylvania; and Xumo, our consolidated streaming platform joint venture with Charter Communications. Corporate and other also includes overhead and personnel costs for Corporate.</w:t>
      </w:r>
    </w:p>
    <w:p>
      <w:pPr>
        <w:ind w:left="340" w:right="20" w:hanging="332"/>
        <w:spacing w:after="0" w:line="29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From time to time we may report the impact of certain events, gains, losses or other charges related to our segments within Corporate and other.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costs associated with corporate initiatives for our Media, Studios and Theme Park segments.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76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99"/>
              </w:rPr>
              <w:t>2023</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broadband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6,569</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6,377</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13,160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wireless</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1,019</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869</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1,991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1,148</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1,002</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2,264</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8,736</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8,248</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17,415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6,781</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7,358</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13,658</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993</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993</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1,944</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1,313</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1,469</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2,675</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17,824</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18,068</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35,692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2,421</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2,292</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4,829</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1,991</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4,016</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2,764</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2,615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5,670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1,102</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1,035</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2,123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467</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518</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6,324</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6,195</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12,695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1,714</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1,821</w:t>
            </w:r>
          </w:p>
        </w:tc>
        <w:tc>
          <w:tcPr>
            <w:tcW w:w="40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3,815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913</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302</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354</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2,253</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3,087</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4,996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1,975</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2,209</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3,954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715</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1,494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(1,825)</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(2,003)</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(3,914)</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29,688</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30,513</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59,746</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60,205</w:t>
            </w:r>
          </w:p>
        </w:tc>
        <w:tc>
          <w:tcPr>
            <w:tcW w:w="0" w:type="dxa"/>
            <w:vAlign w:val="bottom"/>
          </w:tcPr>
          <w:p>
            <w:pPr>
              <w:spacing w:after="0"/>
              <w:rPr>
                <w:sz w:val="1"/>
                <w:szCs w:val="1"/>
                <w:color w:val="auto"/>
              </w:rPr>
            </w:pPr>
          </w:p>
        </w:tc>
      </w:tr>
      <w:tr>
        <w:trPr>
          <w:trHeight w:val="32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(a)  See Note 2 for additional information on intersegment revenue transactions.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0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22"/>
                <w:szCs w:val="22"/>
                <w:color w:val="auto"/>
              </w:rPr>
            </w:pP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13,903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736</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13,167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balances that are not separately presented in our condensed consolidated balance sheets that relate to the recognition of revenue and collection of the related cash.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25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1,767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25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703</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5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1,718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2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1,161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3"/>
              </w:rPr>
              <w:t>2,879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13"/>
                <w:szCs w:val="13"/>
                <w:color w:val="auto"/>
              </w:rPr>
            </w:pPr>
          </w:p>
        </w:tc>
      </w:tr>
      <w:tr>
        <w:trPr>
          <w:trHeight w:val="192"/>
        </w:trPr>
        <w:tc>
          <w:tcPr>
            <w:tcW w:w="5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w w:val="99"/>
              </w:rPr>
              <w:t>2023</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2,879</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3,191</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5,899</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3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2,215</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2,804</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4,776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2,570</w:t>
            </w:r>
          </w:p>
        </w:tc>
        <w:tc>
          <w:tcPr>
            <w:tcW w:w="62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2,461</w:t>
            </w:r>
          </w:p>
        </w:tc>
        <w:tc>
          <w:tcPr>
            <w:tcW w:w="440" w:type="dxa"/>
            <w:vAlign w:val="bottom"/>
          </w:tcPr>
          <w:p>
            <w:pPr>
              <w:spacing w:after="0"/>
              <w:rPr>
                <w:sz w:val="19"/>
                <w:szCs w:val="19"/>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5,494</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r>
      <w:tr>
        <w:trPr>
          <w:trHeight w:val="229"/>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298</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393</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615</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7,961</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8,849</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16,784</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17,853</w:t>
            </w:r>
          </w:p>
        </w:tc>
      </w:tr>
    </w:tbl>
    <w:p>
      <w:pPr>
        <w:spacing w:after="0" w:line="180" w:lineRule="exact"/>
        <w:rPr>
          <w:sz w:val="20"/>
          <w:szCs w:val="20"/>
          <w:color w:val="auto"/>
        </w:rPr>
      </w:pPr>
    </w:p>
    <w:p>
      <w:pPr>
        <w:ind w:firstLine="8"/>
        <w:spacing w:after="0" w:line="302" w:lineRule="auto"/>
        <w:tabs>
          <w:tab w:leader="none" w:pos="20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$1.8 billion and $4.0 billion for the three and six months ended June 30, 2024, respectively, and $2.0 billion and $4.3 billion for the three and six months ended June 30,2023, respectively, as well as participations and residuals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20" w:type="dxa"/>
            <w:vAlign w:val="bottom"/>
          </w:tcPr>
          <w:p>
            <w:pPr>
              <w:spacing w:after="0"/>
              <w:rPr>
                <w:sz w:val="13"/>
                <w:szCs w:val="13"/>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3,474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4,035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7,751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5,102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12,853</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12,920</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our debt had a carrying value of $98.1 billion and an estimated fair value of $89.5 billion. As of December 31, 2023, our debt had a carrying value of $97.1 billion and an estimated fair value of $92.2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2024, we entered into a new $11.8 billion revolving credit facility with a syndicate of banks, due May 17, 2029, that may be used for general corporate purposes. We may increase the commitments under the facility up to a total of $14.8 billion, as well as extend the expiration date to no later than May 17, 2031, subject to the approval of the lenders. The interest rate consists of a benchmark rate plus a borrowing margin that is determined based on Comcast’s credit rating. As of June 30, 2024, the borrowing margin for borrowings based on the Adjusted Term SOFR Rate, as defined in the agreement, was 0.875%. The facility requires that we maintain a certain financial ratio based on debt and EBITDA, as defined in the agreement. In connection with our entry into the new credit facility, we terminated our prior credit facility dated as of March 30, 2021, and as of June 30, 2024 and December 31, 2023, we had no borrowings outstanding under the new and prior credit facility, respectively. As of June 30, 2024, amounts available under our new credit facility, net of amounts outstanding under our commercial paper program and outstanding letters of credit and bank guarantees, totaled $11.8 billion.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4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(444)</w:t>
            </w:r>
          </w:p>
        </w:tc>
        <w:tc>
          <w:tcPr>
            <w:tcW w:w="10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rPr>
              <w:t>(286)</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8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w:t>
            </w:r>
          </w:p>
        </w:tc>
        <w:tc>
          <w:tcPr>
            <w:tcW w:w="10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9"/>
                <w:szCs w:val="19"/>
                <w:color w:val="auto"/>
              </w:rPr>
            </w:pPr>
          </w:p>
        </w:tc>
        <w:tc>
          <w:tcPr>
            <w:tcW w:w="118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rPr>
              <w:t>(141)</w:t>
            </w:r>
          </w:p>
        </w:tc>
        <w:tc>
          <w:tcPr>
            <w:tcW w:w="60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(44)</w:t>
            </w: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99</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rPr>
              <w:t>290</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(434)</w:t>
            </w:r>
          </w:p>
        </w:tc>
        <w:tc>
          <w:tcPr>
            <w:tcW w:w="10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18"/>
                <w:szCs w:val="18"/>
                <w:b w:val="1"/>
                <w:bCs w:val="1"/>
                <w:color w:val="auto"/>
              </w:rPr>
              <w:t>(137)</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622</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unrealized gains (losses), net recognized in the three months ended June 30, 2024 and 2023 that related to marketable and nonmarketable equity securities still held as of the end of each reporting period was $(70) million and $(41) million, respectively. The amount of unrealized gains (losses), net recognized in the six months ended June 30, 2024 and 2023 that related to marketable and nonmarketable equity securities still held as of the end of each reporting period was $(141) million and $(66)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auto"/>
            </w:tcBorders>
            <w:vMerge w:val="continue"/>
          </w:tcPr>
          <w:p>
            <w:pPr>
              <w:spacing w:after="0"/>
              <w:rPr>
                <w:sz w:val="16"/>
                <w:szCs w:val="16"/>
                <w:color w:val="auto"/>
              </w:rPr>
            </w:pPr>
          </w:p>
        </w:tc>
        <w:tc>
          <w:tcPr>
            <w:tcW w:w="3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8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7,478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8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1,402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9,318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8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9,171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six months ended June 30, 2024 and 2023 was $66 million and $142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six months ended June 30, 2024 and 2023, we made cash capital contributions to Atairos totaling $26 million and $28 million, respectively. As of June 30, 2024 and December 31, 2023, our investment in Atairos, inclusive of certain distributions retained by Atairos on our behalf and classified as advances within other investments, was $5.3 billion and $5.5 billion, respectively. As of June 30, 2024, our remaining unfunded capital commitment was $1.4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investments also includes investments in certain short-term instruments, which totaled $117 million and $254 million as of June 30, 2024 and December 31, 2023, respectively. The carrying amounts of these investments approximate their fair values, which are primarily based on Level 2 inputs that use interest rates for instruments with similar terms and remaining maturities. Proceeds from short-term instruments for the six months ended June 30, 2024 and 2023 were $514 million and $304 million, respectively. Purchases of short-term instruments for the six months ended June 30, 2024 and 2023 were $373 million and $162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June 30, 2024, Universal Beijing Resort had $3.4 billion of debt outstanding, including $3.1 billion principal amount of a term loan outstanding under the debt financing agreement. As of December 31, 2023, Universal Beijing Resort had $3.5 billion of debt outstanding, including $3.1 billion principal amount of a term loan outstanding under the debt financing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our condensed consolidated balance sheets included assets and liabilities of Universal Beijing Resort totaling $7.4 billion and $7.0 billion, respectively. As of December 31, 2023, our condensed consolidated balance sheets included assets and liabilities of Universal Beijing Resort totaling $7.8 billion and $7.2 billion, respectively. The assets and liabilities of Universal Beijing Resort primarily consist of property and equipment, operating lease assets and liabilities, and debt.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780" w:type="dxa"/>
            <w:vAlign w:val="bottom"/>
            <w:gridSpan w:val="2"/>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40" w:type="dxa"/>
            <w:vAlign w:val="bottom"/>
          </w:tcPr>
          <w:p>
            <w:pPr>
              <w:spacing w:after="0"/>
              <w:rPr>
                <w:sz w:val="13"/>
                <w:szCs w:val="13"/>
                <w:color w:val="auto"/>
              </w:rPr>
            </w:pPr>
          </w:p>
        </w:tc>
      </w:tr>
      <w:tr>
        <w:trPr>
          <w:trHeight w:val="192"/>
        </w:trPr>
        <w:tc>
          <w:tcPr>
            <w:tcW w:w="6080" w:type="dxa"/>
            <w:vAlign w:val="bottom"/>
          </w:tcPr>
          <w:p>
            <w:pPr>
              <w:spacing w:after="0"/>
              <w:rPr>
                <w:sz w:val="16"/>
                <w:szCs w:val="16"/>
                <w:color w:val="auto"/>
              </w:rPr>
            </w:pPr>
          </w:p>
        </w:tc>
        <w:tc>
          <w:tcPr>
            <w:tcW w:w="1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6"/>
                <w:szCs w:val="16"/>
                <w:color w:val="auto"/>
              </w:rPr>
            </w:pPr>
          </w:p>
        </w:tc>
      </w:tr>
      <w:tr>
        <w:trPr>
          <w:trHeight w:val="196"/>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2023</w:t>
            </w:r>
          </w:p>
        </w:tc>
        <w:tc>
          <w:tcPr>
            <w:tcW w:w="164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92"/>
              </w:rPr>
              <w:t>2023</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68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3,905</w:t>
            </w:r>
          </w:p>
        </w:tc>
        <w:tc>
          <w:tcPr>
            <w:tcW w:w="11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4,165</w:t>
            </w:r>
          </w:p>
        </w:tc>
        <w:tc>
          <w:tcPr>
            <w:tcW w:w="164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3,932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8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w:t>
            </w:r>
          </w:p>
        </w:tc>
        <w:tc>
          <w:tcPr>
            <w:tcW w:w="164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680" w:type="dxa"/>
            <w:vAlign w:val="bottom"/>
            <w:tcBorders>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3,920</w:t>
            </w:r>
          </w:p>
        </w:tc>
        <w:tc>
          <w:tcPr>
            <w:tcW w:w="11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4,183</w:t>
            </w:r>
          </w:p>
        </w:tc>
        <w:tc>
          <w:tcPr>
            <w:tcW w:w="164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3,956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2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16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color w:val="auto"/>
              </w:rPr>
              <w:t>228</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230</w:t>
            </w:r>
          </w:p>
        </w:tc>
        <w:tc>
          <w:tcPr>
            <w:tcW w:w="16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rPr>
              <w:t>195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Pr>
          <w:p>
            <w:pPr>
              <w:spacing w:after="0"/>
              <w:rPr>
                <w:sz w:val="13"/>
                <w:szCs w:val="13"/>
                <w:color w:val="auto"/>
              </w:rPr>
            </w:pPr>
          </w:p>
        </w:tc>
        <w:tc>
          <w:tcPr>
            <w:tcW w:w="1240" w:type="dxa"/>
            <w:vAlign w:val="bottom"/>
          </w:tcPr>
          <w:p>
            <w:pPr>
              <w:jc w:val="right"/>
              <w:ind w:right="476"/>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(2,149)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16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16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(1,822)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granted 31 million RSUs and 3 million stock options related to our annual management awards. The weighted-average fair values associated with these grants were $42.62 per RSU and $9.49 per stock option. During the three months ended June 30, 2024 and 2023, share-based compensation expense recognized in our condensed consolidated statements of income was $261 million and $252 million, respectively. During the six months ended June 30, 2024 and 2023, share-based compensation expense recognized in our condensed consolidated statements of income was $564 million and $547 million, respectively. As of June 30, 2024, we had unrecognized pretax compensation expense of $2.6 billion related to nonvested RSUs and nonvested stock options.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1,813</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4,568</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w:t>
      </w:r>
    </w:p>
    <w:p>
      <w:pPr>
        <w:spacing w:after="0" w:line="7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right="2480" w:firstLine="332"/>
        <w:spacing w:after="0" w:line="328"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July 2024 During the six months ended June 30,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$2.2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$0.29 per common share paid in July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auto"/>
            </w:tcBorders>
            <w:vMerge w:val="continue"/>
          </w:tcPr>
          <w:p>
            <w:pPr>
              <w:spacing w:after="0"/>
              <w:rPr>
                <w:sz w:val="17"/>
                <w:szCs w:val="17"/>
                <w:color w:val="auto"/>
              </w:rPr>
            </w:pPr>
          </w:p>
        </w:tc>
        <w:tc>
          <w:tcPr>
            <w:tcW w:w="2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6,065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2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1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6,141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6,282</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2023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Content &amp; Experiences business in three segments: Media, Studios and Theme Parks.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color w:val="auto"/>
              </w:rPr>
              <w:t>Three Months Ended</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811"/>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2023</w:t>
            </w: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30,513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60,205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8,849</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17,853</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2,100</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4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4,063</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9,317</w:t>
            </w:r>
          </w:p>
        </w:tc>
        <w:tc>
          <w:tcPr>
            <w:tcW w:w="12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18,618</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2,195</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34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4,459</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1,343</w:t>
            </w: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2,856</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23,804</w:t>
            </w: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47,849</w:t>
            </w: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6,709</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12,355</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6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(998)</w:t>
            </w: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(2,007)</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622</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5,726</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34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10,970</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(1,537)</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(3,013)</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4,189</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34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7,957</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51.7</w:t>
            </w: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Comcast</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3,929</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4,248</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7,785</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8,082</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30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1.93</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1.92</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basic</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4,165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4,186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 diluted</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4,183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4,205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75"/>
        </w:trPr>
        <w:tc>
          <w:tcPr>
            <w:tcW w:w="350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10,244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19,526</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19,659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302" w:lineRule="auto"/>
        <w:tabs>
          <w:tab w:leader="none" w:pos="2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24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decreased for the three months ended June 30, 2024 compared to the same period in 2023 primarily driven by a decrease in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Content &amp; Experiences business, partially offset by an increase in Corporate and Other. Consolidated revenue remained consistent with the prior year period for the six months ended June 30, 2024 driven by a decrease in the Content &amp; Experiences business, offset by an increase in Corporate and Other. Revenue for our segments and other businesses is discussed separately below under the heading “Segment Operating Results.”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decreased for the three months ended June 30, 2024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driven by decreases in the Content &amp; Experiences and Connectivity &amp; Platforms businesses, partially offset by an increase in Corporate and Other. Consolidated costs and expenses, excluding depreciation and amortization expense, remained consistent with the prior year period for the six months ended June 30, 2024, driven by decreases in the Content &amp; Experiences and Connectivity &amp; Platforms businesses, offset by an increase in Corporate and Other. Costs and expenses for our segments and our corporate operations and other businesses are discussed separately below under the heading “Segment Operating Results.”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remained consistent with the prior year period for the three months ended June 30, 2024.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Consolidated depreciation and amortization expense decreased for the six months ended June 30, 2024 primarily due to decreased depreciation of international property and equipment and decreased amortization of software.</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$563 million and $1.1 billion for the three and six months ended June 30, 2024, respectively, and $572 million and $1.1 billion for the three and six months ended June 30, 2023, respectively. Amounts primarily relate to customer relationship intangible assets recorded in connection with the Sky transaction in 2018 and the NBCUniversal transaction in 2011.</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for the three and six months ended June 30, 2024 primarily due to higher weighted-average interest rates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increases in average debt outstanding, partially offset by interest expense in the prior year periods associated with a collateralized obligation that was repaid in the fourth quarter of 2023.</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decreased for the three and six months ended June 30, 2024 compared to the same period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2023.</w:t>
      </w: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18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80" w:type="dxa"/>
            <w:vAlign w:val="bottom"/>
          </w:tcPr>
          <w:p>
            <w:pPr>
              <w:spacing w:after="0"/>
              <w:rPr>
                <w:sz w:val="13"/>
                <w:szCs w:val="13"/>
                <w:color w:val="auto"/>
              </w:rPr>
            </w:pPr>
          </w:p>
        </w:tc>
      </w:tr>
      <w:tr>
        <w:trPr>
          <w:trHeight w:val="192"/>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56"/>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8"/>
                <w:szCs w:val="18"/>
                <w:color w:val="auto"/>
                <w:w w:val="97"/>
              </w:rPr>
              <w:t>(286)</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19"/>
                <w:szCs w:val="19"/>
                <w:color w:val="auto"/>
              </w:rPr>
            </w:pPr>
          </w:p>
        </w:tc>
        <w:tc>
          <w:tcPr>
            <w:tcW w:w="1020" w:type="dxa"/>
            <w:vAlign w:val="bottom"/>
          </w:tcPr>
          <w:p>
            <w:pPr>
              <w:jc w:val="center"/>
              <w:ind w:left="398"/>
              <w:spacing w:after="0"/>
              <w:rPr>
                <w:sz w:val="20"/>
                <w:szCs w:val="20"/>
                <w:color w:val="auto"/>
              </w:rPr>
            </w:pPr>
            <w:r>
              <w:rPr>
                <w:rFonts w:ascii="Times New Roman" w:cs="Times New Roman" w:eastAsia="Times New Roman" w:hAnsi="Times New Roman"/>
                <w:sz w:val="18"/>
                <w:szCs w:val="18"/>
                <w:color w:val="auto"/>
                <w:w w:val="97"/>
              </w:rPr>
              <w:t>(141)</w:t>
            </w:r>
          </w:p>
        </w:tc>
        <w:tc>
          <w:tcPr>
            <w:tcW w:w="540" w:type="dxa"/>
            <w:vAlign w:val="bottom"/>
          </w:tcPr>
          <w:p>
            <w:pPr>
              <w:spacing w:after="0"/>
              <w:rPr>
                <w:sz w:val="19"/>
                <w:szCs w:val="19"/>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8"/>
                <w:szCs w:val="18"/>
                <w:color w:val="auto"/>
              </w:rPr>
              <w:t>290</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8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8"/>
                <w:szCs w:val="18"/>
                <w:b w:val="1"/>
                <w:bCs w:val="1"/>
                <w:color w:val="auto"/>
                <w:w w:val="97"/>
              </w:rPr>
              <w:t>(137)</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622</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was primarily due to our investment in Atairos. The income (losses) at Atairos were driven by fair value adjustments on its underlying investments with income (loss) of $(391) million and $(196) million for the three and six months ended June 30, 2024, respectively, and $(23) million and $501 million for the three and six months ended June 30, 2023,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months ended June 30, 2024 was primarily due to higher losses on nonmarketable and marketable securities in the current year period. The change in realized and unrealized gains (losses) on equity securities, net for the six months ended June 30, 2024 was primarily due to higher losses on nonmarketable securities in the current year period and losses on marketable securities in the current year period compared to gains in the prior year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other income (loss), net for the three months ended June 30, 2024 primarily resulted from a gain related to an investment in the prior year period. The change in other income (loss), net for the six months ended June 30, 2024 primarily resulted from higher interest income in the current year period.</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and six months ended June 30, 2024 and 2023 reflects an effective income tax rate that differs from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federal statutory rate due to state and foreign income taxes and adjustments associated with uncertain tax positions. The decreases in income tax expense for the three and six months ended June 30, 2024 compared to the same periods in 2023 were primarily driven by lower domestic income before income taxes.</w:t>
      </w:r>
    </w:p>
    <w:p>
      <w:pPr>
        <w:spacing w:after="0" w:line="7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changed for the three and six months ended June 30, 2024 compared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with the same periods in 2023 primarily due to Universal Beijing Resort and our regional sports networks.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3"/>
            <w:vMerge w:val="restart"/>
          </w:tcPr>
          <w:p>
            <w:pPr>
              <w:jc w:val="right"/>
              <w:ind w:right="552"/>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1000" w:type="dxa"/>
            <w:vAlign w:val="bottom"/>
          </w:tcPr>
          <w:p>
            <w:pPr>
              <w:jc w:val="center"/>
              <w:ind w:right="76"/>
              <w:spacing w:after="0"/>
              <w:rPr>
                <w:sz w:val="20"/>
                <w:szCs w:val="20"/>
                <w:color w:val="auto"/>
              </w:rPr>
            </w:pPr>
            <w:r>
              <w:rPr>
                <w:rFonts w:ascii="Times New Roman" w:cs="Times New Roman" w:eastAsia="Times New Roman" w:hAnsi="Times New Roman"/>
                <w:sz w:val="14"/>
                <w:szCs w:val="14"/>
                <w:color w:val="auto"/>
              </w:rPr>
              <w:t>Constant</w:t>
            </w:r>
          </w:p>
        </w:tc>
        <w:tc>
          <w:tcPr>
            <w:tcW w:w="320" w:type="dxa"/>
            <w:vAlign w:val="bottom"/>
          </w:tcPr>
          <w:p>
            <w:pPr>
              <w:spacing w:after="0"/>
              <w:rPr>
                <w:sz w:val="13"/>
                <w:szCs w:val="13"/>
                <w:color w:val="auto"/>
              </w:rPr>
            </w:pPr>
          </w:p>
        </w:tc>
        <w:tc>
          <w:tcPr>
            <w:tcW w:w="2120" w:type="dxa"/>
            <w:vAlign w:val="bottom"/>
            <w:gridSpan w:val="3"/>
            <w:vMerge w:val="restart"/>
          </w:tcPr>
          <w:p>
            <w:pPr>
              <w:jc w:val="right"/>
              <w:ind w:right="652"/>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32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36"/>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17,824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18,068</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35,692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35,937</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2,421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2,292</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4,829</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4,575</w:t>
            </w:r>
          </w:p>
        </w:tc>
        <w:tc>
          <w:tcPr>
            <w:tcW w:w="10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20,245</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20,360</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(0.6)%</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40,521</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40,512</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7,103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7,024</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13,955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13,785</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1,322</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2,746</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2,654</w:t>
            </w:r>
          </w:p>
        </w:tc>
        <w:tc>
          <w:tcPr>
            <w:tcW w:w="10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8,483</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8,346</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16,701</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16,439</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spacing w:after="0"/>
              <w:rPr>
                <w:sz w:val="21"/>
                <w:szCs w:val="21"/>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39.9 %</w:t>
            </w:r>
          </w:p>
        </w:tc>
        <w:tc>
          <w:tcPr>
            <w:tcW w:w="320" w:type="dxa"/>
            <w:vAlign w:val="bottom"/>
          </w:tcPr>
          <w:p>
            <w:pPr>
              <w:spacing w:after="0"/>
              <w:rPr>
                <w:sz w:val="21"/>
                <w:szCs w:val="21"/>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38.9 %</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 bps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bps</w:t>
            </w:r>
          </w:p>
        </w:tc>
        <w:tc>
          <w:tcPr>
            <w:tcW w:w="32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39.1 %</w:t>
            </w:r>
          </w:p>
        </w:tc>
        <w:tc>
          <w:tcPr>
            <w:tcW w:w="320" w:type="dxa"/>
            <w:vAlign w:val="bottom"/>
          </w:tcPr>
          <w:p>
            <w:pPr>
              <w:spacing w:after="0"/>
              <w:rPr>
                <w:sz w:val="21"/>
                <w:szCs w:val="21"/>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38.4 %</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 bps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57.7</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 bps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bps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58.0</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(110) bps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bps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41.9 %</w:t>
            </w:r>
          </w:p>
        </w:tc>
        <w:tc>
          <w:tcPr>
            <w:tcW w:w="320" w:type="dxa"/>
            <w:vAlign w:val="bottom"/>
          </w:tcPr>
          <w:p>
            <w:pPr>
              <w:spacing w:after="0"/>
              <w:rPr>
                <w:sz w:val="14"/>
                <w:szCs w:val="14"/>
                <w:color w:val="auto"/>
              </w:rPr>
            </w:pP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41.0 %</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90 bps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 bps</w:t>
            </w:r>
          </w:p>
        </w:tc>
        <w:tc>
          <w:tcPr>
            <w:tcW w:w="32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41.2 %</w:t>
            </w:r>
          </w:p>
        </w:tc>
        <w:tc>
          <w:tcPr>
            <w:tcW w:w="32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40.6 %</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60 bps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 bps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An increasingly competitive environment and continued low domestic household move levels have had negative impacts on our customer relationships additions/(losses). In addition, funding for the Affordable Connectivity Program, which provided a monthly discount towards broadband service for eligible low-income households, expired during the second quarter of 2024, which began to have, and may continue to have in the short term, a negative impact on our residential broadband customer relationships.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believe our Business Services Connectivity segment will continue to grow by offering competitive services, including to medium-sized and enterprise customers. Global economic conditions and consumer sentiment have in the past adversely impacted, and may continue to adversely impact, demand for our products and services and our results of operations.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2"/>
          </w:tcPr>
          <w:p>
            <w:pPr>
              <w:jc w:val="right"/>
              <w:ind w:right="515"/>
              <w:spacing w:after="0"/>
              <w:rPr>
                <w:sz w:val="20"/>
                <w:szCs w:val="20"/>
                <w:color w:val="auto"/>
              </w:rPr>
            </w:pPr>
            <w:r>
              <w:rPr>
                <w:rFonts w:ascii="Times New Roman" w:cs="Times New Roman" w:eastAsia="Times New Roman" w:hAnsi="Times New Roman"/>
                <w:sz w:val="14"/>
                <w:szCs w:val="14"/>
                <w:color w:val="auto"/>
              </w:rPr>
              <w:t>Net Additions / (Losses)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5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Pr>
          <w:p>
            <w:pPr>
              <w:spacing w:after="0"/>
              <w:rPr>
                <w:sz w:val="11"/>
                <w:szCs w:val="11"/>
                <w:color w:val="auto"/>
              </w:rPr>
            </w:pPr>
          </w:p>
        </w:tc>
        <w:tc>
          <w:tcPr>
            <w:tcW w:w="2160" w:type="dxa"/>
            <w:vAlign w:val="bottom"/>
            <w:gridSpan w:val="2"/>
          </w:tcPr>
          <w:p>
            <w:pPr>
              <w:jc w:val="right"/>
              <w:ind w:right="473"/>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1840" w:type="dxa"/>
            <w:vAlign w:val="bottom"/>
            <w:gridSpan w:val="2"/>
          </w:tcPr>
          <w:p>
            <w:pPr>
              <w:jc w:val="right"/>
              <w:ind w:right="392"/>
              <w:spacing w:after="0" w:line="133" w:lineRule="exact"/>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2024</w:t>
            </w: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Domestic Residential Connectivity &amp; Platforms customer</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31,426</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31,761</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(128)</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w:t>
            </w:r>
          </w:p>
        </w:tc>
        <w:tc>
          <w:tcPr>
            <w:tcW w:w="1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0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17,638</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17,884</w:t>
            </w:r>
          </w:p>
        </w:tc>
        <w:tc>
          <w:tcPr>
            <w:tcW w:w="12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(144)</w:t>
            </w:r>
          </w:p>
        </w:tc>
        <w:tc>
          <w:tcPr>
            <w:tcW w:w="9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(167)</w:t>
            </w: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2,632</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2,635</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51,696</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52,280</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(275)</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(228)</w:t>
            </w:r>
          </w:p>
        </w:tc>
        <w:tc>
          <w:tcPr>
            <w:tcW w:w="11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50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29,583</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29,796</w:t>
            </w:r>
          </w:p>
        </w:tc>
        <w:tc>
          <w:tcPr>
            <w:tcW w:w="12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(110)</w:t>
            </w:r>
          </w:p>
        </w:tc>
        <w:tc>
          <w:tcPr>
            <w:tcW w:w="9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(165)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customers</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2,485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2,509</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32,068</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32,305</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(185)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(c)</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7,199</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5,984</w:t>
            </w:r>
          </w:p>
        </w:tc>
        <w:tc>
          <w:tcPr>
            <w:tcW w:w="12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322</w:t>
            </w:r>
          </w:p>
        </w:tc>
        <w:tc>
          <w:tcPr>
            <w:tcW w:w="9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316</w:t>
            </w:r>
          </w:p>
        </w:tc>
        <w:tc>
          <w:tcPr>
            <w:tcW w:w="11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611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13,199</w:t>
            </w:r>
          </w:p>
        </w:tc>
        <w:tc>
          <w:tcPr>
            <w:tcW w:w="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14,985</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(419)</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(543)</w:t>
            </w:r>
          </w:p>
        </w:tc>
        <w:tc>
          <w:tcPr>
            <w:tcW w:w="11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(907)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(d)</w:t>
            </w: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63,031</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61,838</w:t>
            </w: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w w:val="99"/>
              </w:rPr>
              <w:t>Domestic broadband penetration of homes and businesses passed</w:t>
            </w:r>
            <w:r>
              <w:rPr>
                <w:rFonts w:ascii="Times New Roman" w:cs="Times New Roman" w:eastAsia="Times New Roman" w:hAnsi="Times New Roman"/>
                <w:sz w:val="23"/>
                <w:szCs w:val="23"/>
                <w:color w:val="auto"/>
                <w:w w:val="99"/>
                <w:vertAlign w:val="superscript"/>
              </w:rPr>
              <w:t>(e)</w:t>
            </w:r>
          </w:p>
        </w:tc>
        <w:tc>
          <w:tcPr>
            <w:tcW w:w="15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50.7 %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1"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locations receiving services, including locations within our network in the United States, as well as locations outside of our network both in the United States and internationally. Certain arrangements whereby third parties provide connectivity services leveraging our network are also generally counted based on the number of locations served.</w:t>
      </w:r>
    </w:p>
    <w:p>
      <w:pPr>
        <w:spacing w:after="0" w:line="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81"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rPr>
              <w:t>Constant</w:t>
            </w:r>
          </w:p>
        </w:tc>
        <w:tc>
          <w:tcPr>
            <w:tcW w:w="240" w:type="dxa"/>
            <w:vAlign w:val="bottom"/>
          </w:tcPr>
          <w:p>
            <w:pPr>
              <w:spacing w:after="0"/>
              <w:rPr>
                <w:sz w:val="13"/>
                <w:szCs w:val="13"/>
                <w:color w:val="auto"/>
              </w:rPr>
            </w:pPr>
          </w:p>
        </w:tc>
        <w:tc>
          <w:tcPr>
            <w:tcW w:w="160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Pr>
          <w:p>
            <w:pPr>
              <w:spacing w:after="0"/>
              <w:rPr>
                <w:sz w:val="13"/>
                <w:szCs w:val="13"/>
                <w:color w:val="auto"/>
              </w:rPr>
            </w:pP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0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62"/>
              <w:spacing w:after="0" w:line="201"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ind w:right="22"/>
              <w:spacing w:after="0" w:line="201"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0" w:type="dxa"/>
            <w:vAlign w:val="bottom"/>
          </w:tcPr>
          <w:p>
            <w:pPr>
              <w:spacing w:after="0"/>
              <w:rPr>
                <w:sz w:val="1"/>
                <w:szCs w:val="1"/>
                <w:color w:val="auto"/>
              </w:rPr>
            </w:pPr>
          </w:p>
        </w:tc>
      </w:tr>
      <w:tr>
        <w:trPr>
          <w:trHeight w:val="190"/>
        </w:trPr>
        <w:tc>
          <w:tcPr>
            <w:tcW w:w="3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6"/>
              </w:rPr>
              <w:t>129.53</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128.97</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0.9 %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184"/>
        </w:trPr>
        <w:tc>
          <w:tcPr>
            <w:tcW w:w="38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Adjusted EBITDA per 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53.10</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2.7 %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52.33</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2.4 %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 each segment’s direct costs and an allocation of shared costs.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right"/>
              <w:ind w:right="217"/>
              <w:spacing w:after="0" w:line="202" w:lineRule="exact"/>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18"/>
                <w:szCs w:val="18"/>
                <w:color w:val="auto"/>
                <w:vertAlign w:val="superscript"/>
              </w:rPr>
              <w:t>(g)</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157"/>
              <w:spacing w:after="0" w:line="202" w:lineRule="exact"/>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18"/>
                <w:szCs w:val="18"/>
                <w:color w:val="auto"/>
                <w:vertAlign w:val="superscript"/>
              </w:rPr>
              <w:t>(g)</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4,248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4,579</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 %</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(7.3)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8,654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9,178</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 %</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(6.2)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1,845</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1,828</w:t>
            </w: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3,804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3,658</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1,408</w:t>
            </w: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3,029</w:t>
            </w:r>
          </w:p>
        </w:tc>
        <w:tc>
          <w:tcPr>
            <w:tcW w:w="34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2,809</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1,140</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1,213</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2,415</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696</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1,392</w:t>
            </w:r>
          </w:p>
        </w:tc>
        <w:tc>
          <w:tcPr>
            <w:tcW w:w="34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1,405</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2,331</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2,290</w:t>
            </w:r>
          </w:p>
        </w:tc>
        <w:tc>
          <w:tcPr>
            <w:tcW w:w="1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4,628</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4,608</w:t>
            </w:r>
          </w:p>
        </w:tc>
        <w:tc>
          <w:tcPr>
            <w:tcW w:w="10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11,762</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12,014</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(2.1)%</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23,820</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24,073</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(1.1)%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(1.6)%</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2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75"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right="20" w:hanging="252"/>
        <w:spacing w:after="0" w:line="291"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include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hanging="252"/>
        <w:spacing w:after="0" w:line="28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include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include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include the personnel and other costs associated with customer service and certain selling activities.</w:t>
      </w:r>
    </w:p>
    <w:p>
      <w:pPr>
        <w:spacing w:after="0" w:line="55" w:lineRule="exact"/>
        <w:rPr>
          <w:rFonts w:ascii="Times New Roman" w:cs="Times New Roman" w:eastAsia="Times New Roman" w:hAnsi="Times New Roman"/>
          <w:sz w:val="14"/>
          <w:szCs w:val="14"/>
          <w:color w:val="auto"/>
        </w:rPr>
      </w:pPr>
    </w:p>
    <w:p>
      <w:pPr>
        <w:ind w:left="260" w:hanging="252"/>
        <w:spacing w:after="0" w:line="281" w:lineRule="auto"/>
        <w:tabs>
          <w:tab w:leader="none" w:pos="25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91"/>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0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Pr>
          <w:p>
            <w:pPr>
              <w:jc w:val="center"/>
              <w:ind w:right="95"/>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Change</w:t>
            </w:r>
          </w:p>
        </w:tc>
        <w:tc>
          <w:tcPr>
            <w:tcW w:w="960" w:type="dxa"/>
            <w:vAlign w:val="bottom"/>
          </w:tcPr>
          <w:p>
            <w:pPr>
              <w:jc w:val="center"/>
              <w:ind w:right="35"/>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201"/>
        </w:trPr>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95"/>
              <w:spacing w:after="0" w:line="201"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ind w:right="35"/>
              <w:spacing w:after="0" w:line="201"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6,569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6,377</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13,160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12,720</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869</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17.3</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1,727</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15.3</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1,148</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1,002</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14.6</w:t>
            </w: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2,264</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1,900</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19.2</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8,736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8,248</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17,415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16,346</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6,781</w:t>
            </w:r>
          </w:p>
        </w:tc>
        <w:tc>
          <w:tcPr>
            <w:tcW w:w="34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7,358</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13,658</w:t>
            </w:r>
          </w:p>
        </w:tc>
        <w:tc>
          <w:tcPr>
            <w:tcW w:w="34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14,741</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993</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1,900</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1,313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1,469</w:t>
            </w: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(10.6)</w:t>
            </w: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2,675</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2,950</w:t>
            </w: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(9.3)</w:t>
            </w: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17,824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18,068</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(1.4)</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35,692</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35,937</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(0.7)</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4,248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4,579</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8,654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9,178</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6,472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6,465</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13,083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12,973</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10,721</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11,044</w:t>
            </w:r>
          </w:p>
        </w:tc>
        <w:tc>
          <w:tcPr>
            <w:tcW w:w="10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21,737</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22,152</w:t>
            </w:r>
          </w:p>
        </w:tc>
        <w:tc>
          <w:tcPr>
            <w:tcW w:w="10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7,103</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7,024</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13,955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13,785</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294"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increased for the three and six months ended June 30, 2024 compared to the same periods in 2023 due to increases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average rates.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wireless revenue </w:t>
      </w:r>
      <w:r>
        <w:rPr>
          <w:rFonts w:ascii="Times New Roman" w:cs="Times New Roman" w:eastAsia="Times New Roman" w:hAnsi="Times New Roman"/>
          <w:sz w:val="18"/>
          <w:szCs w:val="18"/>
          <w:color w:val="auto"/>
        </w:rPr>
        <w:t>increased for the three and six months ended June 30, 2024 compared to the same periods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the number of customer lines.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increased for the three and six months ended June 30, 2024 compared to the same periods in 2023 due to increases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broadband revenue resulting from an increase in average rates and in wireless revenue primarily resulting from increases in the sale of wireless services. The increase for the six months ended June 30, 2024 includes the positive impact of foreign currency.</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decreased for the three and six months ended June 30, 2024 compared to the same periods in 2023 primarily due to declines in the overall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residential video customers, partially offset by overall increases in average rates.</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remained consistent for the three months ended June 30, 2024 compared to the same period in 2023 primarily driven by lower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domestic nonpolitical advertising, offset by an increase in domestic political advertising.</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revenue increased for the six months ended June 30, 2024 compared to the same period in 2023 driven by an increase in domestic political advertising, increased revenue from our advanced advertising business and the positive impact of foreign currency, partially offset by lower domestic nonpolitical advertising.</w:t>
      </w:r>
    </w:p>
    <w:p>
      <w:pPr>
        <w:spacing w:after="0" w:line="1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and six months ended June 30, 2024 compared to the same periods in 2023 primarily due to decreases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wireline voice revenue driven by declines in the number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and six months ended June 30, 2024 compared to the same periods in 2023 primarily due to declines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number of domestic video subscribers, partially offset by rate increases under our domestic programming contracts.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remained consistent for the three months ended June 30, 2024 compared to the same period in 2023 primarily due to increased direct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product costs, offset by decreased spending on marketing and promotion.</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expenses increased for the six months ended June 30, 2024 compared to the same period in 2023 primarily due to increased direct product costs, higher technical and support expenses and the impact of foreign currency, partially offset by decreased spending on marketing and promotion.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vMerge w:val="restart"/>
          </w:tcPr>
          <w:p>
            <w:pPr>
              <w:jc w:val="center"/>
              <w:ind w:left="3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Six Months Ended</w:t>
            </w:r>
          </w:p>
        </w:tc>
        <w:tc>
          <w:tcPr>
            <w:tcW w:w="94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2,421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2,292</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4,829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4,575</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1,041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970</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2,083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1,921</w:t>
            </w:r>
          </w:p>
        </w:tc>
        <w:tc>
          <w:tcPr>
            <w:tcW w:w="9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1,380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1,322</w:t>
            </w:r>
          </w:p>
        </w:tc>
        <w:tc>
          <w:tcPr>
            <w:tcW w:w="118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4.4 %</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2,746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2,654</w:t>
            </w:r>
          </w:p>
        </w:tc>
        <w:tc>
          <w:tcPr>
            <w:tcW w:w="114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3.5 %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and six months ended June 30, 2024 compared to the same periods in 2023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revenue from medium-sized and enterprise customers and from higher average rates from small business customers.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and six months ended June 30, 2024 compared to the same periods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2023 primarily due to increases in direct product costs and in technical and support expenses. The increase for the six months ended June 30, 2024 also includes increased spending on marketing and promotion.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420" w:type="dxa"/>
            <w:vAlign w:val="bottom"/>
            <w:gridSpan w:val="3"/>
          </w:tcPr>
          <w:p>
            <w:pPr>
              <w:jc w:val="right"/>
              <w:ind w:right="871"/>
              <w:spacing w:after="0"/>
              <w:rPr>
                <w:sz w:val="20"/>
                <w:szCs w:val="20"/>
                <w:color w:val="auto"/>
              </w:rPr>
            </w:pPr>
            <w:r>
              <w:rPr>
                <w:rFonts w:ascii="Times New Roman" w:cs="Times New Roman" w:eastAsia="Times New Roman" w:hAnsi="Times New Roman"/>
                <w:sz w:val="14"/>
                <w:szCs w:val="14"/>
                <w:color w:val="auto"/>
              </w:rPr>
              <w:t>Six Months Ended</w:t>
            </w:r>
          </w:p>
        </w:tc>
        <w:tc>
          <w:tcPr>
            <w:tcW w:w="12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2023</w:t>
            </w: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6,195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12,347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3,087</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6,043</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6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2,209</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6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4,158</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(631)</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(1,448)</w:t>
            </w:r>
          </w:p>
        </w:tc>
        <w:tc>
          <w:tcPr>
            <w:tcW w:w="12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10,057</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10,873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21,131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1,244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2,124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255</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(51.4)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532</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833</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1,490</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6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(432)</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Content &amp; Experiences Adjusted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1,949</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2,187</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3,442</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3,795</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content and marketing at Peacock. Revenue and programming expenses are also impacted by the timing of certain sporting events, including the Olympics in the third quarter of 2024. Global economic conditions and consumer sentiment have in the past adversely impacted, and may continue to adversely impact, demand for our products and services and our results of operations.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as well as in new destinations and experiences which we believe will have a positive impact on attendance and guest spending at our theme parks.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4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color w:val="auto"/>
              </w:rPr>
              <w:t>Six Months Ended</w:t>
            </w: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2023</w:t>
            </w: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4,051</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(0.9)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2,615</w:t>
            </w:r>
          </w:p>
        </w:tc>
        <w:tc>
          <w:tcPr>
            <w:tcW w:w="12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5,325</w:t>
            </w:r>
          </w:p>
        </w:tc>
        <w:tc>
          <w:tcPr>
            <w:tcW w:w="12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1,035</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3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2,043</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518</w:t>
            </w: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928</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6,324</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6,195</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12,695</w:t>
            </w:r>
          </w:p>
        </w:tc>
        <w:tc>
          <w:tcPr>
            <w:tcW w:w="3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12,347</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3,634</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3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7,624</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341</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646</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976</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1,953</w:t>
            </w: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4,951</w:t>
            </w:r>
          </w:p>
        </w:tc>
        <w:tc>
          <w:tcPr>
            <w:tcW w:w="124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10,223</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1,244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9.0 %</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2,124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decreased for the three months ended June 30, 2024 compared to the same period in 2023 primarily due to a decrease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revenue at our linear television networks, partially offset by an increase in revenue at Peacock.</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Domestic advertising revenue remained consistent for the six months ended June 30, 2024 compared to the same period in 2023 primarily due to a decrease in revenue at our linear television networks, offset by an increase in revenue at Peacock.</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increased for the three and six months ended June 30, 2024 compared to the same periods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Peacock paid subscribers, partially offset by decreases in revenue at our linear television networks. The decreases at our networks were primarily due to declines in the number of subscribers, partially offset by contractual rate increases.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increased for the three months ended June 30, 2024 compared to the same period in 2023 primarily due to an increase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revenue associated with the distribution of sports networks.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networks revenue increased for the six months ended June 30, 2024 compared to the same period in 2023 primarily due to an increase in revenue associated with the distribution of sports networks and the positive impact of foreign currency.</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months ended June 30, 2024 compared to the same period in 2023 primarily due to a decrease in revenue from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licensing of our technology.</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Media segment total revenue included $1.0 billion and $2.1 billion related to Peacock for the three and six months ended June 30, 2024, respectively. Media segment total revenue included $820 million and $1.5 billion related to Peacock for the three and six months ended June 30, 2023, respectively. We had 33 million and 24 million paid subscribers of Peacock as of June 30, 2024 and 2023,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decreased for the three months ended June 30, 2024 compared to the same period in 2023 primarily due to a</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decrease at Peacock and a decrease in content costs for our entertainment television networks, partially offset by an increase in international sports programming costs, which included the timing of events.</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Programming and production costs increased for the six months ended June 30, 2024 compared to the same period in 2023 primarily due to higher programming costs at Peacock and an increase in domestic sports programming costs for our television networks, partially offset by a decrease in content costs for our entertainment television networks.</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decreased for the three and six months ended June 30, 2024 compared to the same periods in 2023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lower costs related to marketing for Peacock.</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and six months ended June 30, 2024 compared to the same periods in 2023 primarily due to increases in costs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related to Peacock.</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Media segment total costs and expenses included $1.4 billion and $3.1 billion related to Peacock for the three and six months ended June 30, 2024, respectively. Media segment total costs and expenses included $1.5 billion and $2.9 billion related to Peacock for the three and six months ended June 30, 2023,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6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color w:val="auto"/>
              </w:rPr>
              <w:t>Six Months Ended</w:t>
            </w: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4,165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913</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(74.1)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1,232</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354</w:t>
            </w: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646</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3,087</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(27.0)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6,043</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2,196</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4,297</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443</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8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840</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194</w:t>
            </w:r>
          </w:p>
        </w:tc>
        <w:tc>
          <w:tcPr>
            <w:tcW w:w="124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374</w:t>
            </w:r>
          </w:p>
        </w:tc>
        <w:tc>
          <w:tcPr>
            <w:tcW w:w="118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2,833</w:t>
            </w: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5,511</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255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532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decreased for the three months ended June 30, 2024 compared to the same period in 2023 primarily due to the timing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when content was made available by our television studios under licensing agreements.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Content licensing revenue decreased for the six months ended June 30, 2024 compared to the same period in 2023 primarily due to the timing of when content was made available by our film studios.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decreased for the three and six months ended June 30, 2024 compared to the same periods in 2023 primarily due to higher revenue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from releases in the prior year periods, including </w:t>
      </w:r>
      <w:r>
        <w:rPr>
          <w:rFonts w:ascii="Times New Roman" w:cs="Times New Roman" w:eastAsia="Times New Roman" w:hAnsi="Times New Roman"/>
          <w:sz w:val="18"/>
          <w:szCs w:val="18"/>
          <w:i w:val="1"/>
          <w:iCs w:val="1"/>
          <w:color w:val="auto"/>
        </w:rPr>
        <w:t>The Super Mario Bros.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Fast X</w:t>
      </w:r>
      <w:r>
        <w:rPr>
          <w:rFonts w:ascii="Times New Roman" w:cs="Times New Roman" w:eastAsia="Times New Roman" w:hAnsi="Times New Roman"/>
          <w:sz w:val="18"/>
          <w:szCs w:val="18"/>
          <w:color w:val="auto"/>
        </w:rPr>
        <w:t xml:space="preserve">, compared to revenue from recent releases, including </w:t>
      </w:r>
      <w:r>
        <w:rPr>
          <w:rFonts w:ascii="Times New Roman" w:cs="Times New Roman" w:eastAsia="Times New Roman" w:hAnsi="Times New Roman"/>
          <w:sz w:val="18"/>
          <w:szCs w:val="18"/>
          <w:i w:val="1"/>
          <w:iCs w:val="1"/>
          <w:color w:val="auto"/>
        </w:rPr>
        <w:t>Kung Fu Panda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months ended June 30, 2024 compared to the same period in 2023 primarily due to decreased sales of home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entertainment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decreased for the three and six months ended June 30, 2024 compared to the same periods in 2023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lower costs associated with theatrical releases and content licensing sales.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decreased for the three and six months ended June 30, 2024 compared to the same periods in 2023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decreased spending on recent and upcoming theatrical film releases in the current year periods.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6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color w:val="auto"/>
              </w:rPr>
              <w:t>Six Months Ended</w:t>
            </w:r>
          </w:p>
        </w:tc>
        <w:tc>
          <w:tcPr>
            <w:tcW w:w="11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2,209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4,158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1,376</w:t>
            </w:r>
          </w:p>
        </w:tc>
        <w:tc>
          <w:tcPr>
            <w:tcW w:w="12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2,668</w:t>
            </w: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833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1,490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decreased for the three and six months ended June 30, 2024 compared to the same periods in 2023 primarily due to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decreases at our domestic theme parks driven by decreased park attendance, as well as the negative impact from foreign currency at our international theme parks.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decreased for the three months ended June 30, 2024 compared to the same period in 2023 primarily due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to the impact of foreign currency.</w:t>
      </w:r>
    </w:p>
    <w:p>
      <w:pPr>
        <w:spacing w:after="0" w:line="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Theme parks segment costs and expenses for the six months ended June 30, 2024 were consistent compared to the same period in 2023 primarily due to higher costs associated with park operations, offset by the impact of foreign currency.</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212</w:t>
            </w:r>
          </w:p>
        </w:tc>
        <w:tc>
          <w:tcPr>
            <w:tcW w:w="12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463</w:t>
            </w:r>
          </w:p>
        </w:tc>
        <w:tc>
          <w:tcPr>
            <w:tcW w:w="11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(432)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expenses include overhead, personnel costs and costs associated with corporate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4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(1,236)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(1,448)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(687)</w:t>
            </w:r>
          </w:p>
        </w:tc>
        <w:tc>
          <w:tcPr>
            <w:tcW w:w="12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(1,306)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(1,528)</w:t>
            </w:r>
          </w:p>
        </w:tc>
        <w:tc>
          <w:tcPr>
            <w:tcW w:w="11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70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3"/>
          </w:tcPr>
          <w:p>
            <w:pPr>
              <w:jc w:val="right"/>
              <w:ind w:right="835"/>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w w:val="96"/>
              </w:rPr>
              <w:t>706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654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1,360</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6"/>
              </w:rPr>
              <w:t>966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rPr>
              <w:t>957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1,952</w:t>
            </w: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7"/>
              </w:rPr>
              <w:t>(260)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b w:val="1"/>
                <w:bCs w:val="1"/>
                <w:color w:val="auto"/>
                <w:w w:val="97"/>
              </w:rPr>
              <w:t>(303)</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(591)</w:t>
            </w:r>
          </w:p>
        </w:tc>
        <w:tc>
          <w:tcPr>
            <w:tcW w:w="116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0.3 %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includes overhead and personnel costs; Sky branded video services and television networks in Germany; Comcast Spectacor, which owns the Philadelphia Flyers and the Wells Fargo Center arena in Philadelphia, Pennsylvania; and Xumo, our consolidated streaming platform joint venture.</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Corporate and Other revenue </w:t>
      </w:r>
      <w:r>
        <w:rPr>
          <w:rFonts w:ascii="Times New Roman" w:cs="Times New Roman" w:eastAsia="Times New Roman" w:hAnsi="Times New Roman"/>
          <w:sz w:val="18"/>
          <w:szCs w:val="18"/>
          <w:color w:val="auto"/>
        </w:rPr>
        <w:t>increased for the three and six months ended June 30, 2024 compared to the same periods in 2023 driven by increases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across our businesses.</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Corporate and Other costs and expenses </w:t>
      </w:r>
      <w:r>
        <w:rPr>
          <w:rFonts w:ascii="Times New Roman" w:cs="Times New Roman" w:eastAsia="Times New Roman" w:hAnsi="Times New Roman"/>
          <w:sz w:val="18"/>
          <w:szCs w:val="18"/>
          <w:color w:val="auto"/>
        </w:rPr>
        <w:t>increased for the three and six months ended June 30, 2024 compared to the same periods in 2023</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primarily due to increases related to corporate functions and Xumo. The increase for the three months ended June 30, 2024 was partially offset by lower costs related to Sky operations in Germany, including the impact of the timing of recognition of costs related to the 2022 FIFA World Cup in the prior year period.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(1,373)</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(2,799)</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(1,386)</w:t>
            </w:r>
          </w:p>
        </w:tc>
        <w:tc>
          <w:tcPr>
            <w:tcW w:w="1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(2,816)</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14</w:t>
            </w:r>
          </w:p>
        </w:tc>
        <w:tc>
          <w:tcPr>
            <w:tcW w:w="12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NM</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17</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color w:val="auto"/>
              </w:rPr>
              <w:t>Three Months Ended</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4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636"/>
              <w:spacing w:after="0"/>
              <w:rPr>
                <w:sz w:val="20"/>
                <w:szCs w:val="20"/>
                <w:color w:val="auto"/>
              </w:rPr>
            </w:pPr>
            <w:r>
              <w:rPr>
                <w:rFonts w:ascii="Times New Roman" w:cs="Times New Roman" w:eastAsia="Times New Roman" w:hAnsi="Times New Roman"/>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3,929</w:t>
            </w:r>
          </w:p>
        </w:tc>
        <w:tc>
          <w:tcPr>
            <w:tcW w:w="9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4,248</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7,785</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6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1,336</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1,537</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2,663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1,026</w:t>
            </w:r>
          </w:p>
        </w:tc>
        <w:tc>
          <w:tcPr>
            <w:tcW w:w="9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998</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434</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137</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2,153</w:t>
            </w:r>
          </w:p>
        </w:tc>
        <w:tc>
          <w:tcPr>
            <w:tcW w:w="9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2,195</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4,328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1,387</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1,343</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2,762</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29"/>
        </w:trPr>
        <w:tc>
          <w:tcPr>
            <w:tcW w:w="49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92"/>
              </w:rPr>
              <w:t>10,171</w:t>
            </w:r>
          </w:p>
        </w:tc>
        <w:tc>
          <w:tcPr>
            <w:tcW w:w="9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10,244</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19,526</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19,659</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Amounts represent the impact of certain events, gains, losses or other charges that are excluded from Adjusted EBITDA, including costs related to our investment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54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1"/>
                <w:szCs w:val="11"/>
                <w:color w:val="auto"/>
              </w:rPr>
            </w:pPr>
          </w:p>
        </w:tc>
        <w:tc>
          <w:tcPr>
            <w:tcW w:w="9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As Reported</w:t>
            </w:r>
          </w:p>
        </w:tc>
        <w:tc>
          <w:tcPr>
            <w:tcW w:w="20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560" w:type="dxa"/>
            <w:vAlign w:val="bottom"/>
            <w:gridSpan w:val="2"/>
          </w:tcPr>
          <w:p>
            <w:pPr>
              <w:jc w:val="right"/>
              <w:ind w:right="370"/>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9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As Reported</w:t>
            </w:r>
          </w:p>
        </w:tc>
        <w:tc>
          <w:tcPr>
            <w:tcW w:w="20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right"/>
              <w:ind w:right="50"/>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3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Amounts</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Amounts</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2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2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20,360</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20,380</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40,512</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40,667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2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3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8,346</w:t>
            </w:r>
          </w:p>
        </w:tc>
        <w:tc>
          <w:tcPr>
            <w:tcW w:w="200" w:type="dxa"/>
            <w:vAlign w:val="bottom"/>
          </w:tcPr>
          <w:p>
            <w:pPr>
              <w:spacing w:after="0"/>
              <w:rPr>
                <w:sz w:val="15"/>
                <w:szCs w:val="15"/>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8,351</w:t>
            </w: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16,439</w:t>
            </w:r>
          </w:p>
        </w:tc>
        <w:tc>
          <w:tcPr>
            <w:tcW w:w="200" w:type="dxa"/>
            <w:vAlign w:val="bottom"/>
          </w:tcPr>
          <w:p>
            <w:pPr>
              <w:spacing w:after="0"/>
              <w:rPr>
                <w:sz w:val="15"/>
                <w:szCs w:val="15"/>
                <w:color w:val="auto"/>
              </w:rPr>
            </w:pPr>
          </w:p>
        </w:tc>
        <w:tc>
          <w:tcPr>
            <w:tcW w:w="2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16,462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3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220" w:type="dxa"/>
            <w:vAlign w:val="bottom"/>
          </w:tcPr>
          <w:p>
            <w:pPr>
              <w:spacing w:after="0"/>
              <w:rPr>
                <w:sz w:val="15"/>
                <w:szCs w:val="15"/>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41.0 %</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bps</w:t>
            </w:r>
          </w:p>
        </w:tc>
        <w:tc>
          <w:tcPr>
            <w:tcW w:w="120" w:type="dxa"/>
            <w:vAlign w:val="bottom"/>
          </w:tcPr>
          <w:p>
            <w:pPr>
              <w:spacing w:after="0"/>
              <w:rPr>
                <w:sz w:val="15"/>
                <w:szCs w:val="15"/>
                <w:color w:val="auto"/>
              </w:rPr>
            </w:pPr>
          </w:p>
        </w:tc>
        <w:tc>
          <w:tcPr>
            <w:tcW w:w="15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41.0 %</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12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40.5 %</w:t>
            </w:r>
          </w:p>
        </w:tc>
        <w:tc>
          <w:tcPr>
            <w:tcW w:w="0" w:type="dxa"/>
            <w:vAlign w:val="bottom"/>
          </w:tcPr>
          <w:p>
            <w:pPr>
              <w:spacing w:after="0"/>
              <w:rPr>
                <w:sz w:val="1"/>
                <w:szCs w:val="1"/>
                <w:color w:val="auto"/>
              </w:rPr>
            </w:pPr>
          </w:p>
        </w:tc>
      </w:tr>
      <w:tr>
        <w:trPr>
          <w:trHeight w:val="238"/>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vMerge w:val="continue"/>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11"/>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5"/>
          </w:tcPr>
          <w:p>
            <w:pPr>
              <w:jc w:val="center"/>
              <w:ind w:right="132"/>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260" w:type="dxa"/>
            <w:vAlign w:val="bottom"/>
          </w:tcPr>
          <w:p>
            <w:pPr>
              <w:spacing w:after="0"/>
              <w:rPr>
                <w:sz w:val="16"/>
                <w:szCs w:val="16"/>
                <w:color w:val="auto"/>
              </w:rPr>
            </w:pPr>
          </w:p>
        </w:tc>
        <w:tc>
          <w:tcPr>
            <w:tcW w:w="2680" w:type="dxa"/>
            <w:vAlign w:val="bottom"/>
            <w:gridSpan w:val="4"/>
          </w:tcPr>
          <w:p>
            <w:pPr>
              <w:jc w:val="center"/>
              <w:ind w:left="634"/>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260" w:type="dxa"/>
            <w:vAlign w:val="bottom"/>
          </w:tcPr>
          <w:p>
            <w:pPr>
              <w:spacing w:after="0"/>
              <w:rPr>
                <w:sz w:val="11"/>
                <w:szCs w:val="11"/>
                <w:color w:val="auto"/>
              </w:rPr>
            </w:pPr>
          </w:p>
        </w:tc>
        <w:tc>
          <w:tcPr>
            <w:tcW w:w="10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3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w w:val="99"/>
              </w:rPr>
              <w:t>Currency</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color w:val="auto"/>
              </w:rPr>
              <w:t>Amounts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174"/>
        </w:trPr>
        <w:tc>
          <w:tcPr>
            <w:tcW w:w="36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Adjusted EBITDA per 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53.13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416"/>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5"/>
          </w:tcPr>
          <w:p>
            <w:pPr>
              <w:jc w:val="center"/>
              <w:ind w:right="132"/>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260" w:type="dxa"/>
            <w:vAlign w:val="bottom"/>
          </w:tcPr>
          <w:p>
            <w:pPr>
              <w:spacing w:after="0"/>
              <w:rPr>
                <w:sz w:val="24"/>
                <w:szCs w:val="24"/>
                <w:color w:val="auto"/>
              </w:rPr>
            </w:pPr>
          </w:p>
        </w:tc>
        <w:tc>
          <w:tcPr>
            <w:tcW w:w="2680" w:type="dxa"/>
            <w:vAlign w:val="bottom"/>
            <w:gridSpan w:val="4"/>
          </w:tcPr>
          <w:p>
            <w:pPr>
              <w:jc w:val="center"/>
              <w:ind w:left="634"/>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260" w:type="dxa"/>
            <w:vAlign w:val="bottom"/>
          </w:tcPr>
          <w:p>
            <w:pPr>
              <w:spacing w:after="0"/>
              <w:rPr>
                <w:sz w:val="11"/>
                <w:szCs w:val="11"/>
                <w:color w:val="auto"/>
              </w:rPr>
            </w:pPr>
          </w:p>
        </w:tc>
        <w:tc>
          <w:tcPr>
            <w:tcW w:w="10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3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w w:val="99"/>
              </w:rPr>
              <w:t>Currency</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color w:val="auto"/>
              </w:rPr>
              <w:t>Amounts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2,293</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169"/>
        </w:trPr>
        <w:tc>
          <w:tcPr>
            <w:tcW w:w="3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12,014</w:t>
            </w:r>
          </w:p>
        </w:tc>
        <w:tc>
          <w:tcPr>
            <w:tcW w:w="2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vMerge w:val="restart"/>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12,029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24,073</w:t>
            </w:r>
          </w:p>
        </w:tc>
        <w:tc>
          <w:tcPr>
            <w:tcW w:w="2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380" w:type="dxa"/>
            <w:vAlign w:val="bottom"/>
            <w:vMerge w:val="restart"/>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24,205</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640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5"/>
          </w:tcPr>
          <w:p>
            <w:pPr>
              <w:jc w:val="center"/>
              <w:ind w:right="132"/>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260" w:type="dxa"/>
            <w:vAlign w:val="bottom"/>
          </w:tcPr>
          <w:p>
            <w:pPr>
              <w:spacing w:after="0"/>
              <w:rPr>
                <w:sz w:val="24"/>
                <w:szCs w:val="24"/>
                <w:color w:val="auto"/>
              </w:rPr>
            </w:pPr>
          </w:p>
        </w:tc>
        <w:tc>
          <w:tcPr>
            <w:tcW w:w="2680" w:type="dxa"/>
            <w:vAlign w:val="bottom"/>
            <w:gridSpan w:val="4"/>
          </w:tcPr>
          <w:p>
            <w:pPr>
              <w:jc w:val="center"/>
              <w:ind w:left="634"/>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260" w:type="dxa"/>
            <w:vAlign w:val="bottom"/>
          </w:tcPr>
          <w:p>
            <w:pPr>
              <w:spacing w:after="0"/>
              <w:rPr>
                <w:sz w:val="11"/>
                <w:szCs w:val="11"/>
                <w:color w:val="auto"/>
              </w:rPr>
            </w:pPr>
          </w:p>
        </w:tc>
        <w:tc>
          <w:tcPr>
            <w:tcW w:w="10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w w:val="99"/>
              </w:rPr>
              <w:t>Currency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color w:val="auto"/>
              </w:rPr>
              <w:t>Amounts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8,255</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7,366</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995</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18,088</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36,092</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6,477</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11,059</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7,024</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7,029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13,785</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2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2"/>
        </w:trPr>
        <w:tc>
          <w:tcPr>
            <w:tcW w:w="8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908"/>
              <w:spacing w:after="0"/>
              <w:rPr>
                <w:sz w:val="20"/>
                <w:szCs w:val="20"/>
                <w:color w:val="auto"/>
              </w:rPr>
            </w:pPr>
            <w:r>
              <w:rPr>
                <w:rFonts w:ascii="Times New Roman" w:cs="Times New Roman" w:eastAsia="Times New Roman" w:hAnsi="Times New Roman"/>
                <w:sz w:val="14"/>
                <w:szCs w:val="14"/>
                <w:color w:val="auto"/>
              </w:rPr>
              <w:t>June 30,</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22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72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7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7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7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3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36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2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72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June 30, 2024, amounts available under our revolving credit facility, net of amounts outstanding under our commercial paper program and outstanding letters of credit and bank guarantees, totaled $11.8 billion.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 new revolving credit facility in May 2024 (see Note 5). Our new revolving credit facility contains a financial covenant pertaining to leverage, which is the ratio of debt to EBITDA, as defined in the agreement. Compliance with this financial covenant is tested on a quarterly basis. As of June 30, 2024, we met this financial covenant, and we expect to remain in compliance with this financial covenant.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12,445</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7,091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689</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(1,813)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(4,568)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254</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12,572</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14,426</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six months ended June 30, 2024 compared to the same period in 2023 was primarily related to decreases in receivables and inventory.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of income taxes increased for the six months ended June 30, 2024 compared to the same period in 2023 and included higher payments in the current year period related to the preceding tax year, primarily driven by the sale of our investment in Hulu, and other tax related matters.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decreased for the six months ended June 30, 2024 compared to the same period in 2023 primarily due to decreased capital expenditures, decreased cash paid for intangible assets related to software development and increased proceeds from the maturity of short-term investments in the current year period. These decreases were partially offset by increased purchases of short-term investments. Capital expenditures decreased for the six months ended June 30, 2024 compared to the same period in 2023 primarily reflecting decreased spending on customer premise equipment and scalable infrastructure, partially offset by increased spending on line extensions by the Connectivity &amp; Platforms businesses.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exercised our put right requiring Disney to purchase our interest in Hulu and received $8.6 billion, representing $9.2 billion for our share of Hulu’s minimum equity value presented as an advance on the sale of our investment in our condensed consolidated balance sheet, less $557 million for our share of prior capital calls. We expect to receive additional proceeds for the sale of our interest in Hulu in 2024 following the final determination of Hulu’s fair value pursuant to a third-party appraisal process, at which time we will recognize the sale of our interest.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six months ended June 30, 2024 compared to the same period in 2023 primarily due to higher proceeds from borrowings in the prior year period and increases in repurchases of common stock in the current year period. These increases were partially offset by higher repurchases and repayments of debt in the prior year period and by repayments of short-term borrowings in the prior year period.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2024, we issued $3.3 billion aggregate principal amount of fixed-rate senior notes, which have maturities ranging between 2029 and 2054 and a weighted-average interest rate of 5.38%. The net proceeds from this issuance was for the repayment of our outstanding commercial paper, and for working capital and general corporate purposes.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we made debt repayments of $1.9 billion, including $1.5 billion principal amount of notes due at maturity and $215 million of 3.950% Notes due 2025, $149 million of 3.375% Notes due 2025 and $25 million of 5.250% Notes due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we repurchased a total of 112 million shares of our Class A common stock for $4.6 billion. In January 2024, our Board of Directors terminated the existing share repurchase program authorization and approved a new share repurchase program authorization of $15.0 billion, which has no expiration date. As of June 30, 2024, we had $11.0 billion remaining under the authorization. We expect to repurchase additional shares of our Class A common stock under this new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$307 million for the six months ended June 30, 2024 related to employee taxes associated with the administration of our share-based compensation plans.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our Board of Directors approved a 6.9% increase in our dividend to $1.24 per share on an annualized basis. During the six months ended June 30, 2024, we paid dividends of $2.4 billion. In May 2024, our Board of Directors approved our second quarter dividend of $0.31 per share, which is payable in July 2024.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500" w:type="dxa"/>
            <w:vAlign w:val="bottom"/>
          </w:tcPr>
          <w:p>
            <w:pPr>
              <w:spacing w:after="0"/>
              <w:rPr>
                <w:sz w:val="13"/>
                <w:szCs w:val="13"/>
                <w:color w:val="auto"/>
              </w:rPr>
            </w:pPr>
          </w:p>
        </w:tc>
        <w:tc>
          <w:tcPr>
            <w:tcW w:w="13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June 30,</w:t>
            </w:r>
          </w:p>
        </w:tc>
        <w:tc>
          <w:tcPr>
            <w:tcW w:w="2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07"/>
        </w:trPr>
        <w:tc>
          <w:tcPr>
            <w:tcW w:w="76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86"/>
        </w:trPr>
        <w:tc>
          <w:tcPr>
            <w:tcW w:w="7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Annual Report on Form 10-K,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6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combined Guarantors have noncurrent notes payable to non-guarantor subsidiaries of $80 billion and $136 billion, respectively, and noncurrent notes receivable from non-guarantor subsidiaries of $17 billion and $18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Comcast and Comcast Holdings, the combined issuer and guarantor of the guaranteed subordinated debt, have noncurrent senior notes payable to non-guarantor subsidiaries of $47 billion and $104 billion, respectively, and noncurrent notes receivable from non-guarantor subsidiaries of $14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2023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2023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2023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June 30,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3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ind w:right="239"/>
              <w:spacing w:after="0" w:line="14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66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360" w:type="dxa"/>
            <w:vAlign w:val="bottom"/>
          </w:tcPr>
          <w:p>
            <w:pPr>
              <w:spacing w:after="0"/>
              <w:rPr>
                <w:sz w:val="12"/>
                <w:szCs w:val="12"/>
                <w:color w:val="auto"/>
              </w:rPr>
            </w:pPr>
          </w:p>
        </w:tc>
        <w:tc>
          <w:tcPr>
            <w:tcW w:w="15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1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the Publicly Announced</w:t>
            </w:r>
          </w:p>
        </w:tc>
        <w:tc>
          <w:tcPr>
            <w:tcW w:w="240" w:type="dxa"/>
            <w:vAlign w:val="bottom"/>
          </w:tcPr>
          <w:p>
            <w:pPr>
              <w:spacing w:after="0"/>
              <w:rPr>
                <w:sz w:val="11"/>
                <w:szCs w:val="11"/>
                <w:color w:val="auto"/>
              </w:rPr>
            </w:pPr>
          </w:p>
        </w:tc>
        <w:tc>
          <w:tcPr>
            <w:tcW w:w="166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203"/>
        </w:trPr>
        <w:tc>
          <w:tcPr>
            <w:tcW w:w="196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2024</w:t>
            </w:r>
          </w:p>
        </w:tc>
        <w:tc>
          <w:tcPr>
            <w:tcW w:w="2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25,302,381</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39.92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25,302,381</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1,009,999,593</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12,176,953,238</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1-31, 2024</w:t>
            </w:r>
          </w:p>
        </w:tc>
        <w:tc>
          <w:tcPr>
            <w:tcW w:w="20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24,034,085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38.90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24,034,085</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934,990,530</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11,241,962,708</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2024</w:t>
            </w:r>
          </w:p>
        </w:tc>
        <w:tc>
          <w:tcPr>
            <w:tcW w:w="20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7,045,460</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38.32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7,045,460</w:t>
            </w:r>
          </w:p>
        </w:tc>
        <w:tc>
          <w:tcPr>
            <w:tcW w:w="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270,009,433</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10,971,953,275</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56,381,926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39.29</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56,381,926</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2,214,999,556</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10,971,953,275</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81"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2022, our Board of Directors approved a share repurchase program authorization of $20.0 billion. In January 2024, our Board of Directors terminated the existing program and approved a new share repurchase authorization of $15.0 billion, which has no expiration date. We expect to repurchase additional shares of our Class A common stock under this authorization, in the open market or in private transactions, subject to market and other conditions.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jc w:val="right"/>
        <w:ind w:left="20" w:right="20"/>
        <w:spacing w:after="0" w:line="222" w:lineRule="auto"/>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Agreement dated as of May 17, 2024, among Comcast Corporation, the financial institutions party thereto, JPMorgan Chase Bank,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N.A., as administrative agent, Citibank, N.A., as syndication agent, and Bank of America, N.A., Barclays Bank PLC, Mizuho Bank, Ltd.,</w:t>
      </w:r>
    </w:p>
    <w:p>
      <w:pPr>
        <w:spacing w:after="0" w:line="2" w:lineRule="exact"/>
        <w:rPr>
          <w:sz w:val="20"/>
          <w:szCs w:val="20"/>
          <w:color w:val="auto"/>
        </w:rPr>
      </w:pPr>
    </w:p>
    <w:p>
      <w:pPr>
        <w:ind w:left="900" w:right="40"/>
        <w:spacing w:after="0" w:line="226" w:lineRule="auto"/>
        <w:rPr>
          <w:sz w:val="20"/>
          <w:szCs w:val="20"/>
          <w:color w:val="auto"/>
        </w:rPr>
      </w:pPr>
      <w:r>
        <w:rPr>
          <w:rFonts w:ascii="Times New Roman" w:cs="Times New Roman" w:eastAsia="Times New Roman" w:hAnsi="Times New Roman"/>
          <w:sz w:val="18"/>
          <w:szCs w:val="18"/>
          <w:color w:val="auto"/>
        </w:rPr>
        <w:t>Morgan Stanley MUFG Partners, LLC and Wells Fargo Bank, National Association, as co-documentation agents (incorporated by reference to Exhibit 10.1 to Comcast's Current Report on Form 8-K filed May 17, 2024).</w:t>
      </w:r>
    </w:p>
    <w:p>
      <w:pPr>
        <w:ind w:left="2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10.2*</w:t>
      </w:r>
      <w:r>
        <w:rPr>
          <w:sz w:val="20"/>
          <w:szCs w:val="20"/>
          <w:color w:val="auto"/>
        </w:rPr>
        <w:tab/>
      </w:r>
      <w:r>
        <w:rPr>
          <w:rFonts w:ascii="Times New Roman" w:cs="Times New Roman" w:eastAsia="Times New Roman" w:hAnsi="Times New Roman"/>
          <w:sz w:val="17"/>
          <w:szCs w:val="17"/>
          <w:color w:val="auto"/>
        </w:rPr>
        <w:t>Employment Agreement between Comcast Corporation and Jennifer Khoury, dated as of December 31, 2022.</w:t>
      </w:r>
    </w:p>
    <w:p>
      <w:pPr>
        <w:spacing w:after="0" w:line="2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10.3*</w:t>
      </w:r>
      <w:r>
        <w:rPr>
          <w:sz w:val="20"/>
          <w:szCs w:val="20"/>
          <w:color w:val="auto"/>
        </w:rPr>
        <w:tab/>
      </w:r>
      <w:r>
        <w:rPr>
          <w:rFonts w:ascii="Times New Roman" w:cs="Times New Roman" w:eastAsia="Times New Roman" w:hAnsi="Times New Roman"/>
          <w:sz w:val="18"/>
          <w:szCs w:val="18"/>
          <w:color w:val="auto"/>
        </w:rPr>
        <w:t>Employment Agreement between Comcast Corporation and Thomas J. Reid, dated as of April 17, 2024.</w:t>
      </w:r>
    </w:p>
    <w:p>
      <w:pPr>
        <w:spacing w:after="0" w:line="23" w:lineRule="exact"/>
        <w:rPr>
          <w:sz w:val="20"/>
          <w:szCs w:val="20"/>
          <w:color w:val="auto"/>
        </w:rPr>
      </w:pPr>
    </w:p>
    <w:p>
      <w:pPr>
        <w:ind w:left="900" w:hanging="874"/>
        <w:spacing w:after="0"/>
        <w:tabs>
          <w:tab w:leader="none" w:pos="90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22"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19"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six months ended June 30, 2024, filed with the Securities and Exchange Commission on July 23, 2024,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9"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900" w:hanging="87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7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51" w:lineRule="exact"/>
        <w:rPr>
          <w:sz w:val="20"/>
          <w:szCs w:val="20"/>
          <w:color w:val="auto"/>
        </w:rPr>
      </w:pPr>
    </w:p>
    <w:p>
      <w:pPr>
        <w:ind w:right="560" w:firstLine="212"/>
        <w:spacing w:after="0" w:line="234" w:lineRule="auto"/>
        <w:rPr>
          <w:sz w:val="20"/>
          <w:szCs w:val="20"/>
          <w:color w:val="auto"/>
        </w:rPr>
      </w:pPr>
      <w:r>
        <w:rPr>
          <w:rFonts w:ascii="Times New Roman" w:cs="Times New Roman" w:eastAsia="Times New Roman" w:hAnsi="Times New Roman"/>
          <w:sz w:val="22"/>
          <w:szCs w:val="22"/>
          <w:color w:val="auto"/>
        </w:rPr>
        <w:t>This EMPLOYMENT AGREEMENT (the “Agreement”) is entered into as of the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December, 2022, between COMCAST CORPORATION, a Pennsylvania corporation (together with its subsidiaries, the “Company”), and JENNIFER KHOURY (“Employee”).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51" w:lineRule="exact"/>
        <w:rPr>
          <w:sz w:val="20"/>
          <w:szCs w:val="20"/>
          <w:color w:val="auto"/>
        </w:rPr>
      </w:pPr>
    </w:p>
    <w:p>
      <w:pPr>
        <w:ind w:right="80" w:firstLine="216"/>
        <w:spacing w:after="0" w:line="263" w:lineRule="auto"/>
        <w:rPr>
          <w:sz w:val="20"/>
          <w:szCs w:val="20"/>
          <w:color w:val="auto"/>
        </w:rPr>
      </w:pPr>
      <w:r>
        <w:rPr>
          <w:rFonts w:ascii="Times New Roman" w:cs="Times New Roman" w:eastAsia="Times New Roman" w:hAnsi="Times New Roman"/>
          <w:sz w:val="22"/>
          <w:szCs w:val="22"/>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Intending to be legally bound, the Company and Employee agree as follows:</w:t>
      </w:r>
    </w:p>
    <w:p>
      <w:pPr>
        <w:spacing w:after="0" w:line="247" w:lineRule="exact"/>
        <w:rPr>
          <w:sz w:val="20"/>
          <w:szCs w:val="20"/>
          <w:color w:val="auto"/>
        </w:rPr>
      </w:pPr>
    </w:p>
    <w:p>
      <w:pPr>
        <w:ind w:left="600" w:hanging="376"/>
        <w:spacing w:after="0"/>
        <w:tabs>
          <w:tab w:leader="none" w:pos="6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40" w:firstLine="440"/>
        <w:spacing w:after="0" w:line="263" w:lineRule="auto"/>
        <w:tabs>
          <w:tab w:leader="none" w:pos="88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serve, and the Company shall employ Employee in the position set forth on Schedule 1. The position and duties of Employee from time to time hereunder assigned by the Company will be commensurate with Employee’s education, skills and experience.</w:t>
      </w:r>
    </w:p>
    <w:p>
      <w:pPr>
        <w:spacing w:after="0" w:line="194" w:lineRule="exact"/>
        <w:rPr>
          <w:rFonts w:ascii="Times New Roman" w:cs="Times New Roman" w:eastAsia="Times New Roman" w:hAnsi="Times New Roman"/>
          <w:sz w:val="22"/>
          <w:szCs w:val="22"/>
          <w:color w:val="auto"/>
        </w:rPr>
      </w:pPr>
    </w:p>
    <w:p>
      <w:pPr>
        <w:ind w:right="20" w:firstLine="440"/>
        <w:spacing w:after="0" w:line="253" w:lineRule="auto"/>
        <w:tabs>
          <w:tab w:leader="none" w:pos="9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05" w:lineRule="exact"/>
        <w:rPr>
          <w:rFonts w:ascii="Times New Roman" w:cs="Times New Roman" w:eastAsia="Times New Roman" w:hAnsi="Times New Roman"/>
          <w:sz w:val="22"/>
          <w:szCs w:val="22"/>
          <w:color w:val="auto"/>
        </w:rPr>
      </w:pPr>
    </w:p>
    <w:p>
      <w:pPr>
        <w:ind w:right="820" w:firstLine="440"/>
        <w:spacing w:after="0" w:line="271" w:lineRule="auto"/>
        <w:tabs>
          <w:tab w:leader="none" w:pos="88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comply with all policies of the Company applicable to them, including those contained in the Employee Handbook and the Code of Conduct.</w:t>
      </w:r>
    </w:p>
    <w:p>
      <w:pPr>
        <w:spacing w:after="0" w:line="184" w:lineRule="exact"/>
        <w:rPr>
          <w:rFonts w:ascii="Times New Roman" w:cs="Times New Roman" w:eastAsia="Times New Roman" w:hAnsi="Times New Roman"/>
          <w:sz w:val="22"/>
          <w:szCs w:val="22"/>
          <w:color w:val="auto"/>
        </w:rPr>
      </w:pPr>
    </w:p>
    <w:p>
      <w:pPr>
        <w:ind w:right="260" w:firstLine="224"/>
        <w:spacing w:after="0" w:line="253" w:lineRule="auto"/>
        <w:tabs>
          <w:tab w:leader="none" w:pos="59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(the “Term”) shall be from January 1, 2023 (the “Commencement Date”) through the first to occur of: (a) the date Employee’s employment is terminated in accordance with Paragraph 6; or (b) December 31, 2027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1418" w:right="339" w:bottom="1440" w:gutter="0" w:footer="0" w:header="0"/>
        </w:sectPr>
      </w:pPr>
    </w:p>
    <w:bookmarkStart w:id="37" w:name="page38"/>
    <w:bookmarkEnd w:id="37"/>
    <w:p>
      <w:pPr>
        <w:ind w:left="560" w:hanging="376"/>
        <w:spacing w:after="0"/>
        <w:tabs>
          <w:tab w:leader="none" w:pos="5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40" w:right="180" w:firstLine="440"/>
        <w:spacing w:after="0" w:line="265" w:lineRule="auto"/>
        <w:tabs>
          <w:tab w:leader="none" w:pos="84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Employee’s base salary (“Base Salary”) from the Commencement Date through February 29, 2024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95" w:lineRule="exact"/>
        <w:rPr>
          <w:rFonts w:ascii="Times New Roman" w:cs="Times New Roman" w:eastAsia="Times New Roman" w:hAnsi="Times New Roman"/>
          <w:sz w:val="21"/>
          <w:szCs w:val="21"/>
          <w:color w:val="auto"/>
        </w:rPr>
      </w:pPr>
    </w:p>
    <w:p>
      <w:pPr>
        <w:ind w:left="-40" w:firstLine="440"/>
        <w:spacing w:after="0" w:line="256" w:lineRule="auto"/>
        <w:tabs>
          <w:tab w:leader="none" w:pos="8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and Stock Option Grants</w:t>
      </w:r>
      <w:r>
        <w:rPr>
          <w:rFonts w:ascii="Times New Roman" w:cs="Times New Roman" w:eastAsia="Times New Roman" w:hAnsi="Times New Roman"/>
          <w:sz w:val="22"/>
          <w:szCs w:val="22"/>
          <w:color w:val="auto"/>
        </w:rPr>
        <w:t>. Continuing in 2023 and in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203" w:lineRule="exact"/>
        <w:rPr>
          <w:rFonts w:ascii="Times New Roman" w:cs="Times New Roman" w:eastAsia="Times New Roman" w:hAnsi="Times New Roman"/>
          <w:sz w:val="22"/>
          <w:szCs w:val="22"/>
          <w:color w:val="auto"/>
        </w:rPr>
      </w:pPr>
    </w:p>
    <w:p>
      <w:pPr>
        <w:ind w:left="860" w:hanging="460"/>
        <w:spacing w:after="0"/>
        <w:tabs>
          <w:tab w:leader="none" w:pos="8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Bonuses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40" w:right="140" w:firstLine="656"/>
        <w:spacing w:after="0" w:line="256" w:lineRule="auto"/>
        <w:tabs>
          <w:tab w:leader="none" w:pos="1028"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be entitled to participate in the Company’s Cash Bonus Plan as set forth on Schedule 1 for 2023.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203" w:lineRule="exact"/>
        <w:rPr>
          <w:rFonts w:ascii="Times New Roman" w:cs="Times New Roman" w:eastAsia="Times New Roman" w:hAnsi="Times New Roman"/>
          <w:sz w:val="22"/>
          <w:szCs w:val="22"/>
          <w:color w:val="auto"/>
        </w:rPr>
      </w:pPr>
    </w:p>
    <w:p>
      <w:pPr>
        <w:ind w:left="-40" w:right="100" w:firstLine="656"/>
        <w:spacing w:after="0" w:line="253" w:lineRule="auto"/>
        <w:tabs>
          <w:tab w:leader="none" w:pos="108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05" w:lineRule="exact"/>
        <w:rPr>
          <w:rFonts w:ascii="Times New Roman" w:cs="Times New Roman" w:eastAsia="Times New Roman" w:hAnsi="Times New Roman"/>
          <w:sz w:val="22"/>
          <w:szCs w:val="22"/>
          <w:color w:val="auto"/>
        </w:rPr>
      </w:pPr>
    </w:p>
    <w:p>
      <w:pPr>
        <w:ind w:left="-40" w:right="80" w:firstLine="224"/>
        <w:spacing w:after="0" w:line="248" w:lineRule="auto"/>
        <w:tabs>
          <w:tab w:leader="none" w:pos="5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 and Programs</w:t>
      </w:r>
      <w:r>
        <w:rPr>
          <w:rFonts w:ascii="Times New Roman" w:cs="Times New Roman" w:eastAsia="Times New Roman" w:hAnsi="Times New Roman"/>
          <w:sz w:val="22"/>
          <w:szCs w:val="22"/>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60" w:top="1422"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specifically addressed in this Agreement; in which case the applicable other terms of this Agreement shall control.</w:t>
      </w:r>
    </w:p>
    <w:p>
      <w:pPr>
        <w:spacing w:after="0" w:line="247" w:lineRule="exact"/>
        <w:rPr>
          <w:sz w:val="20"/>
          <w:szCs w:val="20"/>
          <w:color w:val="auto"/>
        </w:rPr>
      </w:pPr>
    </w:p>
    <w:p>
      <w:pPr>
        <w:ind w:right="60" w:firstLine="224"/>
        <w:spacing w:after="0" w:line="256" w:lineRule="auto"/>
        <w:tabs>
          <w:tab w:leader="none" w:pos="5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03" w:lineRule="exact"/>
        <w:rPr>
          <w:rFonts w:ascii="Times New Roman" w:cs="Times New Roman" w:eastAsia="Times New Roman" w:hAnsi="Times New Roman"/>
          <w:sz w:val="22"/>
          <w:szCs w:val="22"/>
          <w:color w:val="auto"/>
        </w:rPr>
      </w:pPr>
    </w:p>
    <w:p>
      <w:pPr>
        <w:ind w:firstLine="224"/>
        <w:spacing w:after="0" w:line="256" w:lineRule="auto"/>
        <w:tabs>
          <w:tab w:leader="none" w:pos="5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Term,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203"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Employee's employment shall terminate automatically in the event of Employee’s death.</w:t>
      </w:r>
    </w:p>
    <w:p>
      <w:pPr>
        <w:spacing w:after="0" w:line="246" w:lineRule="exact"/>
        <w:rPr>
          <w:rFonts w:ascii="Times New Roman" w:cs="Times New Roman" w:eastAsia="Times New Roman" w:hAnsi="Times New Roman"/>
          <w:sz w:val="22"/>
          <w:szCs w:val="22"/>
          <w:color w:val="auto"/>
        </w:rPr>
      </w:pPr>
    </w:p>
    <w:p>
      <w:pPr>
        <w:ind w:right="100" w:firstLine="440"/>
        <w:spacing w:after="0" w:line="250" w:lineRule="auto"/>
        <w:tabs>
          <w:tab w:leader="none" w:pos="9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 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207"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 by the Company or Resignation Without Good Reason by Employee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100" w:firstLine="656"/>
        <w:spacing w:after="0" w:line="249" w:lineRule="auto"/>
        <w:tabs>
          <w:tab w:leader="none" w:pos="1064"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Employee or the Company into widespread public disrepute, contempt, scandal or ridicule, or which justifiably shocks, insults or offends a significant portion of the community, or Employee’s or the Company’s being subject to publicity for any such act or involvement; (H) material violation of the Employee Handbook, the Code of Conduct or any other written Company policy,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9" w:name="page40"/>
    <w:bookmarkEnd w:id="39"/>
    <w:p>
      <w:pPr>
        <w:ind w:right="560"/>
        <w:spacing w:after="0" w:line="271" w:lineRule="auto"/>
        <w:rPr>
          <w:sz w:val="20"/>
          <w:szCs w:val="20"/>
          <w:color w:val="auto"/>
        </w:rPr>
      </w:pPr>
      <w:r>
        <w:rPr>
          <w:rFonts w:ascii="Times New Roman" w:cs="Times New Roman" w:eastAsia="Times New Roman" w:hAnsi="Times New Roman"/>
          <w:sz w:val="22"/>
          <w:szCs w:val="22"/>
          <w:color w:val="auto"/>
        </w:rPr>
        <w:t>including, without limitation, a material violation of the Company’s anti-harassment and anti-discrimination policies; or (I) material breach of this Agreement.</w:t>
      </w:r>
    </w:p>
    <w:p>
      <w:pPr>
        <w:spacing w:after="0" w:line="185" w:lineRule="exact"/>
        <w:rPr>
          <w:sz w:val="20"/>
          <w:szCs w:val="20"/>
          <w:color w:val="auto"/>
        </w:rPr>
      </w:pPr>
    </w:p>
    <w:p>
      <w:pPr>
        <w:ind w:right="300" w:firstLine="656"/>
        <w:spacing w:after="0" w:line="263" w:lineRule="auto"/>
        <w:tabs>
          <w:tab w:leader="none" w:pos="112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94"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by the Company or Resignation With Good Reason by Employee.</w:t>
      </w:r>
    </w:p>
    <w:p>
      <w:pPr>
        <w:spacing w:after="0" w:line="246" w:lineRule="exact"/>
        <w:rPr>
          <w:rFonts w:ascii="Times New Roman" w:cs="Times New Roman" w:eastAsia="Times New Roman" w:hAnsi="Times New Roman"/>
          <w:sz w:val="22"/>
          <w:szCs w:val="22"/>
          <w:color w:val="auto"/>
        </w:rPr>
      </w:pPr>
    </w:p>
    <w:p>
      <w:pPr>
        <w:ind w:right="160" w:firstLine="656"/>
        <w:spacing w:after="0" w:line="271" w:lineRule="auto"/>
        <w:tabs>
          <w:tab w:leader="none" w:pos="106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Employee’s employment (a “Termination Without Cause”) at any time for any reason (or for no reason) upon twenty (20) business days prior written notice.</w:t>
      </w:r>
    </w:p>
    <w:p>
      <w:pPr>
        <w:spacing w:after="0" w:line="198" w:lineRule="exact"/>
        <w:rPr>
          <w:sz w:val="20"/>
          <w:szCs w:val="20"/>
          <w:color w:val="auto"/>
        </w:rPr>
      </w:pPr>
    </w:p>
    <w:p>
      <w:pPr>
        <w:ind w:right="160" w:firstLine="656"/>
        <w:spacing w:after="0" w:line="265" w:lineRule="auto"/>
        <w:tabs>
          <w:tab w:leader="none" w:pos="1128"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92" w:lineRule="exact"/>
        <w:rPr>
          <w:rFonts w:ascii="Times New Roman" w:cs="Times New Roman" w:eastAsia="Times New Roman" w:hAnsi="Times New Roman"/>
          <w:sz w:val="21"/>
          <w:szCs w:val="21"/>
          <w:color w:val="auto"/>
        </w:rPr>
      </w:pPr>
    </w:p>
    <w:p>
      <w:pPr>
        <w:ind w:right="80" w:firstLine="224"/>
        <w:spacing w:after="0" w:line="263" w:lineRule="auto"/>
        <w:tabs>
          <w:tab w:leader="none" w:pos="5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Other Entitlements As a Result of Termination</w:t>
      </w:r>
      <w:r>
        <w:rPr>
          <w:rFonts w:ascii="Times New Roman" w:cs="Times New Roman" w:eastAsia="Times New Roman" w:hAnsi="Times New Roman"/>
          <w:sz w:val="22"/>
          <w:szCs w:val="22"/>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194" w:lineRule="exact"/>
        <w:rPr>
          <w:rFonts w:ascii="Times New Roman" w:cs="Times New Roman" w:eastAsia="Times New Roman" w:hAnsi="Times New Roman"/>
          <w:sz w:val="22"/>
          <w:szCs w:val="22"/>
          <w:color w:val="auto"/>
        </w:rPr>
      </w:pPr>
    </w:p>
    <w:p>
      <w:pPr>
        <w:ind w:firstLine="440"/>
        <w:spacing w:after="0" w:line="242" w:lineRule="auto"/>
        <w:tabs>
          <w:tab w:leader="none" w:pos="88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40" w:name="page41"/>
    <w:bookmarkEnd w:id="40"/>
    <w:p>
      <w:pPr>
        <w:ind w:left="900" w:hanging="460"/>
        <w:spacing w:after="0"/>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 by the Company or Resignation Without Good Reason by Employee</w:t>
      </w:r>
      <w:r>
        <w:rPr>
          <w:rFonts w:ascii="Times New Roman" w:cs="Times New Roman" w:eastAsia="Times New Roman" w:hAnsi="Times New Roman"/>
          <w:sz w:val="22"/>
          <w:szCs w:val="22"/>
          <w:color w:val="auto"/>
        </w:rPr>
        <w:t>. If Employee’s</w:t>
      </w:r>
    </w:p>
    <w:p>
      <w:pPr>
        <w:spacing w:after="0" w:line="27" w:lineRule="exact"/>
        <w:rPr>
          <w:rFonts w:ascii="Times New Roman" w:cs="Times New Roman" w:eastAsia="Times New Roman" w:hAnsi="Times New Roman"/>
          <w:sz w:val="22"/>
          <w:szCs w:val="22"/>
          <w:color w:val="auto"/>
        </w:rPr>
      </w:pPr>
    </w:p>
    <w:p>
      <w:pPr>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employment terminates as a result of a Termination With Cause or Resignation Without Good Reason during the Term,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w:t>
      </w:r>
    </w:p>
    <w:p>
      <w:pPr>
        <w:spacing w:after="0" w:line="113" w:lineRule="exact"/>
        <w:rPr>
          <w:rFonts w:ascii="Times New Roman" w:cs="Times New Roman" w:eastAsia="Times New Roman" w:hAnsi="Times New Roman"/>
          <w:sz w:val="22"/>
          <w:szCs w:val="22"/>
          <w:color w:val="auto"/>
        </w:rPr>
      </w:pPr>
    </w:p>
    <w:p>
      <w:pPr>
        <w:ind w:right="180" w:firstLine="440"/>
        <w:spacing w:after="0" w:line="263" w:lineRule="auto"/>
        <w:tabs>
          <w:tab w:leader="none" w:pos="88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by the Company or Resignation With Good Reason by Employee</w:t>
      </w:r>
      <w:r>
        <w:rPr>
          <w:rFonts w:ascii="Times New Roman" w:cs="Times New Roman" w:eastAsia="Times New Roman" w:hAnsi="Times New Roman"/>
          <w:sz w:val="21"/>
          <w:szCs w:val="21"/>
          <w:color w:val="auto"/>
        </w:rPr>
        <w:t>. If Employee’s employment is terminated as a result of a Termination Without Cause or Resignation With Good Reason during the Term,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99" w:lineRule="exact"/>
        <w:rPr>
          <w:rFonts w:ascii="Times New Roman" w:cs="Times New Roman" w:eastAsia="Times New Roman" w:hAnsi="Times New Roman"/>
          <w:sz w:val="21"/>
          <w:szCs w:val="21"/>
          <w:color w:val="auto"/>
        </w:rPr>
      </w:pPr>
    </w:p>
    <w:p>
      <w:pPr>
        <w:ind w:right="100" w:firstLine="656"/>
        <w:spacing w:after="0" w:line="249" w:lineRule="auto"/>
        <w:tabs>
          <w:tab w:leader="none" w:pos="106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with the Company continuing to cover the employer portion of the premium cost for such benefits (if and to the extent Employee was participating in 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210" w:lineRule="exact"/>
        <w:rPr>
          <w:rFonts w:ascii="Times New Roman" w:cs="Times New Roman" w:eastAsia="Times New Roman" w:hAnsi="Times New Roman"/>
          <w:sz w:val="22"/>
          <w:szCs w:val="22"/>
          <w:color w:val="auto"/>
        </w:rPr>
      </w:pPr>
    </w:p>
    <w:p>
      <w:pPr>
        <w:ind w:right="220" w:firstLine="656"/>
        <w:spacing w:after="0" w:line="250" w:lineRule="auto"/>
        <w:tabs>
          <w:tab w:leader="none" w:pos="112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 pro-rated amount on account of the current year’s Cash Bonus Plan grant (calculated based on eligible earnings through the date of termination, and using actual achievement of Company-based performance goals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1" w:name="page42"/>
    <w:bookmarkEnd w:id="41"/>
    <w:p>
      <w:pPr>
        <w:ind w:right="240"/>
        <w:spacing w:after="0" w:line="236" w:lineRule="auto"/>
        <w:rPr>
          <w:sz w:val="20"/>
          <w:szCs w:val="20"/>
          <w:color w:val="auto"/>
        </w:rPr>
      </w:pPr>
      <w:r>
        <w:rPr>
          <w:rFonts w:ascii="Times New Roman" w:cs="Times New Roman" w:eastAsia="Times New Roman" w:hAnsi="Times New Roman"/>
          <w:sz w:val="22"/>
          <w:szCs w:val="22"/>
          <w:color w:val="auto"/>
        </w:rPr>
        <w:t>assuming full (i.e. 100%) achievement of Employee’s personal performance goals) (payable in accordance with the Company’s regular payroll practice for paying such year’s bonus, including the timing thereof). Except as otherwise provided herein, any amounts payable to Employee pursuant to this subparagraph (ii)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220" w:lineRule="exact"/>
        <w:rPr>
          <w:sz w:val="20"/>
          <w:szCs w:val="20"/>
          <w:color w:val="auto"/>
        </w:rPr>
      </w:pPr>
    </w:p>
    <w:p>
      <w:pPr>
        <w:ind w:right="40" w:firstLine="656"/>
        <w:spacing w:after="0" w:line="253" w:lineRule="auto"/>
        <w:tabs>
          <w:tab w:leader="none" w:pos="1242"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205"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payment, Employee shall be entitled to receive payment on account of:</w:t>
      </w:r>
    </w:p>
    <w:p>
      <w:pPr>
        <w:spacing w:after="0" w:line="27" w:lineRule="exact"/>
        <w:rPr>
          <w:rFonts w:ascii="Times New Roman" w:cs="Times New Roman" w:eastAsia="Times New Roman" w:hAnsi="Times New Roman"/>
          <w:sz w:val="22"/>
          <w:szCs w:val="22"/>
          <w:color w:val="auto"/>
        </w:rPr>
      </w:pPr>
    </w:p>
    <w:p>
      <w:pPr>
        <w:ind w:right="60" w:firstLine="8"/>
        <w:spacing w:after="0" w:line="247" w:lineRule="auto"/>
        <w:tabs>
          <w:tab w:leader="none" w:pos="3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year’s Cash Bonus Plan grant, pro-rated beginning from the day following the date of termination through December 31st of the year of termination; and (B) the following year’s Cash Bonus Plan grant, pro-rated based on the number of days of employment in the year of termination; in each case calculated using actual achievement of Company-based performance goals and assuming full (i.e. 100%) achievement of Employee’s personal performance goals (payable at such times as otherwise applicable absent such termination).</w:t>
      </w:r>
    </w:p>
    <w:p>
      <w:pPr>
        <w:spacing w:after="0" w:line="213" w:lineRule="exact"/>
        <w:rPr>
          <w:rFonts w:ascii="Times New Roman" w:cs="Times New Roman" w:eastAsia="Times New Roman" w:hAnsi="Times New Roman"/>
          <w:sz w:val="22"/>
          <w:szCs w:val="22"/>
          <w:color w:val="auto"/>
        </w:rPr>
      </w:pPr>
    </w:p>
    <w:p>
      <w:pPr>
        <w:ind w:right="380" w:firstLine="656"/>
        <w:spacing w:after="0" w:line="252" w:lineRule="auto"/>
        <w:tabs>
          <w:tab w:leader="none" w:pos="1116"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219" w:lineRule="exact"/>
        <w:rPr>
          <w:rFonts w:ascii="Times New Roman" w:cs="Times New Roman" w:eastAsia="Times New Roman" w:hAnsi="Times New Roman"/>
          <w:sz w:val="22"/>
          <w:szCs w:val="22"/>
          <w:color w:val="auto"/>
        </w:rPr>
      </w:pPr>
    </w:p>
    <w:p>
      <w:pPr>
        <w:ind w:right="20" w:firstLine="224"/>
        <w:spacing w:after="0" w:line="251" w:lineRule="auto"/>
        <w:tabs>
          <w:tab w:leader="none" w:pos="59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Non-Competition; Confidentiality</w:t>
      </w:r>
      <w:r>
        <w:rPr>
          <w:rFonts w:ascii="Times New Roman" w:cs="Times New Roman" w:eastAsia="Times New Roman" w:hAnsi="Times New Roman"/>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08" w:lineRule="exact"/>
        <w:rPr>
          <w:rFonts w:ascii="Times New Roman" w:cs="Times New Roman" w:eastAsia="Times New Roman" w:hAnsi="Times New Roman"/>
          <w:sz w:val="22"/>
          <w:szCs w:val="22"/>
          <w:color w:val="auto"/>
        </w:rPr>
      </w:pPr>
    </w:p>
    <w:p>
      <w:pPr>
        <w:ind w:firstLine="440"/>
        <w:spacing w:after="0" w:line="265" w:lineRule="auto"/>
        <w:tabs>
          <w:tab w:leader="none" w:pos="884"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2" w:name="page43"/>
    <w:bookmarkEnd w:id="42"/>
    <w:p>
      <w:pPr>
        <w:ind w:right="80" w:firstLine="440"/>
        <w:spacing w:after="0" w:line="248" w:lineRule="auto"/>
        <w:tabs>
          <w:tab w:leader="none" w:pos="9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WHILE EMPLOYED BY THE COMPANY (WHETHER DURING THE TERM OR THEREAFTER); AND FOR A PERIOD OF ONE YEAR AFTER A RESIGNATION WITHOUT GOOD REASON OR A TERMINATION WITH CAUSE, IN EITHER CASE WHETHER OCCURRING DURING THE TERM OR THEREAFTER;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215" w:lineRule="exact"/>
        <w:rPr>
          <w:rFonts w:ascii="Times New Roman" w:cs="Times New Roman" w:eastAsia="Times New Roman" w:hAnsi="Times New Roman"/>
          <w:sz w:val="22"/>
          <w:szCs w:val="22"/>
          <w:color w:val="auto"/>
        </w:rPr>
      </w:pPr>
    </w:p>
    <w:p>
      <w:pPr>
        <w:ind w:firstLine="656"/>
        <w:spacing w:after="0" w:line="256" w:lineRule="auto"/>
        <w:tabs>
          <w:tab w:leader="none" w:pos="112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203" w:lineRule="exact"/>
        <w:rPr>
          <w:rFonts w:ascii="Times New Roman" w:cs="Times New Roman" w:eastAsia="Times New Roman" w:hAnsi="Times New Roman"/>
          <w:sz w:val="22"/>
          <w:szCs w:val="22"/>
          <w:color w:val="auto"/>
        </w:rPr>
      </w:pPr>
    </w:p>
    <w:p>
      <w:pPr>
        <w:ind w:right="280" w:firstLine="656"/>
        <w:spacing w:after="0" w:line="252" w:lineRule="auto"/>
        <w:tabs>
          <w:tab w:leader="none" w:pos="118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219" w:lineRule="exact"/>
        <w:rPr>
          <w:rFonts w:ascii="Times New Roman" w:cs="Times New Roman" w:eastAsia="Times New Roman" w:hAnsi="Times New Roman"/>
          <w:sz w:val="22"/>
          <w:szCs w:val="22"/>
          <w:color w:val="auto"/>
        </w:rPr>
      </w:pPr>
    </w:p>
    <w:p>
      <w:pPr>
        <w:ind w:right="60" w:firstLine="656"/>
        <w:spacing w:after="0" w:line="257" w:lineRule="auto"/>
        <w:tabs>
          <w:tab w:leader="none" w:pos="117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99" w:lineRule="exact"/>
        <w:rPr>
          <w:rFonts w:ascii="Times New Roman" w:cs="Times New Roman" w:eastAsia="Times New Roman" w:hAnsi="Times New Roman"/>
          <w:sz w:val="22"/>
          <w:szCs w:val="22"/>
          <w:color w:val="auto"/>
        </w:rPr>
      </w:pPr>
    </w:p>
    <w:p>
      <w:pPr>
        <w:ind w:right="40" w:firstLine="440"/>
        <w:spacing w:after="0" w:line="250" w:lineRule="auto"/>
        <w:tabs>
          <w:tab w:leader="none" w:pos="8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207" w:lineRule="exact"/>
        <w:rPr>
          <w:rFonts w:ascii="Times New Roman" w:cs="Times New Roman" w:eastAsia="Times New Roman" w:hAnsi="Times New Roman"/>
          <w:sz w:val="22"/>
          <w:szCs w:val="22"/>
          <w:color w:val="auto"/>
        </w:rPr>
      </w:pPr>
    </w:p>
    <w:p>
      <w:pPr>
        <w:ind w:right="320" w:firstLine="440"/>
        <w:spacing w:after="0" w:line="263" w:lineRule="auto"/>
        <w:tabs>
          <w:tab w:leader="none" w:pos="9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3" w:name="page44"/>
    <w:bookmarkEnd w:id="43"/>
    <w:p>
      <w:pPr>
        <w:spacing w:after="0" w:line="258" w:lineRule="auto"/>
        <w:rPr>
          <w:sz w:val="20"/>
          <w:szCs w:val="20"/>
          <w:color w:val="auto"/>
        </w:rPr>
      </w:pPr>
      <w:r>
        <w:rPr>
          <w:rFonts w:ascii="Times New Roman" w:cs="Times New Roman" w:eastAsia="Times New Roman" w:hAnsi="Times New Roman"/>
          <w:sz w:val="21"/>
          <w:szCs w:val="21"/>
          <w:color w:val="auto"/>
        </w:rPr>
        <w:t>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w:t>
      </w:r>
    </w:p>
    <w:p>
      <w:pPr>
        <w:spacing w:after="0" w:line="1"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disclose the trade secret, except pursuant to court order.</w:t>
      </w:r>
    </w:p>
    <w:p>
      <w:pPr>
        <w:spacing w:after="0" w:line="234" w:lineRule="exact"/>
        <w:rPr>
          <w:rFonts w:ascii="Times New Roman" w:cs="Times New Roman" w:eastAsia="Times New Roman" w:hAnsi="Times New Roman"/>
          <w:sz w:val="22"/>
          <w:szCs w:val="22"/>
          <w:color w:val="auto"/>
        </w:rPr>
      </w:pPr>
    </w:p>
    <w:p>
      <w:pPr>
        <w:ind w:right="280" w:firstLine="440"/>
        <w:spacing w:after="0" w:line="257" w:lineRule="auto"/>
        <w:tabs>
          <w:tab w:leader="none" w:pos="88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44" w:name="page45"/>
    <w:bookmarkEnd w:id="44"/>
    <w:p>
      <w:pPr>
        <w:spacing w:after="0" w:line="250" w:lineRule="auto"/>
        <w:rPr>
          <w:sz w:val="20"/>
          <w:szCs w:val="20"/>
          <w:color w:val="auto"/>
        </w:rPr>
      </w:pPr>
      <w:r>
        <w:rPr>
          <w:rFonts w:ascii="Times New Roman" w:cs="Times New Roman" w:eastAsia="Times New Roman" w:hAnsi="Times New Roman"/>
          <w:sz w:val="22"/>
          <w:szCs w:val="22"/>
          <w:color w:val="auto"/>
        </w:rPr>
        <w:t>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07" w:lineRule="exact"/>
        <w:rPr>
          <w:sz w:val="20"/>
          <w:szCs w:val="20"/>
          <w:color w:val="auto"/>
        </w:rPr>
      </w:pPr>
    </w:p>
    <w:p>
      <w:pPr>
        <w:ind w:firstLine="440"/>
        <w:spacing w:after="0" w:line="251" w:lineRule="auto"/>
        <w:tabs>
          <w:tab w:leader="none" w:pos="86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08" w:lineRule="exact"/>
        <w:rPr>
          <w:rFonts w:ascii="Times New Roman" w:cs="Times New Roman" w:eastAsia="Times New Roman" w:hAnsi="Times New Roman"/>
          <w:sz w:val="22"/>
          <w:szCs w:val="22"/>
          <w:color w:val="auto"/>
        </w:rPr>
      </w:pPr>
    </w:p>
    <w:p>
      <w:pPr>
        <w:ind w:right="60" w:firstLine="440"/>
        <w:spacing w:after="0" w:line="257" w:lineRule="auto"/>
        <w:tabs>
          <w:tab w:leader="none" w:pos="9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99" w:lineRule="exact"/>
        <w:rPr>
          <w:rFonts w:ascii="Times New Roman" w:cs="Times New Roman" w:eastAsia="Times New Roman" w:hAnsi="Times New Roman"/>
          <w:sz w:val="22"/>
          <w:szCs w:val="22"/>
          <w:color w:val="auto"/>
        </w:rPr>
      </w:pPr>
    </w:p>
    <w:p>
      <w:pPr>
        <w:ind w:right="280" w:firstLine="440"/>
        <w:spacing w:after="0" w:line="256" w:lineRule="auto"/>
        <w:tabs>
          <w:tab w:leader="none" w:pos="9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203" w:lineRule="exact"/>
        <w:rPr>
          <w:rFonts w:ascii="Times New Roman" w:cs="Times New Roman" w:eastAsia="Times New Roman" w:hAnsi="Times New Roman"/>
          <w:sz w:val="22"/>
          <w:szCs w:val="22"/>
          <w:color w:val="auto"/>
        </w:rPr>
      </w:pPr>
    </w:p>
    <w:p>
      <w:pPr>
        <w:ind w:right="120" w:firstLine="224"/>
        <w:spacing w:after="0" w:line="250" w:lineRule="auto"/>
        <w:tabs>
          <w:tab w:leader="none" w:pos="59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Non-Disparaging Statements</w:t>
      </w:r>
      <w:r>
        <w:rPr>
          <w:rFonts w:ascii="Times New Roman" w:cs="Times New Roman" w:eastAsia="Times New Roman" w:hAnsi="Times New Roman"/>
          <w:sz w:val="22"/>
          <w:szCs w:val="22"/>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w:t>
      </w:r>
    </w:p>
    <w:p>
      <w:pPr>
        <w:spacing w:after="0" w:line="207"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right="340" w:firstLine="440"/>
        <w:spacing w:after="0" w:line="271" w:lineRule="auto"/>
        <w:tabs>
          <w:tab w:leader="none" w:pos="88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Company Intellectual Property (as defined in subparagraph (f) below) is not already owned by the Company as a matter of law or by prior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45" w:name="page46"/>
    <w:bookmarkEnd w:id="45"/>
    <w:p>
      <w:pPr>
        <w:ind w:right="40"/>
        <w:spacing w:after="0" w:line="247" w:lineRule="auto"/>
        <w:rPr>
          <w:sz w:val="20"/>
          <w:szCs w:val="20"/>
          <w:color w:val="auto"/>
        </w:rPr>
      </w:pPr>
      <w:r>
        <w:rPr>
          <w:rFonts w:ascii="Times New Roman" w:cs="Times New Roman" w:eastAsia="Times New Roman" w:hAnsi="Times New Roman"/>
          <w:sz w:val="22"/>
          <w:szCs w:val="22"/>
          <w:color w:val="auto"/>
        </w:rPr>
        <w:t>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220" w:lineRule="exact"/>
        <w:rPr>
          <w:sz w:val="20"/>
          <w:szCs w:val="20"/>
          <w:color w:val="auto"/>
        </w:rPr>
      </w:pPr>
    </w:p>
    <w:p>
      <w:pPr>
        <w:ind w:firstLine="440"/>
        <w:spacing w:after="0" w:line="249" w:lineRule="auto"/>
        <w:tabs>
          <w:tab w:leader="none" w:pos="9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211" w:lineRule="exact"/>
        <w:rPr>
          <w:rFonts w:ascii="Times New Roman" w:cs="Times New Roman" w:eastAsia="Times New Roman" w:hAnsi="Times New Roman"/>
          <w:sz w:val="22"/>
          <w:szCs w:val="22"/>
          <w:color w:val="auto"/>
        </w:rPr>
      </w:pPr>
    </w:p>
    <w:p>
      <w:pPr>
        <w:ind w:right="200" w:firstLine="440"/>
        <w:spacing w:after="0" w:line="250" w:lineRule="auto"/>
        <w:tabs>
          <w:tab w:leader="none" w:pos="8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207" w:lineRule="exact"/>
        <w:rPr>
          <w:rFonts w:ascii="Times New Roman" w:cs="Times New Roman" w:eastAsia="Times New Roman" w:hAnsi="Times New Roman"/>
          <w:sz w:val="22"/>
          <w:szCs w:val="22"/>
          <w:color w:val="auto"/>
        </w:rPr>
      </w:pPr>
    </w:p>
    <w:p>
      <w:pPr>
        <w:ind w:right="740" w:firstLine="440"/>
        <w:spacing w:after="0" w:line="271" w:lineRule="auto"/>
        <w:tabs>
          <w:tab w:leader="none" w:pos="8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materials, including written, graphic or computer programmed materials, authored, prepared, contributed to or written by Employee, in whole or 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46" w:name="page47"/>
    <w:bookmarkEnd w:id="46"/>
    <w:p>
      <w:pPr>
        <w:ind w:right="60"/>
        <w:spacing w:after="0" w:line="257" w:lineRule="auto"/>
        <w:rPr>
          <w:sz w:val="20"/>
          <w:szCs w:val="20"/>
          <w:color w:val="auto"/>
        </w:rPr>
      </w:pPr>
      <w:r>
        <w:rPr>
          <w:rFonts w:ascii="Times New Roman" w:cs="Times New Roman" w:eastAsia="Times New Roman" w:hAnsi="Times New Roman"/>
          <w:sz w:val="22"/>
          <w:szCs w:val="22"/>
          <w:color w:val="auto"/>
        </w:rPr>
        <w:t>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213" w:lineRule="exact"/>
        <w:rPr>
          <w:sz w:val="20"/>
          <w:szCs w:val="20"/>
          <w:color w:val="auto"/>
        </w:rPr>
      </w:pPr>
    </w:p>
    <w:p>
      <w:pPr>
        <w:ind w:right="120" w:firstLine="440"/>
        <w:spacing w:after="0" w:line="262" w:lineRule="auto"/>
        <w:tabs>
          <w:tab w:leader="none" w:pos="88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99" w:lineRule="exact"/>
        <w:rPr>
          <w:rFonts w:ascii="Times New Roman" w:cs="Times New Roman" w:eastAsia="Times New Roman" w:hAnsi="Times New Roman"/>
          <w:sz w:val="21"/>
          <w:szCs w:val="21"/>
          <w:color w:val="auto"/>
        </w:rPr>
      </w:pPr>
    </w:p>
    <w:p>
      <w:pPr>
        <w:ind w:right="120" w:firstLine="440"/>
        <w:spacing w:after="0" w:line="263" w:lineRule="auto"/>
        <w:tabs>
          <w:tab w:leader="none" w:pos="86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96" w:lineRule="exact"/>
        <w:rPr>
          <w:rFonts w:ascii="Times New Roman" w:cs="Times New Roman" w:eastAsia="Times New Roman" w:hAnsi="Times New Roman"/>
          <w:sz w:val="21"/>
          <w:szCs w:val="21"/>
          <w:color w:val="auto"/>
        </w:rPr>
      </w:pPr>
    </w:p>
    <w:p>
      <w:pPr>
        <w:ind w:left="700" w:hanging="476"/>
        <w:spacing w:after="0"/>
        <w:tabs>
          <w:tab w:leader="none" w:pos="7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that:</w:t>
      </w:r>
    </w:p>
    <w:p>
      <w:pPr>
        <w:spacing w:after="0" w:line="246" w:lineRule="exact"/>
        <w:rPr>
          <w:rFonts w:ascii="Times New Roman" w:cs="Times New Roman" w:eastAsia="Times New Roman" w:hAnsi="Times New Roman"/>
          <w:sz w:val="22"/>
          <w:szCs w:val="22"/>
          <w:color w:val="auto"/>
        </w:rPr>
      </w:pPr>
    </w:p>
    <w:p>
      <w:pPr>
        <w:ind w:right="380" w:firstLine="656"/>
        <w:spacing w:after="0" w:line="271" w:lineRule="auto"/>
        <w:tabs>
          <w:tab w:leader="none" w:pos="1068"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had the opportunity to retain and consult with legal counsel and tax advisors of Employee’s choice regarding the terms of this Agreement.</w:t>
      </w:r>
    </w:p>
    <w:p>
      <w:pPr>
        <w:spacing w:after="0" w:line="198" w:lineRule="exact"/>
        <w:rPr>
          <w:rFonts w:ascii="Times New Roman" w:cs="Times New Roman" w:eastAsia="Times New Roman" w:hAnsi="Times New Roman"/>
          <w:sz w:val="22"/>
          <w:szCs w:val="22"/>
          <w:color w:val="auto"/>
        </w:rPr>
      </w:pPr>
    </w:p>
    <w:p>
      <w:pPr>
        <w:ind w:right="240" w:firstLine="656"/>
        <w:spacing w:after="0" w:line="271" w:lineRule="auto"/>
        <w:tabs>
          <w:tab w:leader="none" w:pos="1128"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bankruptcy and insolvency laws and general equitable principles, this Agreement is enforceable against Employee in accordance with its terms.</w:t>
      </w:r>
    </w:p>
    <w:p>
      <w:pPr>
        <w:spacing w:after="0" w:line="184" w:lineRule="exact"/>
        <w:rPr>
          <w:rFonts w:ascii="Times New Roman" w:cs="Times New Roman" w:eastAsia="Times New Roman" w:hAnsi="Times New Roman"/>
          <w:sz w:val="22"/>
          <w:szCs w:val="22"/>
          <w:color w:val="auto"/>
        </w:rPr>
      </w:pPr>
    </w:p>
    <w:p>
      <w:pPr>
        <w:ind w:firstLine="656"/>
        <w:spacing w:after="0" w:line="257" w:lineRule="auto"/>
        <w:tabs>
          <w:tab w:leader="none" w:pos="1184"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99"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47" w:name="page48"/>
    <w:bookmarkEnd w:id="47"/>
    <w:p>
      <w:pPr>
        <w:spacing w:after="0" w:line="225" w:lineRule="exact"/>
        <w:rPr>
          <w:sz w:val="20"/>
          <w:szCs w:val="20"/>
          <w:color w:val="auto"/>
        </w:rPr>
      </w:pPr>
    </w:p>
    <w:p>
      <w:pPr>
        <w:ind w:left="-8" w:right="260" w:firstLine="656"/>
        <w:spacing w:after="0" w:line="271" w:lineRule="auto"/>
        <w:tabs>
          <w:tab w:leader="none" w:pos="1060" w:val="left"/>
        </w:tabs>
        <w:numPr>
          <w:ilvl w:val="3"/>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bankruptcy and insolvency laws and general equitable principles, this Agreement is enforceable against the Company in accordance with its terms.</w:t>
      </w:r>
    </w:p>
    <w:p>
      <w:pPr>
        <w:spacing w:after="0" w:line="184" w:lineRule="exact"/>
        <w:rPr>
          <w:rFonts w:ascii="Times New Roman" w:cs="Times New Roman" w:eastAsia="Times New Roman" w:hAnsi="Times New Roman"/>
          <w:sz w:val="22"/>
          <w:szCs w:val="22"/>
          <w:color w:val="auto"/>
        </w:rPr>
      </w:pPr>
    </w:p>
    <w:p>
      <w:pPr>
        <w:jc w:val="both"/>
        <w:ind w:left="-8" w:right="60" w:firstLine="656"/>
        <w:spacing w:after="0" w:line="263" w:lineRule="auto"/>
        <w:tabs>
          <w:tab w:leader="none" w:pos="1116" w:val="left"/>
        </w:tabs>
        <w:numPr>
          <w:ilvl w:val="3"/>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94" w:lineRule="exact"/>
        <w:rPr>
          <w:rFonts w:ascii="Times New Roman" w:cs="Times New Roman" w:eastAsia="Times New Roman" w:hAnsi="Times New Roman"/>
          <w:sz w:val="22"/>
          <w:szCs w:val="22"/>
          <w:color w:val="auto"/>
        </w:rPr>
      </w:pPr>
    </w:p>
    <w:p>
      <w:pPr>
        <w:ind w:left="-8" w:right="120" w:firstLine="224"/>
        <w:spacing w:after="0" w:line="256" w:lineRule="auto"/>
        <w:tabs>
          <w:tab w:leader="none" w:pos="69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Deductions</w:t>
      </w:r>
      <w:r>
        <w:rPr>
          <w:rFonts w:ascii="Times New Roman" w:cs="Times New Roman" w:eastAsia="Times New Roman" w:hAnsi="Times New Roman"/>
          <w:sz w:val="22"/>
          <w:szCs w:val="22"/>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203" w:lineRule="exact"/>
        <w:rPr>
          <w:rFonts w:ascii="Times New Roman" w:cs="Times New Roman" w:eastAsia="Times New Roman" w:hAnsi="Times New Roman"/>
          <w:sz w:val="22"/>
          <w:szCs w:val="22"/>
          <w:color w:val="auto"/>
        </w:rPr>
      </w:pPr>
    </w:p>
    <w:p>
      <w:pPr>
        <w:ind w:left="712" w:hanging="496"/>
        <w:spacing w:after="0"/>
        <w:tabs>
          <w:tab w:leader="none" w:pos="71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8" w:right="60" w:firstLine="440"/>
        <w:spacing w:after="0" w:line="248" w:lineRule="auto"/>
        <w:tabs>
          <w:tab w:leader="none" w:pos="88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25" w:lineRule="exact"/>
        <w:rPr>
          <w:rFonts w:ascii="Times New Roman" w:cs="Times New Roman" w:eastAsia="Times New Roman" w:hAnsi="Times New Roman"/>
          <w:sz w:val="22"/>
          <w:szCs w:val="22"/>
          <w:color w:val="auto"/>
        </w:rPr>
      </w:pPr>
    </w:p>
    <w:p>
      <w:pPr>
        <w:ind w:left="-8" w:firstLine="440"/>
        <w:spacing w:after="0" w:line="271" w:lineRule="auto"/>
        <w:tabs>
          <w:tab w:leader="none" w:pos="892"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each payment in a series of payments provided to Employee pursuant to this Agreement will be deemed a separate payment.</w:t>
      </w:r>
    </w:p>
    <w:p>
      <w:pPr>
        <w:spacing w:after="0" w:line="184" w:lineRule="exact"/>
        <w:rPr>
          <w:rFonts w:ascii="Times New Roman" w:cs="Times New Roman" w:eastAsia="Times New Roman" w:hAnsi="Times New Roman"/>
          <w:sz w:val="22"/>
          <w:szCs w:val="22"/>
          <w:color w:val="auto"/>
        </w:rPr>
      </w:pPr>
    </w:p>
    <w:p>
      <w:pPr>
        <w:ind w:left="-8" w:right="20" w:firstLine="440"/>
        <w:spacing w:after="0" w:line="259" w:lineRule="auto"/>
        <w:tabs>
          <w:tab w:leader="none" w:pos="880"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w:t>
      </w:r>
    </w:p>
    <w:p>
      <w:pPr>
        <w:spacing w:after="0" w:line="4" w:lineRule="exact"/>
        <w:rPr>
          <w:rFonts w:ascii="Times New Roman" w:cs="Times New Roman" w:eastAsia="Times New Roman" w:hAnsi="Times New Roman"/>
          <w:sz w:val="21"/>
          <w:szCs w:val="21"/>
          <w:color w:val="auto"/>
        </w:rPr>
      </w:pPr>
    </w:p>
    <w:p>
      <w:pPr>
        <w:ind w:left="-8" w:right="100" w:firstLine="8"/>
        <w:spacing w:after="0" w:line="252" w:lineRule="auto"/>
        <w:tabs>
          <w:tab w:leader="none" w:pos="29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In the event Employee dies during that six (6) month period, the amounts deferred on account of Treas.Reg.§1.409A-3(i)(2) (or any successor provision) shall be paid to the personal representatives of Employee’s estate within sixty (60) days following Employee’s death. This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92"/>
          </w:cols>
          <w:pgMar w:left="328" w:top="1440" w:right="379" w:bottom="1440" w:gutter="0" w:footer="0" w:header="0"/>
        </w:sectPr>
      </w:pPr>
    </w:p>
    <w:bookmarkStart w:id="48" w:name="page49"/>
    <w:bookmarkEnd w:id="48"/>
    <w:p>
      <w:pPr>
        <w:ind w:right="100"/>
        <w:spacing w:after="0" w:line="256" w:lineRule="auto"/>
        <w:rPr>
          <w:sz w:val="20"/>
          <w:szCs w:val="20"/>
          <w:color w:val="auto"/>
        </w:rPr>
      </w:pPr>
      <w:r>
        <w:rPr>
          <w:rFonts w:ascii="Times New Roman" w:cs="Times New Roman" w:eastAsia="Times New Roman" w:hAnsi="Times New Roman"/>
          <w:sz w:val="22"/>
          <w:szCs w:val="22"/>
          <w:color w:val="auto"/>
        </w:rPr>
        <w:t>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203" w:lineRule="exact"/>
        <w:rPr>
          <w:sz w:val="20"/>
          <w:szCs w:val="20"/>
          <w:color w:val="auto"/>
        </w:rPr>
      </w:pPr>
    </w:p>
    <w:p>
      <w:pPr>
        <w:ind w:right="20" w:firstLine="440"/>
        <w:spacing w:after="0" w:line="253" w:lineRule="auto"/>
        <w:tabs>
          <w:tab w:leader="none" w:pos="9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205"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0" w:firstLine="440"/>
        <w:spacing w:after="0" w:line="252" w:lineRule="auto"/>
        <w:tabs>
          <w:tab w:leader="none" w:pos="88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219" w:lineRule="exact"/>
        <w:rPr>
          <w:rFonts w:ascii="Times New Roman" w:cs="Times New Roman" w:eastAsia="Times New Roman" w:hAnsi="Times New Roman"/>
          <w:sz w:val="22"/>
          <w:szCs w:val="22"/>
          <w:color w:val="auto"/>
        </w:rPr>
      </w:pPr>
    </w:p>
    <w:p>
      <w:pPr>
        <w:ind w:firstLine="440"/>
        <w:spacing w:after="0" w:line="251" w:lineRule="auto"/>
        <w:tabs>
          <w:tab w:leader="none" w:pos="9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204"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ARBITRATION/WAIVER OF OR RIGHT TO TRIAL BY JUDGE OR JURY/CLASS ACTION WAIVER</w:t>
      </w:r>
      <w:r>
        <w:rPr>
          <w:rFonts w:ascii="Times New Roman" w:cs="Times New Roman" w:eastAsia="Times New Roman" w:hAnsi="Times New Roman"/>
          <w:sz w:val="22"/>
          <w:szCs w:val="22"/>
          <w:b w:val="1"/>
          <w:bCs w:val="1"/>
          <w:color w:val="auto"/>
        </w:rPr>
        <w:t>.</w:t>
      </w:r>
    </w:p>
    <w:p>
      <w:pPr>
        <w:spacing w:after="0" w:line="246" w:lineRule="exact"/>
        <w:rPr>
          <w:rFonts w:ascii="Times New Roman" w:cs="Times New Roman" w:eastAsia="Times New Roman" w:hAnsi="Times New Roman"/>
          <w:sz w:val="22"/>
          <w:szCs w:val="22"/>
          <w:color w:val="auto"/>
        </w:rPr>
      </w:pPr>
    </w:p>
    <w:p>
      <w:pPr>
        <w:ind w:right="20" w:firstLine="440"/>
        <w:spacing w:after="0" w:line="248" w:lineRule="auto"/>
        <w:tabs>
          <w:tab w:leader="none" w:pos="900"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The following documents that provide detailed information about the Comcast 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22" w:right="399" w:bottom="1440" w:gutter="0" w:footer="0" w:header="0"/>
        </w:sectPr>
      </w:pPr>
    </w:p>
    <w:bookmarkStart w:id="49" w:name="page50"/>
    <w:bookmarkEnd w:id="49"/>
    <w:p>
      <w:pPr>
        <w:ind w:left="-20" w:firstLine="440"/>
        <w:spacing w:after="0" w:line="260" w:lineRule="auto"/>
        <w:tabs>
          <w:tab w:leader="none" w:pos="880" w:val="left"/>
        </w:tabs>
        <w:numPr>
          <w:ilvl w:val="1"/>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 EMPLOYEE’S RIGHT TO: (a) FILE, BRING OR MAINTAIN ANY COVERED CLAIM(S) RELATING TO THIS AGREEMENT OR OTHERWISE COVERED UNDER THE COMCAST SOLUTIONS PROGRAM AGAINST THE COMPANY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CLAIM(S)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96" w:lineRule="exact"/>
        <w:rPr>
          <w:rFonts w:ascii="Times New Roman" w:cs="Times New Roman" w:eastAsia="Times New Roman" w:hAnsi="Times New Roman"/>
          <w:sz w:val="21"/>
          <w:szCs w:val="21"/>
          <w:b w:val="1"/>
          <w:bCs w:val="1"/>
          <w:color w:val="auto"/>
        </w:rPr>
      </w:pPr>
    </w:p>
    <w:p>
      <w:pPr>
        <w:ind w:left="-20" w:right="20" w:firstLine="440"/>
        <w:spacing w:after="0" w:line="250" w:lineRule="auto"/>
        <w:tabs>
          <w:tab w:leader="none" w:pos="85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 action seeking preliminary injunctive relief in aid of arbitration and/or for the maintenance of the status quo pending arbitration, as permitted by the Comcast Solutions Program, shall be brought only in a state or federal court in the Eastern District of Pennsylvania. Employee consents to such jurisdiction, regardless of the location of Employee’s residence or place of business. Employee irrevocably waives any objection, including any objection to the laying of venue or based on the grounds of forum non conveniens, which Employee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224" w:lineRule="exact"/>
        <w:rPr>
          <w:rFonts w:ascii="Times New Roman" w:cs="Times New Roman" w:eastAsia="Times New Roman" w:hAnsi="Times New Roman"/>
          <w:sz w:val="22"/>
          <w:szCs w:val="22"/>
          <w:b w:val="1"/>
          <w:bCs w:val="1"/>
          <w:color w:val="auto"/>
        </w:rPr>
      </w:pPr>
    </w:p>
    <w:p>
      <w:pPr>
        <w:ind w:left="-20" w:right="820" w:firstLine="224"/>
        <w:spacing w:after="0" w:line="271" w:lineRule="auto"/>
        <w:tabs>
          <w:tab w:leader="none" w:pos="6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interpreted and enforced in accordance with the substantive law of the Commonwealth of Pennsylvania, without regard to any choice-of-law doctrines.</w:t>
      </w:r>
    </w:p>
    <w:p>
      <w:pPr>
        <w:spacing w:after="0" w:line="184" w:lineRule="exact"/>
        <w:rPr>
          <w:rFonts w:ascii="Times New Roman" w:cs="Times New Roman" w:eastAsia="Times New Roman" w:hAnsi="Times New Roman"/>
          <w:sz w:val="22"/>
          <w:szCs w:val="22"/>
          <w:color w:val="auto"/>
        </w:rPr>
      </w:pPr>
    </w:p>
    <w:p>
      <w:pPr>
        <w:jc w:val="both"/>
        <w:ind w:left="-20" w:right="80" w:firstLine="224"/>
        <w:spacing w:after="0" w:line="257" w:lineRule="auto"/>
        <w:tabs>
          <w:tab w:leader="none" w:pos="6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40" w:top="1418" w:right="359" w:bottom="1440" w:gutter="0" w:footer="0" w:header="0"/>
        </w:sectPr>
      </w:pPr>
    </w:p>
    <w:bookmarkStart w:id="50" w:name="page51"/>
    <w:bookmarkEnd w:id="50"/>
    <w:p>
      <w:pPr>
        <w:ind w:left="128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corporate_legal@comcast.com</w:t>
      </w:r>
    </w:p>
    <w:p>
      <w:pPr>
        <w:spacing w:after="0" w:line="2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if to Employee:</w:t>
      </w:r>
    </w:p>
    <w:p>
      <w:pPr>
        <w:spacing w:after="0" w:line="247" w:lineRule="exact"/>
        <w:rPr>
          <w:sz w:val="20"/>
          <w:szCs w:val="20"/>
          <w:color w:val="auto"/>
        </w:rPr>
      </w:pPr>
    </w:p>
    <w:p>
      <w:pPr>
        <w:ind w:left="1280" w:right="3260"/>
        <w:spacing w:after="0" w:line="271" w:lineRule="auto"/>
        <w:rPr>
          <w:sz w:val="20"/>
          <w:szCs w:val="20"/>
          <w:color w:val="auto"/>
        </w:rPr>
      </w:pPr>
      <w:r>
        <w:rPr>
          <w:rFonts w:ascii="Times New Roman" w:cs="Times New Roman" w:eastAsia="Times New Roman" w:hAnsi="Times New Roman"/>
          <w:sz w:val="22"/>
          <w:szCs w:val="22"/>
          <w:color w:val="auto"/>
        </w:rPr>
        <w:t>Employee’s residence address or e-mail address as most recently indicated in the Company’s records.</w:t>
      </w:r>
    </w:p>
    <w:p>
      <w:pPr>
        <w:spacing w:after="0" w:line="198" w:lineRule="exact"/>
        <w:rPr>
          <w:sz w:val="20"/>
          <w:szCs w:val="20"/>
          <w:color w:val="auto"/>
        </w:rPr>
      </w:pPr>
    </w:p>
    <w:p>
      <w:pPr>
        <w:ind w:left="-20" w:right="40" w:firstLine="224"/>
        <w:spacing w:after="0" w:line="248" w:lineRule="auto"/>
        <w:tabs>
          <w:tab w:leader="none" w:pos="6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Schedules 1 through 3 hereto) constitutes the entire agreement of the parties with respect to the subject matter hereof and supersedes and replaces in its entirety the Employment Agreement dated as of February 20, 2020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212" w:lineRule="exact"/>
        <w:rPr>
          <w:rFonts w:ascii="Times New Roman" w:cs="Times New Roman" w:eastAsia="Times New Roman" w:hAnsi="Times New Roman"/>
          <w:sz w:val="22"/>
          <w:szCs w:val="22"/>
          <w:color w:val="auto"/>
        </w:rPr>
      </w:pPr>
    </w:p>
    <w:p>
      <w:pPr>
        <w:ind w:left="-20" w:right="340" w:firstLine="224"/>
        <w:spacing w:after="0" w:line="256" w:lineRule="auto"/>
        <w:tabs>
          <w:tab w:leader="none" w:pos="6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Notwithstanding anything to the contrary contained herein, any amounts payable to Employee during the Term shall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203" w:lineRule="exact"/>
        <w:rPr>
          <w:rFonts w:ascii="Times New Roman" w:cs="Times New Roman" w:eastAsia="Times New Roman" w:hAnsi="Times New Roman"/>
          <w:sz w:val="22"/>
          <w:szCs w:val="22"/>
          <w:color w:val="auto"/>
        </w:rPr>
      </w:pPr>
    </w:p>
    <w:p>
      <w:pPr>
        <w:jc w:val="both"/>
        <w:ind w:left="-20" w:right="200" w:firstLine="224"/>
        <w:spacing w:after="0" w:line="256" w:lineRule="auto"/>
        <w:tabs>
          <w:tab w:leader="none" w:pos="6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or Unenforceability</w:t>
      </w:r>
      <w:r>
        <w:rPr>
          <w:rFonts w:ascii="Times New Roman" w:cs="Times New Roman" w:eastAsia="Times New Roman" w:hAnsi="Times New Roman"/>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3" w:lineRule="exact"/>
        <w:rPr>
          <w:rFonts w:ascii="Times New Roman" w:cs="Times New Roman" w:eastAsia="Times New Roman" w:hAnsi="Times New Roman"/>
          <w:sz w:val="22"/>
          <w:szCs w:val="22"/>
          <w:color w:val="auto"/>
        </w:rPr>
      </w:pPr>
    </w:p>
    <w:p>
      <w:pPr>
        <w:ind w:left="-20" w:firstLine="224"/>
        <w:spacing w:after="0" w:line="250" w:lineRule="auto"/>
        <w:tabs>
          <w:tab w:leader="none" w:pos="6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21" w:lineRule="exact"/>
        <w:rPr>
          <w:rFonts w:ascii="Times New Roman" w:cs="Times New Roman" w:eastAsia="Times New Roman" w:hAnsi="Times New Roman"/>
          <w:sz w:val="22"/>
          <w:szCs w:val="22"/>
          <w:color w:val="auto"/>
        </w:rPr>
      </w:pPr>
    </w:p>
    <w:p>
      <w:pPr>
        <w:ind w:left="-20" w:right="360" w:firstLine="224"/>
        <w:spacing w:after="0" w:line="271" w:lineRule="auto"/>
        <w:tabs>
          <w:tab w:leader="none" w:pos="6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No Assignment</w:t>
      </w:r>
      <w:r>
        <w:rPr>
          <w:rFonts w:ascii="Times New Roman" w:cs="Times New Roman" w:eastAsia="Times New Roman" w:hAnsi="Times New Roman"/>
          <w:sz w:val="22"/>
          <w:szCs w:val="22"/>
          <w:color w:val="auto"/>
        </w:rPr>
        <w:t>. This Agreement shall be binding on and inure to the benefit of the parties hereto and their respective heirs, executors, administrators, successors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40" w:top="1422" w:right="359" w:bottom="1440" w:gutter="0" w:footer="0" w:header="0"/>
        </w:sectPr>
      </w:pPr>
    </w:p>
    <w:bookmarkStart w:id="51" w:name="page52"/>
    <w:bookmarkEnd w:id="51"/>
    <w:p>
      <w:pPr>
        <w:spacing w:after="0" w:line="271" w:lineRule="auto"/>
        <w:rPr>
          <w:sz w:val="20"/>
          <w:szCs w:val="20"/>
          <w:color w:val="auto"/>
        </w:rPr>
      </w:pPr>
      <w:r>
        <w:rPr>
          <w:rFonts w:ascii="Times New Roman" w:cs="Times New Roman" w:eastAsia="Times New Roman" w:hAnsi="Times New Roman"/>
          <w:sz w:val="22"/>
          <w:szCs w:val="22"/>
          <w:color w:val="auto"/>
        </w:rPr>
        <w:t>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920"/>
          </w:cols>
          <w:pgMar w:left="320" w:top="1422"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and delivered this Agreement as of the date first-above written.</w:t>
      </w:r>
    </w:p>
    <w:p>
      <w:pPr>
        <w:spacing w:after="0" w:line="2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By:/s/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-13970</wp:posOffset>
            </wp:positionV>
            <wp:extent cx="11963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24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Date: 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11468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/s/ Jennifer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-13970</wp:posOffset>
            </wp:positionV>
            <wp:extent cx="11963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Jennifer Khoury</w:t>
      </w:r>
    </w:p>
    <w:p>
      <w:pPr>
        <w:spacing w:after="0" w:line="200" w:lineRule="exact"/>
        <w:rPr>
          <w:sz w:val="20"/>
          <w:szCs w:val="20"/>
          <w:color w:val="auto"/>
        </w:rPr>
      </w:pPr>
    </w:p>
    <w:p>
      <w:pPr>
        <w:spacing w:after="0" w:line="26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Date: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11468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700"/>
          </w:cols>
          <w:pgMar w:left="540" w:top="1422" w:right="659" w:bottom="1440" w:gutter="0" w:footer="0" w:header="0"/>
        </w:sectPr>
      </w:pPr>
    </w:p>
    <w:bookmarkStart w:id="53" w:name="page54"/>
    <w:bookmarkEnd w:id="53"/>
    <w:p>
      <w:pPr>
        <w:jc w:val="center"/>
        <w:ind w:right="-111"/>
        <w:spacing w:after="0"/>
        <w:rPr>
          <w:sz w:val="20"/>
          <w:szCs w:val="20"/>
          <w:color w:val="auto"/>
        </w:rPr>
      </w:pPr>
      <w:r>
        <w:rPr>
          <w:rFonts w:ascii="Times New Roman" w:cs="Times New Roman" w:eastAsia="Times New Roman" w:hAnsi="Times New Roman"/>
          <w:sz w:val="22"/>
          <w:szCs w:val="22"/>
          <w:u w:val="single" w:color="auto"/>
          <w:color w:val="auto"/>
        </w:rPr>
        <w:t>SCHEDULE 1 TO EMPLOYMENT AGREEMENT WITH JENNIFER KHOURY</w:t>
      </w:r>
    </w:p>
    <w:p>
      <w:pPr>
        <w:spacing w:after="0" w:line="247" w:lineRule="exact"/>
        <w:rPr>
          <w:sz w:val="20"/>
          <w:szCs w:val="20"/>
          <w:color w:val="auto"/>
        </w:rPr>
      </w:pPr>
    </w:p>
    <w:p>
      <w:pPr>
        <w:ind w:left="372" w:hanging="372"/>
        <w:spacing w:after="0"/>
        <w:tabs>
          <w:tab w:leader="none" w:pos="37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Chief Communications Officer, Comcast Corporation.</w:t>
      </w:r>
    </w:p>
    <w:p>
      <w:pPr>
        <w:spacing w:after="0" w:line="246"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$1,500,000</w:t>
      </w:r>
    </w:p>
    <w:p>
      <w:pPr>
        <w:spacing w:after="0" w:line="260" w:lineRule="exact"/>
        <w:rPr>
          <w:rFonts w:ascii="Times New Roman" w:cs="Times New Roman" w:eastAsia="Times New Roman" w:hAnsi="Times New Roman"/>
          <w:sz w:val="22"/>
          <w:szCs w:val="22"/>
          <w:color w:val="auto"/>
        </w:rPr>
      </w:pPr>
    </w:p>
    <w:p>
      <w:pPr>
        <w:ind w:left="652" w:right="160" w:hanging="652"/>
        <w:spacing w:after="0" w:line="271" w:lineRule="auto"/>
        <w:tabs>
          <w:tab w:leader="none" w:pos="38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Bonus. Target bonus potential under the Cash Bonus Plan: 150% of eligible earnings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the amount of Base Salary actually paid and/or deferred in the applicable period).</w:t>
      </w:r>
    </w:p>
    <w:p>
      <w:pPr>
        <w:spacing w:after="0" w:line="184" w:lineRule="exact"/>
        <w:rPr>
          <w:rFonts w:ascii="Times New Roman" w:cs="Times New Roman" w:eastAsia="Times New Roman" w:hAnsi="Times New Roman"/>
          <w:sz w:val="22"/>
          <w:szCs w:val="22"/>
          <w:color w:val="auto"/>
        </w:rPr>
      </w:pPr>
    </w:p>
    <w:p>
      <w:pPr>
        <w:ind w:left="652" w:hanging="652"/>
        <w:spacing w:after="0" w:line="257" w:lineRule="auto"/>
        <w:tabs>
          <w:tab w:leader="none" w:pos="38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213" w:lineRule="exact"/>
        <w:rPr>
          <w:rFonts w:ascii="Times New Roman" w:cs="Times New Roman" w:eastAsia="Times New Roman" w:hAnsi="Times New Roman"/>
          <w:sz w:val="22"/>
          <w:szCs w:val="22"/>
          <w:color w:val="auto"/>
        </w:rPr>
      </w:pPr>
    </w:p>
    <w:p>
      <w:pPr>
        <w:ind w:left="652" w:right="140" w:hanging="652"/>
        <w:spacing w:after="0" w:line="252" w:lineRule="auto"/>
        <w:tabs>
          <w:tab w:leader="none" w:pos="38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12"/>
          </w:cols>
          <w:pgMar w:left="328" w:top="1422"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23" w:lineRule="exact"/>
        <w:rPr>
          <w:sz w:val="20"/>
          <w:szCs w:val="20"/>
          <w:color w:val="auto"/>
        </w:rPr>
      </w:pPr>
    </w:p>
    <w:p>
      <w:pPr>
        <w:ind w:right="20" w:firstLine="212"/>
        <w:spacing w:after="0" w:line="234" w:lineRule="auto"/>
        <w:rPr>
          <w:sz w:val="20"/>
          <w:szCs w:val="20"/>
          <w:color w:val="auto"/>
        </w:rPr>
      </w:pPr>
      <w:r>
        <w:rPr>
          <w:rFonts w:ascii="Times New Roman" w:cs="Times New Roman" w:eastAsia="Times New Roman" w:hAnsi="Times New Roman"/>
          <w:sz w:val="22"/>
          <w:szCs w:val="22"/>
          <w:color w:val="auto"/>
        </w:rPr>
        <w:t>This EMPLOYMENT AGREEMENT (the “Agreement”) is entered into as of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April, 2024, between COMCAST CORPORATION, a Pennsylvania corporation (together with its subsidiaries, the “Company”), and THOMAS J. REID (“Employee”).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51" w:lineRule="exact"/>
        <w:rPr>
          <w:sz w:val="20"/>
          <w:szCs w:val="20"/>
          <w:color w:val="auto"/>
        </w:rPr>
      </w:pPr>
    </w:p>
    <w:p>
      <w:pPr>
        <w:ind w:right="80" w:firstLine="216"/>
        <w:spacing w:after="0" w:line="263" w:lineRule="auto"/>
        <w:rPr>
          <w:sz w:val="20"/>
          <w:szCs w:val="20"/>
          <w:color w:val="auto"/>
        </w:rPr>
      </w:pPr>
      <w:r>
        <w:rPr>
          <w:rFonts w:ascii="Times New Roman" w:cs="Times New Roman" w:eastAsia="Times New Roman" w:hAnsi="Times New Roman"/>
          <w:sz w:val="22"/>
          <w:szCs w:val="22"/>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Intending to be legally bound, the Company and Employee agree as follows:</w:t>
      </w:r>
    </w:p>
    <w:p>
      <w:pPr>
        <w:spacing w:after="0" w:line="247" w:lineRule="exact"/>
        <w:rPr>
          <w:sz w:val="20"/>
          <w:szCs w:val="20"/>
          <w:color w:val="auto"/>
        </w:rPr>
      </w:pPr>
    </w:p>
    <w:p>
      <w:pPr>
        <w:ind w:left="600" w:hanging="376"/>
        <w:spacing w:after="0"/>
        <w:tabs>
          <w:tab w:leader="none" w:pos="6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serve, and the Company shall employ Employee in the position set forth on Schedule 1, provided that</w:t>
      </w:r>
    </w:p>
    <w:p>
      <w:pPr>
        <w:spacing w:after="0" w:line="39" w:lineRule="exact"/>
        <w:rPr>
          <w:rFonts w:ascii="Times New Roman" w:cs="Times New Roman" w:eastAsia="Times New Roman" w:hAnsi="Times New Roman"/>
          <w:sz w:val="21"/>
          <w:szCs w:val="21"/>
          <w:color w:val="auto"/>
        </w:rPr>
      </w:pPr>
    </w:p>
    <w:p>
      <w:pPr>
        <w:ind w:right="20" w:firstLine="8"/>
        <w:spacing w:after="0" w:line="285" w:lineRule="auto"/>
        <w:tabs>
          <w:tab w:leader="none" w:pos="25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position and duties of Employee from time to time hereunder assigned by the Company will be commensurate with Employee’s education, skills and experience and (ii) Employee’s position will be the most senior legal executive of the Company.</w:t>
      </w:r>
    </w:p>
    <w:p>
      <w:pPr>
        <w:spacing w:after="0" w:line="171" w:lineRule="exact"/>
        <w:rPr>
          <w:rFonts w:ascii="Times New Roman" w:cs="Times New Roman" w:eastAsia="Times New Roman" w:hAnsi="Times New Roman"/>
          <w:sz w:val="21"/>
          <w:szCs w:val="21"/>
          <w:color w:val="auto"/>
        </w:rPr>
      </w:pPr>
    </w:p>
    <w:p>
      <w:pPr>
        <w:ind w:right="20" w:firstLine="440"/>
        <w:spacing w:after="0" w:line="253" w:lineRule="auto"/>
        <w:tabs>
          <w:tab w:leader="none" w:pos="90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05" w:lineRule="exact"/>
        <w:rPr>
          <w:rFonts w:ascii="Times New Roman" w:cs="Times New Roman" w:eastAsia="Times New Roman" w:hAnsi="Times New Roman"/>
          <w:sz w:val="22"/>
          <w:szCs w:val="22"/>
          <w:color w:val="auto"/>
        </w:rPr>
      </w:pPr>
    </w:p>
    <w:p>
      <w:pPr>
        <w:ind w:right="820" w:firstLine="440"/>
        <w:spacing w:after="0" w:line="271" w:lineRule="auto"/>
        <w:tabs>
          <w:tab w:leader="none" w:pos="884"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comply with all policies of the Company applicable to them, including those contained in the Employee Handbook and the Code of Conduct.</w:t>
      </w:r>
    </w:p>
    <w:p>
      <w:pPr>
        <w:spacing w:after="0" w:line="184" w:lineRule="exact"/>
        <w:rPr>
          <w:rFonts w:ascii="Times New Roman" w:cs="Times New Roman" w:eastAsia="Times New Roman" w:hAnsi="Times New Roman"/>
          <w:sz w:val="22"/>
          <w:szCs w:val="22"/>
          <w:color w:val="auto"/>
        </w:rPr>
      </w:pPr>
    </w:p>
    <w:p>
      <w:pPr>
        <w:ind w:right="260" w:firstLine="224"/>
        <w:spacing w:after="0" w:line="253" w:lineRule="auto"/>
        <w:tabs>
          <w:tab w:leader="none" w:pos="59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(the “Term”) shall be from January 1, 2024 (the “Commencement Date”) through the first to occur of: (a) the date Employee’s employment is terminated in accordance with Paragraph 6; or (b) December 31, 2028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1418" w:right="339" w:bottom="1440" w:gutter="0" w:footer="0" w:header="0"/>
        </w:sectPr>
      </w:pPr>
    </w:p>
    <w:bookmarkStart w:id="55" w:name="page56"/>
    <w:bookmarkEnd w:id="55"/>
    <w:p>
      <w:pPr>
        <w:ind w:left="460" w:hanging="376"/>
        <w:spacing w:after="0"/>
        <w:tabs>
          <w:tab w:leader="none" w:pos="4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40" w:right="80" w:firstLine="440"/>
        <w:spacing w:after="0" w:line="265" w:lineRule="auto"/>
        <w:tabs>
          <w:tab w:leader="none" w:pos="74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Employee’s base salary (“Base Salary”) from the Commencement Date through February 28, 2025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performance and conduct.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95" w:lineRule="exact"/>
        <w:rPr>
          <w:rFonts w:ascii="Times New Roman" w:cs="Times New Roman" w:eastAsia="Times New Roman" w:hAnsi="Times New Roman"/>
          <w:sz w:val="21"/>
          <w:szCs w:val="21"/>
          <w:color w:val="auto"/>
        </w:rPr>
      </w:pPr>
    </w:p>
    <w:p>
      <w:pPr>
        <w:ind w:left="760" w:hanging="460"/>
        <w:spacing w:after="0"/>
        <w:tabs>
          <w:tab w:leader="none" w:pos="7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and Stock Option Grants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40" w:right="180" w:firstLine="656"/>
        <w:spacing w:after="0" w:line="248" w:lineRule="auto"/>
        <w:tabs>
          <w:tab w:leader="none" w:pos="976"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in 2024 and in each subsequent calendar year in the Term, Employee shall be entitled to participate in any annual broad-based grant programs under the Company’s Omnibus Equity Incentive Plan (or any successor equity-based compensation plan or plans) on a basis consistent with that applicable to other employees at Employee’s level, taking into account Employee’s position, duties, performance and conduct, and such grants shall contain provisions relating to vesting following retirement as are included in grants made to other employees at Employee’s level based on the then applicable Company policy.</w:t>
      </w:r>
    </w:p>
    <w:p>
      <w:pPr>
        <w:spacing w:after="0" w:line="227" w:lineRule="exact"/>
        <w:rPr>
          <w:rFonts w:ascii="Times New Roman" w:cs="Times New Roman" w:eastAsia="Times New Roman" w:hAnsi="Times New Roman"/>
          <w:sz w:val="22"/>
          <w:szCs w:val="22"/>
          <w:color w:val="auto"/>
        </w:rPr>
      </w:pPr>
    </w:p>
    <w:p>
      <w:pPr>
        <w:ind w:left="760" w:hanging="460"/>
        <w:spacing w:after="0"/>
        <w:tabs>
          <w:tab w:leader="none" w:pos="7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Bonuses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40" w:right="40" w:firstLine="656"/>
        <w:spacing w:after="0" w:line="252" w:lineRule="auto"/>
        <w:tabs>
          <w:tab w:leader="none" w:pos="92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be entitled to participate in the Company’s Cash Bonus Plan as set forth on Schedule 1 for 2024.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219" w:lineRule="exact"/>
        <w:rPr>
          <w:rFonts w:ascii="Times New Roman" w:cs="Times New Roman" w:eastAsia="Times New Roman" w:hAnsi="Times New Roman"/>
          <w:sz w:val="22"/>
          <w:szCs w:val="22"/>
          <w:color w:val="auto"/>
        </w:rPr>
      </w:pPr>
    </w:p>
    <w:p>
      <w:pPr>
        <w:ind w:left="-140" w:firstLine="656"/>
        <w:spacing w:after="0" w:line="250" w:lineRule="auto"/>
        <w:tabs>
          <w:tab w:leader="none" w:pos="9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performance and conduct, provided that in no event will the percentage of eligible earnings target bonus potential thereunder be less than that set forth on Schedule 1.</w:t>
      </w:r>
    </w:p>
    <w:p>
      <w:pPr>
        <w:spacing w:after="0" w:line="221" w:lineRule="exact"/>
        <w:rPr>
          <w:rFonts w:ascii="Times New Roman" w:cs="Times New Roman" w:eastAsia="Times New Roman" w:hAnsi="Times New Roman"/>
          <w:sz w:val="22"/>
          <w:szCs w:val="22"/>
          <w:color w:val="auto"/>
        </w:rPr>
      </w:pPr>
    </w:p>
    <w:p>
      <w:pPr>
        <w:ind w:left="-140" w:right="20" w:firstLine="224"/>
        <w:spacing w:after="0" w:line="250" w:lineRule="auto"/>
        <w:tabs>
          <w:tab w:leader="none" w:pos="45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 and Programs</w:t>
      </w:r>
      <w:r>
        <w:rPr>
          <w:rFonts w:ascii="Times New Roman" w:cs="Times New Roman" w:eastAsia="Times New Roman" w:hAnsi="Times New Roman"/>
          <w:sz w:val="22"/>
          <w:szCs w:val="22"/>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60"/>
          </w:cols>
          <w:pgMar w:left="460" w:top="1422" w:right="479" w:bottom="1440" w:gutter="0" w:footer="0" w:header="0"/>
        </w:sectPr>
      </w:pPr>
    </w:p>
    <w:bookmarkStart w:id="56" w:name="page57"/>
    <w:bookmarkEnd w:id="56"/>
    <w:p>
      <w:pPr>
        <w:ind w:right="120"/>
        <w:spacing w:after="0" w:line="256" w:lineRule="auto"/>
        <w:rPr>
          <w:sz w:val="20"/>
          <w:szCs w:val="20"/>
          <w:color w:val="auto"/>
        </w:rPr>
      </w:pPr>
      <w:r>
        <w:rPr>
          <w:rFonts w:ascii="Times New Roman" w:cs="Times New Roman" w:eastAsia="Times New Roman" w:hAnsi="Times New Roman"/>
          <w:sz w:val="22"/>
          <w:szCs w:val="22"/>
          <w:color w:val="auto"/>
        </w:rPr>
        <w:t>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203" w:lineRule="exact"/>
        <w:rPr>
          <w:sz w:val="20"/>
          <w:szCs w:val="20"/>
          <w:color w:val="auto"/>
        </w:rPr>
      </w:pPr>
    </w:p>
    <w:p>
      <w:pPr>
        <w:ind w:right="60" w:firstLine="224"/>
        <w:spacing w:after="0" w:line="252" w:lineRule="auto"/>
        <w:tabs>
          <w:tab w:leader="none" w:pos="5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19" w:lineRule="exact"/>
        <w:rPr>
          <w:rFonts w:ascii="Times New Roman" w:cs="Times New Roman" w:eastAsia="Times New Roman" w:hAnsi="Times New Roman"/>
          <w:sz w:val="22"/>
          <w:szCs w:val="22"/>
          <w:color w:val="auto"/>
        </w:rPr>
      </w:pPr>
    </w:p>
    <w:p>
      <w:pPr>
        <w:ind w:firstLine="224"/>
        <w:spacing w:after="0" w:line="252" w:lineRule="auto"/>
        <w:tabs>
          <w:tab w:leader="none" w:pos="5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Term,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20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Employee's employment shall terminate automatically in the event of Employee’s death.</w:t>
      </w:r>
    </w:p>
    <w:p>
      <w:pPr>
        <w:spacing w:after="0" w:line="246" w:lineRule="exact"/>
        <w:rPr>
          <w:rFonts w:ascii="Times New Roman" w:cs="Times New Roman" w:eastAsia="Times New Roman" w:hAnsi="Times New Roman"/>
          <w:sz w:val="22"/>
          <w:szCs w:val="22"/>
          <w:color w:val="auto"/>
        </w:rPr>
      </w:pPr>
    </w:p>
    <w:p>
      <w:pPr>
        <w:ind w:right="100" w:firstLine="440"/>
        <w:spacing w:after="0" w:line="252" w:lineRule="auto"/>
        <w:tabs>
          <w:tab w:leader="none" w:pos="9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 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20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 by the Company or Resignation Without Good Reason by Employee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160" w:firstLine="656"/>
        <w:spacing w:after="0" w:line="262" w:lineRule="auto"/>
        <w:tabs>
          <w:tab w:leader="none" w:pos="1064"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(or if made public, would reasonably be expected to bring) Employee or the Company into widespread public disrepute, contempt, scandal or ridicule, or which would justifiably shock,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57" w:name="page58"/>
    <w:bookmarkEnd w:id="57"/>
    <w:p>
      <w:pPr>
        <w:ind w:right="200"/>
        <w:spacing w:after="0" w:line="263" w:lineRule="auto"/>
        <w:rPr>
          <w:sz w:val="20"/>
          <w:szCs w:val="20"/>
          <w:color w:val="auto"/>
        </w:rPr>
      </w:pPr>
      <w:r>
        <w:rPr>
          <w:rFonts w:ascii="Times New Roman" w:cs="Times New Roman" w:eastAsia="Times New Roman" w:hAnsi="Times New Roman"/>
          <w:sz w:val="21"/>
          <w:szCs w:val="21"/>
          <w:color w:val="auto"/>
        </w:rPr>
        <w:t>insult or offend a significant portion of the community, or Employee’s or the Company’s being subject to publicity for any such act or involvement; (H) material violation of the Employee Handbook, the Code of Conduct or any other written Company policy, including, without limitation, a material violation of the Company’s anti-harassment and anti-discrimination policies; or</w:t>
      </w:r>
    </w:p>
    <w:p>
      <w:pPr>
        <w:spacing w:after="0" w:line="2" w:lineRule="exact"/>
        <w:rPr>
          <w:sz w:val="20"/>
          <w:szCs w:val="20"/>
          <w:color w:val="auto"/>
        </w:rPr>
      </w:pPr>
    </w:p>
    <w:p>
      <w:pPr>
        <w:ind w:left="280" w:hanging="272"/>
        <w:spacing w:after="0"/>
        <w:tabs>
          <w:tab w:leader="none" w:pos="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of this Agreement.</w:t>
      </w:r>
    </w:p>
    <w:p>
      <w:pPr>
        <w:spacing w:after="0" w:line="234" w:lineRule="exact"/>
        <w:rPr>
          <w:rFonts w:ascii="Times New Roman" w:cs="Times New Roman" w:eastAsia="Times New Roman" w:hAnsi="Times New Roman"/>
          <w:sz w:val="22"/>
          <w:szCs w:val="22"/>
          <w:color w:val="auto"/>
        </w:rPr>
      </w:pPr>
    </w:p>
    <w:p>
      <w:pPr>
        <w:ind w:right="320" w:firstLine="656"/>
        <w:spacing w:after="0" w:line="257" w:lineRule="auto"/>
        <w:tabs>
          <w:tab w:leader="none" w:pos="1128"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99"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by the Company or Resignation With Good Reason by Employee.</w:t>
      </w:r>
    </w:p>
    <w:p>
      <w:pPr>
        <w:spacing w:after="0" w:line="260" w:lineRule="exact"/>
        <w:rPr>
          <w:rFonts w:ascii="Times New Roman" w:cs="Times New Roman" w:eastAsia="Times New Roman" w:hAnsi="Times New Roman"/>
          <w:sz w:val="22"/>
          <w:szCs w:val="22"/>
          <w:color w:val="auto"/>
        </w:rPr>
      </w:pPr>
    </w:p>
    <w:p>
      <w:pPr>
        <w:ind w:right="180" w:firstLine="656"/>
        <w:spacing w:after="0" w:line="271" w:lineRule="auto"/>
        <w:tabs>
          <w:tab w:leader="none" w:pos="1064"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Employee’s employment (a “Termination Without Cause”) at any time for any reason (or for no reason) upon twenty (20) business days prior written notice.</w:t>
      </w:r>
    </w:p>
    <w:p>
      <w:pPr>
        <w:spacing w:after="0" w:line="185" w:lineRule="exact"/>
        <w:rPr>
          <w:sz w:val="20"/>
          <w:szCs w:val="20"/>
          <w:color w:val="auto"/>
        </w:rPr>
      </w:pPr>
    </w:p>
    <w:p>
      <w:pPr>
        <w:ind w:right="180" w:firstLine="656"/>
        <w:spacing w:after="0" w:line="268" w:lineRule="auto"/>
        <w:tabs>
          <w:tab w:leader="none" w:pos="1128"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90" w:lineRule="exact"/>
        <w:rPr>
          <w:rFonts w:ascii="Times New Roman" w:cs="Times New Roman" w:eastAsia="Times New Roman" w:hAnsi="Times New Roman"/>
          <w:sz w:val="21"/>
          <w:szCs w:val="21"/>
          <w:color w:val="auto"/>
        </w:rPr>
      </w:pPr>
    </w:p>
    <w:p>
      <w:pPr>
        <w:ind w:right="100" w:firstLine="224"/>
        <w:spacing w:after="0" w:line="257" w:lineRule="auto"/>
        <w:tabs>
          <w:tab w:leader="none" w:pos="5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Other Entitlements As a Result of Termination</w:t>
      </w:r>
      <w:r>
        <w:rPr>
          <w:rFonts w:ascii="Times New Roman" w:cs="Times New Roman" w:eastAsia="Times New Roman" w:hAnsi="Times New Roman"/>
          <w:sz w:val="22"/>
          <w:szCs w:val="22"/>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199" w:lineRule="exact"/>
        <w:rPr>
          <w:rFonts w:ascii="Times New Roman" w:cs="Times New Roman" w:eastAsia="Times New Roman" w:hAnsi="Times New Roman"/>
          <w:sz w:val="22"/>
          <w:szCs w:val="22"/>
          <w:color w:val="auto"/>
        </w:rPr>
      </w:pPr>
    </w:p>
    <w:p>
      <w:pPr>
        <w:ind w:firstLine="440"/>
        <w:spacing w:after="0" w:line="248" w:lineRule="auto"/>
        <w:tabs>
          <w:tab w:leader="none" w:pos="88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Following termination due to death or Termination Due to Disability,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or in the terms of any applicable equity plan award, 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58" w:name="page59"/>
    <w:bookmarkEnd w:id="58"/>
    <w:p>
      <w:pPr>
        <w:ind w:right="200"/>
        <w:spacing w:after="0" w:line="284" w:lineRule="auto"/>
        <w:rPr>
          <w:sz w:val="20"/>
          <w:szCs w:val="20"/>
          <w:color w:val="auto"/>
        </w:rPr>
      </w:pPr>
      <w:r>
        <w:rPr>
          <w:rFonts w:ascii="Times New Roman" w:cs="Times New Roman" w:eastAsia="Times New Roman" w:hAnsi="Times New Roman"/>
          <w:sz w:val="22"/>
          <w:szCs w:val="22"/>
          <w:color w:val="auto"/>
        </w:rPr>
        <w:t>amounts payable to Employee’s estate (or Employee, as applicable) pursuant to this subparagraph (a)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76" w:lineRule="exact"/>
        <w:rPr>
          <w:sz w:val="20"/>
          <w:szCs w:val="20"/>
          <w:color w:val="auto"/>
        </w:rPr>
      </w:pPr>
    </w:p>
    <w:p>
      <w:pPr>
        <w:ind w:left="900" w:hanging="460"/>
        <w:spacing w:after="0"/>
        <w:tabs>
          <w:tab w:leader="none" w:pos="9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 by the Company or Resignation Without Good Reason by Employee</w:t>
      </w:r>
      <w:r>
        <w:rPr>
          <w:rFonts w:ascii="Times New Roman" w:cs="Times New Roman" w:eastAsia="Times New Roman" w:hAnsi="Times New Roman"/>
          <w:sz w:val="22"/>
          <w:szCs w:val="22"/>
          <w:color w:val="auto"/>
        </w:rPr>
        <w:t>. If Employee’s</w:t>
      </w:r>
    </w:p>
    <w:p>
      <w:pPr>
        <w:spacing w:after="0" w:line="29" w:lineRule="exact"/>
        <w:rPr>
          <w:rFonts w:ascii="Times New Roman" w:cs="Times New Roman" w:eastAsia="Times New Roman" w:hAnsi="Times New Roman"/>
          <w:sz w:val="22"/>
          <w:szCs w:val="22"/>
          <w:color w:val="auto"/>
        </w:rPr>
      </w:pPr>
    </w:p>
    <w:p>
      <w:pPr>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terminates as a result of a Termination With Cause or Resignation Without Good Reason,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130" w:lineRule="exact"/>
        <w:rPr>
          <w:rFonts w:ascii="Times New Roman" w:cs="Times New Roman" w:eastAsia="Times New Roman" w:hAnsi="Times New Roman"/>
          <w:sz w:val="22"/>
          <w:szCs w:val="22"/>
          <w:color w:val="auto"/>
        </w:rPr>
      </w:pPr>
    </w:p>
    <w:p>
      <w:pPr>
        <w:ind w:right="40" w:firstLine="440"/>
        <w:spacing w:after="0" w:line="250" w:lineRule="auto"/>
        <w:tabs>
          <w:tab w:leader="none" w:pos="88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by the Company or Resignation With Good Reason by Employee</w:t>
      </w:r>
      <w:r>
        <w:rPr>
          <w:rFonts w:ascii="Times New Roman" w:cs="Times New Roman" w:eastAsia="Times New Roman" w:hAnsi="Times New Roman"/>
          <w:sz w:val="22"/>
          <w:szCs w:val="22"/>
          <w:color w:val="auto"/>
        </w:rPr>
        <w:t>. If Employee’s employment is terminated as a result of a Termination Without Cause or Resignation With Good Reason,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207" w:lineRule="exact"/>
        <w:rPr>
          <w:rFonts w:ascii="Times New Roman" w:cs="Times New Roman" w:eastAsia="Times New Roman" w:hAnsi="Times New Roman"/>
          <w:sz w:val="22"/>
          <w:szCs w:val="22"/>
          <w:color w:val="auto"/>
        </w:rPr>
      </w:pPr>
    </w:p>
    <w:p>
      <w:pPr>
        <w:ind w:right="80" w:firstLine="656"/>
        <w:spacing w:after="0" w:line="249" w:lineRule="auto"/>
        <w:tabs>
          <w:tab w:leader="none" w:pos="106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with the Company continuing to cover the employer portion of the premium cost for such benefits (if and to the extent Employee was participating in 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210" w:lineRule="exact"/>
        <w:rPr>
          <w:rFonts w:ascii="Times New Roman" w:cs="Times New Roman" w:eastAsia="Times New Roman" w:hAnsi="Times New Roman"/>
          <w:sz w:val="22"/>
          <w:szCs w:val="22"/>
          <w:color w:val="auto"/>
        </w:rPr>
      </w:pPr>
    </w:p>
    <w:p>
      <w:pPr>
        <w:ind w:right="200" w:firstLine="656"/>
        <w:spacing w:after="0" w:line="251" w:lineRule="auto"/>
        <w:tabs>
          <w:tab w:leader="none" w:pos="11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 pro-rated amount 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59" w:name="page60"/>
    <w:bookmarkEnd w:id="59"/>
    <w:p>
      <w:pPr>
        <w:ind w:right="240"/>
        <w:spacing w:after="0" w:line="255" w:lineRule="auto"/>
        <w:rPr>
          <w:sz w:val="20"/>
          <w:szCs w:val="20"/>
          <w:color w:val="auto"/>
        </w:rPr>
      </w:pPr>
      <w:r>
        <w:rPr>
          <w:rFonts w:ascii="Times New Roman" w:cs="Times New Roman" w:eastAsia="Times New Roman" w:hAnsi="Times New Roman"/>
          <w:sz w:val="22"/>
          <w:szCs w:val="22"/>
          <w:color w:val="auto"/>
        </w:rPr>
        <w:t>account of the current year’s Cash Bonus Plan grant (calculated based on eligible earnings through the date of termination, and using actual achievement of Company-based performance goals and assuming full (i.e. 100%) achievement of Employee’s personal performance goals) (payable in accordance with the Company’s regular payroll practice for paying such year’s bonus, including the timing thereof). Except as otherwise provided herein, any amounts payable to Employee pursuant to this subparagraph (ii)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122" w:lineRule="exact"/>
        <w:rPr>
          <w:sz w:val="20"/>
          <w:szCs w:val="20"/>
          <w:color w:val="auto"/>
        </w:rPr>
      </w:pPr>
    </w:p>
    <w:p>
      <w:pPr>
        <w:ind w:right="20" w:firstLine="656"/>
        <w:spacing w:after="0" w:line="253" w:lineRule="auto"/>
        <w:tabs>
          <w:tab w:leader="none" w:pos="1242"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205"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payment, Employee shall be entitled to receive payment on account of:</w:t>
      </w:r>
    </w:p>
    <w:p>
      <w:pPr>
        <w:spacing w:after="0" w:line="27" w:lineRule="exact"/>
        <w:rPr>
          <w:rFonts w:ascii="Times New Roman" w:cs="Times New Roman" w:eastAsia="Times New Roman" w:hAnsi="Times New Roman"/>
          <w:sz w:val="22"/>
          <w:szCs w:val="22"/>
          <w:color w:val="auto"/>
        </w:rPr>
      </w:pPr>
    </w:p>
    <w:p>
      <w:pPr>
        <w:ind w:right="40" w:firstLine="8"/>
        <w:spacing w:after="0" w:line="247" w:lineRule="auto"/>
        <w:tabs>
          <w:tab w:leader="none" w:pos="35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year’s Cash Bonus Plan grant, pro-rated beginning from the day following the date of termination through December 31st of the year of termination; and (B) the following year’s Cash Bonus Plan grant, pro-rated based on the number of days of employment in the year of termination; in each case calculated using actual achievement of Company-based performance goals and assuming full (i.e. 100%) achievement of Employee’s personal performance goals (payable at such times as otherwise applicable absent such termination).</w:t>
      </w:r>
    </w:p>
    <w:p>
      <w:pPr>
        <w:spacing w:after="0" w:line="213" w:lineRule="exact"/>
        <w:rPr>
          <w:rFonts w:ascii="Times New Roman" w:cs="Times New Roman" w:eastAsia="Times New Roman" w:hAnsi="Times New Roman"/>
          <w:sz w:val="22"/>
          <w:szCs w:val="22"/>
          <w:color w:val="auto"/>
        </w:rPr>
      </w:pPr>
    </w:p>
    <w:p>
      <w:pPr>
        <w:ind w:right="200" w:firstLine="980"/>
        <w:spacing w:after="0" w:line="256" w:lineRule="auto"/>
        <w:tabs>
          <w:tab w:leader="none" w:pos="1440"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vesting, Employee shall have the right to continued vesting of equity plan grants through the period of time set forth on Schedule 1, as if there had been no termination of employment. Provided Employee is alive at the time of exercise, Employee shall have the right to exercise any vested stock options through the period of time set forth on Schedule 1.</w:t>
      </w:r>
    </w:p>
    <w:p>
      <w:pPr>
        <w:spacing w:after="0" w:line="203" w:lineRule="exact"/>
        <w:rPr>
          <w:rFonts w:ascii="Times New Roman" w:cs="Times New Roman" w:eastAsia="Times New Roman" w:hAnsi="Times New Roman"/>
          <w:sz w:val="22"/>
          <w:szCs w:val="22"/>
          <w:color w:val="auto"/>
        </w:rPr>
      </w:pPr>
    </w:p>
    <w:p>
      <w:pPr>
        <w:ind w:right="460" w:firstLine="1385"/>
        <w:spacing w:after="0" w:line="252" w:lineRule="auto"/>
        <w:tabs>
          <w:tab w:leader="none" w:pos="1683" w:val="left"/>
        </w:tabs>
        <w:numPr>
          <w:ilvl w:val="4"/>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Entitlements.</w:t>
      </w:r>
      <w:r>
        <w:rPr>
          <w:rFonts w:ascii="Times New Roman" w:cs="Times New Roman" w:eastAsia="Times New Roman" w:hAnsi="Times New Roman"/>
          <w:sz w:val="22"/>
          <w:szCs w:val="22"/>
          <w:color w:val="auto"/>
        </w:rPr>
        <w:t xml:space="preserve"> In addition to the foregoing provisions of Paragraph 7, in the event of a Retirement Termination (as defined in Employee’s equity plan awards) or a termination of employment due to death or Disability, Employee’s equity plan grants will continue to vest and/or be exercisable in accordance with the terms set forth in each such equity plan award.</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firstLine="224"/>
        <w:spacing w:after="0" w:line="248" w:lineRule="auto"/>
        <w:tabs>
          <w:tab w:leader="none" w:pos="59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Non-Competition; Confidentiality</w:t>
      </w:r>
      <w:r>
        <w:rPr>
          <w:rFonts w:ascii="Times New Roman" w:cs="Times New Roman" w:eastAsia="Times New Roman" w:hAnsi="Times New Roman"/>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22" w:right="359" w:bottom="1440" w:gutter="0" w:footer="0" w:header="0"/>
        </w:sectPr>
      </w:pPr>
    </w:p>
    <w:bookmarkStart w:id="60" w:name="page61"/>
    <w:bookmarkEnd w:id="60"/>
    <w:p>
      <w:pPr>
        <w:ind w:firstLine="440"/>
        <w:spacing w:after="0" w:line="265" w:lineRule="auto"/>
        <w:tabs>
          <w:tab w:leader="none" w:pos="8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95" w:lineRule="exact"/>
        <w:rPr>
          <w:rFonts w:ascii="Times New Roman" w:cs="Times New Roman" w:eastAsia="Times New Roman" w:hAnsi="Times New Roman"/>
          <w:sz w:val="21"/>
          <w:szCs w:val="21"/>
          <w:color w:val="auto"/>
        </w:rPr>
      </w:pPr>
    </w:p>
    <w:p>
      <w:pPr>
        <w:ind w:right="80" w:firstLine="440"/>
        <w:spacing w:after="0" w:line="248" w:lineRule="auto"/>
        <w:tabs>
          <w:tab w:leader="none" w:pos="9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WHILE EMPLOYED BY THE COMPANY (WHETHER DURING THE TERM OR THEREAFTER); AND FOR A PERIOD OF ONE YEAR AFTER A RESIGNATION WITHOUT GOOD REASON OR A TERMINATION WITH CAUSE, IN EITHER CASE WHETHER OCCURRING DURING THE TERM OR THEREAFTER;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215" w:lineRule="exact"/>
        <w:rPr>
          <w:rFonts w:ascii="Times New Roman" w:cs="Times New Roman" w:eastAsia="Times New Roman" w:hAnsi="Times New Roman"/>
          <w:sz w:val="22"/>
          <w:szCs w:val="22"/>
          <w:color w:val="auto"/>
        </w:rPr>
      </w:pPr>
    </w:p>
    <w:p>
      <w:pPr>
        <w:ind w:firstLine="656"/>
        <w:spacing w:after="0" w:line="256" w:lineRule="auto"/>
        <w:tabs>
          <w:tab w:leader="none" w:pos="112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203" w:lineRule="exact"/>
        <w:rPr>
          <w:rFonts w:ascii="Times New Roman" w:cs="Times New Roman" w:eastAsia="Times New Roman" w:hAnsi="Times New Roman"/>
          <w:sz w:val="22"/>
          <w:szCs w:val="22"/>
          <w:color w:val="auto"/>
        </w:rPr>
      </w:pPr>
    </w:p>
    <w:p>
      <w:pPr>
        <w:ind w:right="280" w:firstLine="656"/>
        <w:spacing w:after="0" w:line="256" w:lineRule="auto"/>
        <w:tabs>
          <w:tab w:leader="none" w:pos="118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203" w:lineRule="exact"/>
        <w:rPr>
          <w:rFonts w:ascii="Times New Roman" w:cs="Times New Roman" w:eastAsia="Times New Roman" w:hAnsi="Times New Roman"/>
          <w:sz w:val="22"/>
          <w:szCs w:val="22"/>
          <w:color w:val="auto"/>
        </w:rPr>
      </w:pPr>
    </w:p>
    <w:p>
      <w:pPr>
        <w:ind w:right="60" w:firstLine="656"/>
        <w:spacing w:after="0" w:line="257" w:lineRule="auto"/>
        <w:tabs>
          <w:tab w:leader="none" w:pos="117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99" w:lineRule="exact"/>
        <w:rPr>
          <w:rFonts w:ascii="Times New Roman" w:cs="Times New Roman" w:eastAsia="Times New Roman" w:hAnsi="Times New Roman"/>
          <w:sz w:val="22"/>
          <w:szCs w:val="22"/>
          <w:color w:val="auto"/>
        </w:rPr>
      </w:pPr>
    </w:p>
    <w:p>
      <w:pPr>
        <w:jc w:val="both"/>
        <w:ind w:right="200" w:firstLine="440"/>
        <w:spacing w:after="0" w:line="281" w:lineRule="auto"/>
        <w:tabs>
          <w:tab w:leader="none" w:pos="88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Agreement (including, without limitation, subparagraph 8(d) and Paragraph 9) or otherwise limits Employee’s ability to report possible violations of federal, state or local law or regulation to any governmental agency or entity, including but not limited to the Department of Justice,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61" w:name="page62"/>
    <w:bookmarkEnd w:id="61"/>
    <w:p>
      <w:pPr>
        <w:ind w:right="20"/>
        <w:spacing w:after="0" w:line="253" w:lineRule="auto"/>
        <w:rPr>
          <w:sz w:val="20"/>
          <w:szCs w:val="20"/>
          <w:color w:val="auto"/>
        </w:rPr>
      </w:pPr>
      <w:r>
        <w:rPr>
          <w:rFonts w:ascii="Times New Roman" w:cs="Times New Roman" w:eastAsia="Times New Roman" w:hAnsi="Times New Roman"/>
          <w:sz w:val="22"/>
          <w:szCs w:val="22"/>
          <w:color w:val="auto"/>
        </w:rPr>
        <w:t>(“SEC”), the Occupational Health and Safety Administration (“OSHA”), the Congress, and any agency Inspector General, or making other disclosures under the whistleblower provisions of federal law or regulation, without notification or disclosure to the Company. The Company may not retaliate against Employee for any of these activities, and nothing in this Agreement requires Employee to waive any monetary award or other payment that Employee might become entitled to from the Department of Justice, SEC, OSHA, EEOC or other governmental agency or entity.</w:t>
      </w:r>
    </w:p>
    <w:p>
      <w:pPr>
        <w:spacing w:after="0" w:line="206" w:lineRule="exact"/>
        <w:rPr>
          <w:sz w:val="20"/>
          <w:szCs w:val="20"/>
          <w:color w:val="auto"/>
        </w:rPr>
      </w:pPr>
    </w:p>
    <w:p>
      <w:pPr>
        <w:ind w:firstLine="440"/>
        <w:spacing w:after="0" w:line="246" w:lineRule="auto"/>
        <w:tabs>
          <w:tab w:leader="none" w:pos="9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62" w:name="page63"/>
    <w:bookmarkEnd w:id="62"/>
    <w:p>
      <w:pPr>
        <w:ind w:right="240"/>
        <w:spacing w:after="0" w:line="256" w:lineRule="auto"/>
        <w:rPr>
          <w:sz w:val="20"/>
          <w:szCs w:val="20"/>
          <w:color w:val="auto"/>
        </w:rPr>
      </w:pPr>
      <w:r>
        <w:rPr>
          <w:rFonts w:ascii="Times New Roman" w:cs="Times New Roman" w:eastAsia="Times New Roman" w:hAnsi="Times New Roman"/>
          <w:sz w:val="22"/>
          <w:szCs w:val="22"/>
          <w:color w:val="auto"/>
        </w:rPr>
        <w:t>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203" w:lineRule="exact"/>
        <w:rPr>
          <w:sz w:val="20"/>
          <w:szCs w:val="20"/>
          <w:color w:val="auto"/>
        </w:rPr>
      </w:pPr>
    </w:p>
    <w:p>
      <w:pPr>
        <w:ind w:right="40" w:firstLine="440"/>
        <w:spacing w:after="0" w:line="248" w:lineRule="auto"/>
        <w:tabs>
          <w:tab w:leader="none" w:pos="8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11" w:lineRule="exact"/>
        <w:rPr>
          <w:rFonts w:ascii="Times New Roman" w:cs="Times New Roman" w:eastAsia="Times New Roman" w:hAnsi="Times New Roman"/>
          <w:sz w:val="22"/>
          <w:szCs w:val="22"/>
          <w:color w:val="auto"/>
        </w:rPr>
      </w:pPr>
    </w:p>
    <w:p>
      <w:pPr>
        <w:ind w:firstLine="440"/>
        <w:spacing w:after="0" w:line="251" w:lineRule="auto"/>
        <w:tabs>
          <w:tab w:leader="none" w:pos="86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08" w:lineRule="exact"/>
        <w:rPr>
          <w:rFonts w:ascii="Times New Roman" w:cs="Times New Roman" w:eastAsia="Times New Roman" w:hAnsi="Times New Roman"/>
          <w:sz w:val="22"/>
          <w:szCs w:val="22"/>
          <w:color w:val="auto"/>
        </w:rPr>
      </w:pPr>
    </w:p>
    <w:p>
      <w:pPr>
        <w:ind w:right="60" w:firstLine="440"/>
        <w:spacing w:after="0" w:line="263" w:lineRule="auto"/>
        <w:tabs>
          <w:tab w:leader="none" w:pos="9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94" w:lineRule="exact"/>
        <w:rPr>
          <w:rFonts w:ascii="Times New Roman" w:cs="Times New Roman" w:eastAsia="Times New Roman" w:hAnsi="Times New Roman"/>
          <w:sz w:val="22"/>
          <w:szCs w:val="22"/>
          <w:color w:val="auto"/>
        </w:rPr>
      </w:pPr>
    </w:p>
    <w:p>
      <w:pPr>
        <w:ind w:right="280" w:firstLine="440"/>
        <w:spacing w:after="0" w:line="252" w:lineRule="auto"/>
        <w:tabs>
          <w:tab w:leader="none" w:pos="9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206" w:lineRule="exact"/>
        <w:rPr>
          <w:rFonts w:ascii="Times New Roman" w:cs="Times New Roman" w:eastAsia="Times New Roman" w:hAnsi="Times New Roman"/>
          <w:sz w:val="22"/>
          <w:szCs w:val="22"/>
          <w:color w:val="auto"/>
        </w:rPr>
      </w:pPr>
    </w:p>
    <w:p>
      <w:pPr>
        <w:ind w:right="380" w:firstLine="224"/>
        <w:spacing w:after="0" w:line="281" w:lineRule="auto"/>
        <w:tabs>
          <w:tab w:leader="none" w:pos="59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Non-Disparaging Statements</w:t>
      </w:r>
      <w:r>
        <w:rPr>
          <w:rFonts w:ascii="Times New Roman" w:cs="Times New Roman" w:eastAsia="Times New Roman" w:hAnsi="Times New Roman"/>
          <w:sz w:val="21"/>
          <w:szCs w:val="21"/>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63" w:name="page64"/>
    <w:bookmarkEnd w:id="63"/>
    <w:p>
      <w:pPr>
        <w:ind w:right="100"/>
        <w:spacing w:after="0" w:line="253" w:lineRule="auto"/>
        <w:rPr>
          <w:sz w:val="20"/>
          <w:szCs w:val="20"/>
          <w:color w:val="auto"/>
        </w:rPr>
      </w:pPr>
      <w:r>
        <w:rPr>
          <w:rFonts w:ascii="Times New Roman" w:cs="Times New Roman" w:eastAsia="Times New Roman" w:hAnsi="Times New Roman"/>
          <w:sz w:val="22"/>
          <w:szCs w:val="22"/>
          <w:color w:val="auto"/>
        </w:rPr>
        <w:t>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 or exercise any legally protected whistleblower or other rights as set forth in subparagraph 8(c).</w:t>
      </w:r>
    </w:p>
    <w:p>
      <w:pPr>
        <w:spacing w:after="0" w:line="206" w:lineRule="exact"/>
        <w:rPr>
          <w:sz w:val="20"/>
          <w:szCs w:val="20"/>
          <w:color w:val="auto"/>
        </w:rPr>
      </w:pPr>
    </w:p>
    <w:p>
      <w:pPr>
        <w:ind w:left="720" w:hanging="496"/>
        <w:spacing w:after="0"/>
        <w:tabs>
          <w:tab w:leader="none" w:pos="7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40" w:firstLine="440"/>
        <w:spacing w:after="0" w:line="248" w:lineRule="auto"/>
        <w:tabs>
          <w:tab w:leader="none" w:pos="88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214" w:lineRule="exact"/>
        <w:rPr>
          <w:rFonts w:ascii="Times New Roman" w:cs="Times New Roman" w:eastAsia="Times New Roman" w:hAnsi="Times New Roman"/>
          <w:sz w:val="22"/>
          <w:szCs w:val="22"/>
          <w:color w:val="auto"/>
        </w:rPr>
      </w:pPr>
    </w:p>
    <w:p>
      <w:pPr>
        <w:ind w:firstLine="440"/>
        <w:spacing w:after="0" w:line="248" w:lineRule="auto"/>
        <w:tabs>
          <w:tab w:leader="none" w:pos="9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64" w:name="page65"/>
    <w:bookmarkEnd w:id="64"/>
    <w:p>
      <w:pPr>
        <w:ind w:left="-60" w:right="180" w:firstLine="440"/>
        <w:spacing w:after="0" w:line="250" w:lineRule="auto"/>
        <w:tabs>
          <w:tab w:leader="none" w:pos="82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207" w:lineRule="exact"/>
        <w:rPr>
          <w:rFonts w:ascii="Times New Roman" w:cs="Times New Roman" w:eastAsia="Times New Roman" w:hAnsi="Times New Roman"/>
          <w:sz w:val="22"/>
          <w:szCs w:val="22"/>
          <w:color w:val="auto"/>
        </w:rPr>
      </w:pPr>
    </w:p>
    <w:p>
      <w:pPr>
        <w:ind w:left="-60" w:firstLine="440"/>
        <w:spacing w:after="0" w:line="253" w:lineRule="auto"/>
        <w:tabs>
          <w:tab w:leader="none" w:pos="83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205" w:lineRule="exact"/>
        <w:rPr>
          <w:rFonts w:ascii="Times New Roman" w:cs="Times New Roman" w:eastAsia="Times New Roman" w:hAnsi="Times New Roman"/>
          <w:sz w:val="22"/>
          <w:szCs w:val="22"/>
          <w:color w:val="auto"/>
        </w:rPr>
      </w:pPr>
    </w:p>
    <w:p>
      <w:pPr>
        <w:ind w:left="-60" w:right="80" w:firstLine="440"/>
        <w:spacing w:after="0" w:line="264" w:lineRule="auto"/>
        <w:tabs>
          <w:tab w:leader="none" w:pos="82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96" w:lineRule="exact"/>
        <w:rPr>
          <w:rFonts w:ascii="Times New Roman" w:cs="Times New Roman" w:eastAsia="Times New Roman" w:hAnsi="Times New Roman"/>
          <w:sz w:val="21"/>
          <w:szCs w:val="21"/>
          <w:color w:val="auto"/>
        </w:rPr>
      </w:pPr>
    </w:p>
    <w:p>
      <w:pPr>
        <w:ind w:left="-60" w:right="80" w:firstLine="440"/>
        <w:spacing w:after="0" w:line="261" w:lineRule="auto"/>
        <w:tabs>
          <w:tab w:leader="none" w:pos="80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201" w:lineRule="exact"/>
        <w:rPr>
          <w:rFonts w:ascii="Times New Roman" w:cs="Times New Roman" w:eastAsia="Times New Roman" w:hAnsi="Times New Roman"/>
          <w:sz w:val="21"/>
          <w:szCs w:val="21"/>
          <w:color w:val="auto"/>
        </w:rPr>
      </w:pPr>
    </w:p>
    <w:p>
      <w:pPr>
        <w:ind w:left="640" w:hanging="476"/>
        <w:spacing w:after="0"/>
        <w:tabs>
          <w:tab w:leader="none" w:pos="6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840" w:hanging="460"/>
        <w:spacing w:after="0"/>
        <w:tabs>
          <w:tab w:leader="none" w:pos="8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40"/>
          </w:cols>
          <w:pgMar w:left="380" w:top="1422" w:right="379" w:bottom="1440" w:gutter="0" w:footer="0" w:header="0"/>
        </w:sectPr>
      </w:pPr>
    </w:p>
    <w:bookmarkStart w:id="65" w:name="page66"/>
    <w:bookmarkEnd w:id="65"/>
    <w:p>
      <w:pPr>
        <w:ind w:left="-20" w:right="380" w:firstLine="656"/>
        <w:spacing w:after="0" w:line="271" w:lineRule="auto"/>
        <w:tabs>
          <w:tab w:leader="none" w:pos="1048"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had the opportunity to retain and consult with legal counsel and tax advisors of Employee’s choice regarding the terms of this Agreement.</w:t>
      </w:r>
    </w:p>
    <w:p>
      <w:pPr>
        <w:spacing w:after="0" w:line="184" w:lineRule="exact"/>
        <w:rPr>
          <w:rFonts w:ascii="Times New Roman" w:cs="Times New Roman" w:eastAsia="Times New Roman" w:hAnsi="Times New Roman"/>
          <w:sz w:val="22"/>
          <w:szCs w:val="22"/>
          <w:color w:val="auto"/>
        </w:rPr>
      </w:pPr>
    </w:p>
    <w:p>
      <w:pPr>
        <w:ind w:left="-20" w:right="240" w:firstLine="656"/>
        <w:spacing w:after="0" w:line="284" w:lineRule="auto"/>
        <w:tabs>
          <w:tab w:leader="none" w:pos="1108"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bankruptcy and insolvency laws and general equitable principles, this Agreement is enforceable against Employee in accordance with its terms.</w:t>
      </w:r>
    </w:p>
    <w:p>
      <w:pPr>
        <w:spacing w:after="0" w:line="170" w:lineRule="exact"/>
        <w:rPr>
          <w:rFonts w:ascii="Times New Roman" w:cs="Times New Roman" w:eastAsia="Times New Roman" w:hAnsi="Times New Roman"/>
          <w:sz w:val="22"/>
          <w:szCs w:val="22"/>
          <w:color w:val="auto"/>
        </w:rPr>
      </w:pPr>
    </w:p>
    <w:p>
      <w:pPr>
        <w:ind w:left="-20" w:firstLine="656"/>
        <w:spacing w:after="0" w:line="257" w:lineRule="auto"/>
        <w:tabs>
          <w:tab w:leader="none" w:pos="1164"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99" w:lineRule="exact"/>
        <w:rPr>
          <w:rFonts w:ascii="Times New Roman" w:cs="Times New Roman" w:eastAsia="Times New Roman" w:hAnsi="Times New Roman"/>
          <w:sz w:val="22"/>
          <w:szCs w:val="22"/>
          <w:color w:val="auto"/>
        </w:rPr>
      </w:pPr>
    </w:p>
    <w:p>
      <w:pPr>
        <w:ind w:left="880" w:hanging="460"/>
        <w:spacing w:after="0"/>
        <w:tabs>
          <w:tab w:leader="none" w:pos="8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w:t>
      </w:r>
    </w:p>
    <w:p>
      <w:pPr>
        <w:spacing w:after="0" w:line="260" w:lineRule="exact"/>
        <w:rPr>
          <w:rFonts w:ascii="Times New Roman" w:cs="Times New Roman" w:eastAsia="Times New Roman" w:hAnsi="Times New Roman"/>
          <w:sz w:val="22"/>
          <w:szCs w:val="22"/>
          <w:color w:val="auto"/>
        </w:rPr>
      </w:pPr>
    </w:p>
    <w:p>
      <w:pPr>
        <w:ind w:left="-20" w:right="300" w:firstLine="656"/>
        <w:spacing w:after="0" w:line="271" w:lineRule="auto"/>
        <w:tabs>
          <w:tab w:leader="none" w:pos="1048"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bankruptcy and insolvency laws and general equitable principles, this Agreement is enforceable against the Company in accordance with its terms.</w:t>
      </w:r>
    </w:p>
    <w:p>
      <w:pPr>
        <w:spacing w:after="0" w:line="184" w:lineRule="exact"/>
        <w:rPr>
          <w:rFonts w:ascii="Times New Roman" w:cs="Times New Roman" w:eastAsia="Times New Roman" w:hAnsi="Times New Roman"/>
          <w:sz w:val="22"/>
          <w:szCs w:val="22"/>
          <w:color w:val="auto"/>
        </w:rPr>
      </w:pPr>
    </w:p>
    <w:p>
      <w:pPr>
        <w:jc w:val="both"/>
        <w:ind w:left="-20" w:right="100" w:firstLine="656"/>
        <w:spacing w:after="0" w:line="257" w:lineRule="auto"/>
        <w:tabs>
          <w:tab w:leader="none" w:pos="110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99" w:lineRule="exact"/>
        <w:rPr>
          <w:rFonts w:ascii="Times New Roman" w:cs="Times New Roman" w:eastAsia="Times New Roman" w:hAnsi="Times New Roman"/>
          <w:sz w:val="22"/>
          <w:szCs w:val="22"/>
          <w:color w:val="auto"/>
        </w:rPr>
      </w:pPr>
    </w:p>
    <w:p>
      <w:pPr>
        <w:ind w:left="-20" w:right="160" w:firstLine="224"/>
        <w:spacing w:after="0" w:line="256" w:lineRule="auto"/>
        <w:tabs>
          <w:tab w:leader="none" w:pos="68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Deductions</w:t>
      </w:r>
      <w:r>
        <w:rPr>
          <w:rFonts w:ascii="Times New Roman" w:cs="Times New Roman" w:eastAsia="Times New Roman" w:hAnsi="Times New Roman"/>
          <w:sz w:val="22"/>
          <w:szCs w:val="22"/>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203" w:lineRule="exact"/>
        <w:rPr>
          <w:rFonts w:ascii="Times New Roman" w:cs="Times New Roman" w:eastAsia="Times New Roman" w:hAnsi="Times New Roman"/>
          <w:sz w:val="22"/>
          <w:szCs w:val="22"/>
          <w:color w:val="auto"/>
        </w:rPr>
      </w:pPr>
    </w:p>
    <w:p>
      <w:pPr>
        <w:ind w:left="700" w:hanging="496"/>
        <w:spacing w:after="0"/>
        <w:tabs>
          <w:tab w:leader="none" w:pos="7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0" w:right="100" w:firstLine="440"/>
        <w:spacing w:after="0" w:line="250" w:lineRule="auto"/>
        <w:tabs>
          <w:tab w:leader="none" w:pos="86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06" w:lineRule="exact"/>
        <w:rPr>
          <w:rFonts w:ascii="Times New Roman" w:cs="Times New Roman" w:eastAsia="Times New Roman" w:hAnsi="Times New Roman"/>
          <w:sz w:val="22"/>
          <w:szCs w:val="22"/>
          <w:color w:val="auto"/>
        </w:rPr>
      </w:pPr>
    </w:p>
    <w:p>
      <w:pPr>
        <w:ind w:left="-20" w:right="40" w:firstLine="440"/>
        <w:spacing w:after="0" w:line="271" w:lineRule="auto"/>
        <w:tabs>
          <w:tab w:leader="none" w:pos="88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each payment in a series of payments provided to Employee pursuant to this Agreement will be deemed a separate payment.</w:t>
      </w:r>
    </w:p>
    <w:p>
      <w:pPr>
        <w:spacing w:after="0" w:line="184" w:lineRule="exact"/>
        <w:rPr>
          <w:rFonts w:ascii="Times New Roman" w:cs="Times New Roman" w:eastAsia="Times New Roman" w:hAnsi="Times New Roman"/>
          <w:sz w:val="22"/>
          <w:szCs w:val="22"/>
          <w:color w:val="auto"/>
        </w:rPr>
      </w:pPr>
    </w:p>
    <w:p>
      <w:pPr>
        <w:ind w:left="-20" w:right="120" w:firstLine="440"/>
        <w:spacing w:after="0" w:line="284" w:lineRule="auto"/>
        <w:tabs>
          <w:tab w:leader="none" w:pos="86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any payment or benefit described in Paragraph 7 that represents a “deferral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40" w:top="1422" w:right="339" w:bottom="1440" w:gutter="0" w:footer="0" w:header="0"/>
        </w:sectPr>
      </w:pPr>
    </w:p>
    <w:bookmarkStart w:id="66" w:name="page67"/>
    <w:bookmarkEnd w:id="66"/>
    <w:p>
      <w:pPr>
        <w:spacing w:after="0" w:line="247" w:lineRule="auto"/>
        <w:rPr>
          <w:sz w:val="20"/>
          <w:szCs w:val="20"/>
          <w:color w:val="auto"/>
        </w:rPr>
      </w:pPr>
      <w:r>
        <w:rPr>
          <w:rFonts w:ascii="Times New Roman" w:cs="Times New Roman" w:eastAsia="Times New Roman" w:hAnsi="Times New Roman"/>
          <w:sz w:val="22"/>
          <w:szCs w:val="22"/>
          <w:color w:val="auto"/>
        </w:rPr>
        <w:t>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 (6) 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220" w:lineRule="exact"/>
        <w:rPr>
          <w:sz w:val="20"/>
          <w:szCs w:val="20"/>
          <w:color w:val="auto"/>
        </w:rPr>
      </w:pPr>
    </w:p>
    <w:p>
      <w:pPr>
        <w:ind w:right="40" w:firstLine="440"/>
        <w:spacing w:after="0" w:line="253" w:lineRule="auto"/>
        <w:tabs>
          <w:tab w:leader="none" w:pos="9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205"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right="40" w:firstLine="440"/>
        <w:spacing w:after="0" w:line="252" w:lineRule="auto"/>
        <w:tabs>
          <w:tab w:leader="none" w:pos="88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206" w:lineRule="exact"/>
        <w:rPr>
          <w:rFonts w:ascii="Times New Roman" w:cs="Times New Roman" w:eastAsia="Times New Roman" w:hAnsi="Times New Roman"/>
          <w:sz w:val="22"/>
          <w:szCs w:val="22"/>
          <w:color w:val="auto"/>
        </w:rPr>
      </w:pPr>
    </w:p>
    <w:p>
      <w:pPr>
        <w:ind w:right="20" w:firstLine="440"/>
        <w:spacing w:after="0" w:line="251" w:lineRule="auto"/>
        <w:tabs>
          <w:tab w:leader="none" w:pos="9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204"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ARBITRATION/WAIVER OF OR RIGHT TO TRIAL BY JUDGE OR JURY/CLASS ACTION WAIVER</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22" w:right="379" w:bottom="1440" w:gutter="0" w:footer="0" w:header="0"/>
        </w:sectPr>
      </w:pPr>
    </w:p>
    <w:bookmarkStart w:id="67" w:name="page68"/>
    <w:bookmarkEnd w:id="67"/>
    <w:p>
      <w:pPr>
        <w:ind w:left="-20" w:right="60" w:firstLine="440"/>
        <w:spacing w:after="0" w:line="250" w:lineRule="auto"/>
        <w:tabs>
          <w:tab w:leader="none" w:pos="88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The following documents that provide detailed information about the Comcast 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206" w:lineRule="exact"/>
        <w:rPr>
          <w:rFonts w:ascii="Times New Roman" w:cs="Times New Roman" w:eastAsia="Times New Roman" w:hAnsi="Times New Roman"/>
          <w:sz w:val="22"/>
          <w:szCs w:val="22"/>
          <w:b w:val="1"/>
          <w:bCs w:val="1"/>
          <w:color w:val="auto"/>
        </w:rPr>
      </w:pPr>
    </w:p>
    <w:p>
      <w:pPr>
        <w:ind w:left="-20" w:firstLine="440"/>
        <w:spacing w:after="0" w:line="260" w:lineRule="auto"/>
        <w:tabs>
          <w:tab w:leader="none" w:pos="88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 EMPLOYEE’S RIGHT TO: (a) FILE, BRING OR MAINTAIN ANY COVERED CLAIM(S) RELATING TO THIS AGREEMENT OR OTHERWISE COVERED UNDER THE COMCAST SOLUTIONS PROGRAM AGAINST THE COMPANY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COVERED CLAIM(S)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96" w:lineRule="exact"/>
        <w:rPr>
          <w:rFonts w:ascii="Times New Roman" w:cs="Times New Roman" w:eastAsia="Times New Roman" w:hAnsi="Times New Roman"/>
          <w:sz w:val="21"/>
          <w:szCs w:val="21"/>
          <w:b w:val="1"/>
          <w:bCs w:val="1"/>
          <w:color w:val="auto"/>
        </w:rPr>
      </w:pPr>
    </w:p>
    <w:p>
      <w:pPr>
        <w:ind w:left="-20" w:right="300" w:firstLine="440"/>
        <w:spacing w:after="0" w:line="250" w:lineRule="auto"/>
        <w:tabs>
          <w:tab w:leader="none" w:pos="85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Any actions (i) seeking preliminary injunctive relief in aid of arbitration and/or for the maintenance of the status quo pending arbitration, as permitted by the Comcast Solutions Program or (ii) brought pursuant to Paragraph 17(d) below, if initiated by or on behalf of Employee shall be brought only in a state or federal court in the Eastern District of Pennsylvania, or, if initiated by the Company in such jurisdiction or (if different) in a jurisdiction where the Employee then resides or works. Employee consents to such jurisdiction, regardless of the location of Employee’s residence or place of business. Employee and the Company irrevocably waive any objection, including any objection to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40" w:top="1418" w:right="359" w:bottom="1440" w:gutter="0" w:footer="0" w:header="0"/>
        </w:sectPr>
      </w:pPr>
    </w:p>
    <w:bookmarkStart w:id="68" w:name="page69"/>
    <w:bookmarkEnd w:id="68"/>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laying of venue or based on the grounds of forum non conveniens, which Employee or the Company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190" w:lineRule="exact"/>
        <w:rPr>
          <w:sz w:val="20"/>
          <w:szCs w:val="20"/>
          <w:color w:val="auto"/>
        </w:rPr>
      </w:pPr>
    </w:p>
    <w:p>
      <w:pPr>
        <w:ind w:right="20" w:firstLine="440"/>
        <w:spacing w:after="0" w:line="247" w:lineRule="auto"/>
        <w:tabs>
          <w:tab w:leader="none" w:pos="912"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 THE EVENT OF ANY LITIGATION OR LEGAL DISPUTE BETWEEN THE COMPANY AND THE EMPLOYEE BASED ON, ARISING FROM OR RELATING TO ANY CLAIMS THAT ARE NOT “COVERED CLAIMS” (INCLUDING CLAIMS THAT ARE NON-ARBITRABLE AS A MATTER OF LAW AND/OR FALL OUTSIDE THE DEFINITION OF “COVERED CLAIMS” UNDER THE COMCAST SOLUTIONS PROGRAM (COLLECTIVELY, “NON-ARBITRABLE CLAIMS”)), EACH OF THE COMPANY AND EMPLOYEE HEREBY KNOWINGLY, VOLUNTARILY, AND INTENTIONALLY WAIVE ANY RIGHT EITHER THEY, OR THEIR HEIRS, EXECUTORS, ADMINISTRATORS, PERSONAL REPRESENTATIVES, SUCCESSORS OR ASSIGNS MAY HAVE TO A TRIAL BY JURY. BY WAIVING THE RIGHT TO A JURY TRIAL IN FAVOR OF A BENCH TRIAL, NEITHER PARTY IS WAIVING A RIGHT TO SUE THE OTHER; RATHER, THE PARTIES ARE WAIVING THE RIGHT TO HAVE A JURY DECIDE THE CASE. THIS PROVISION SHALL APPLY TO ANY AND ALL LEGAL DISPUTES OR LITIGATION BETWEEN THE PARTIES ON NON-ARBITRABLE CLAIMS, INCLUDING BUT NOT LIMITED TO (WHERE APPLICABLE) CLAIMS OF EMPLOYMENT DISCRIMINATION, HARASSMENT, AND RETALIATION UNDER STATUTORY LAW OR THE COMMON LAW. The parties’ mutual obligations and agreements under this Paragraph shall survive the termination or expiration of this Agreement, as well as the termination of Employee’s employment with the Company for any reason.</w:t>
      </w:r>
    </w:p>
    <w:p>
      <w:pPr>
        <w:spacing w:after="0" w:line="216" w:lineRule="exact"/>
        <w:rPr>
          <w:rFonts w:ascii="Times New Roman" w:cs="Times New Roman" w:eastAsia="Times New Roman" w:hAnsi="Times New Roman"/>
          <w:sz w:val="22"/>
          <w:szCs w:val="22"/>
          <w:b w:val="1"/>
          <w:bCs w:val="1"/>
          <w:color w:val="auto"/>
        </w:rPr>
      </w:pPr>
    </w:p>
    <w:p>
      <w:pPr>
        <w:ind w:right="820" w:firstLine="224"/>
        <w:spacing w:after="0" w:line="284" w:lineRule="auto"/>
        <w:tabs>
          <w:tab w:leader="none" w:pos="70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interpreted and enforced in accordance with the substantive law of the Commonwealth of Pennsylvania, without regard to any choice-of-law doctrines.</w:t>
      </w:r>
    </w:p>
    <w:p>
      <w:pPr>
        <w:spacing w:after="0" w:line="170" w:lineRule="exact"/>
        <w:rPr>
          <w:rFonts w:ascii="Times New Roman" w:cs="Times New Roman" w:eastAsia="Times New Roman" w:hAnsi="Times New Roman"/>
          <w:sz w:val="22"/>
          <w:szCs w:val="22"/>
          <w:color w:val="auto"/>
        </w:rPr>
      </w:pPr>
    </w:p>
    <w:p>
      <w:pPr>
        <w:jc w:val="both"/>
        <w:ind w:right="80" w:firstLine="224"/>
        <w:spacing w:after="0" w:line="257" w:lineRule="auto"/>
        <w:tabs>
          <w:tab w:leader="none" w:pos="70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corporate_legal@comcast.com</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18" w:right="359" w:bottom="1440" w:gutter="0" w:footer="0" w:header="0"/>
        </w:sectPr>
      </w:pPr>
    </w:p>
    <w:bookmarkStart w:id="69" w:name="page70"/>
    <w:bookmarkEnd w:id="69"/>
    <w:p>
      <w:pPr>
        <w:ind w:left="1300" w:right="3260"/>
        <w:spacing w:after="0" w:line="271" w:lineRule="auto"/>
        <w:rPr>
          <w:sz w:val="20"/>
          <w:szCs w:val="20"/>
          <w:color w:val="auto"/>
        </w:rPr>
      </w:pPr>
      <w:r>
        <w:rPr>
          <w:rFonts w:ascii="Times New Roman" w:cs="Times New Roman" w:eastAsia="Times New Roman" w:hAnsi="Times New Roman"/>
          <w:sz w:val="22"/>
          <w:szCs w:val="22"/>
          <w:color w:val="auto"/>
        </w:rPr>
        <w:t>Employee’s residence address or e-mail address as most recently indicated in the Company’s records.</w:t>
      </w:r>
    </w:p>
    <w:p>
      <w:pPr>
        <w:spacing w:after="0" w:line="185" w:lineRule="exact"/>
        <w:rPr>
          <w:sz w:val="20"/>
          <w:szCs w:val="20"/>
          <w:color w:val="auto"/>
        </w:rPr>
      </w:pPr>
    </w:p>
    <w:p>
      <w:pPr>
        <w:jc w:val="both"/>
        <w:ind w:right="20" w:firstLine="224"/>
        <w:spacing w:after="0" w:line="262" w:lineRule="auto"/>
        <w:tabs>
          <w:tab w:leader="none" w:pos="70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Schedules 1, 2 and 3 hereto) constitutes the entire agreement of the parties with respect to the subject matter hereof, and supersedes and replaces in its entirety the Employment Agreement dated as of April 15, 2019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 w:lineRule="exact"/>
        <w:rPr>
          <w:rFonts w:ascii="Times New Roman" w:cs="Times New Roman" w:eastAsia="Times New Roman" w:hAnsi="Times New Roman"/>
          <w:sz w:val="21"/>
          <w:szCs w:val="21"/>
          <w:color w:val="auto"/>
        </w:rPr>
      </w:pPr>
    </w:p>
    <w:p>
      <w:pPr>
        <w:ind w:right="8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187" w:lineRule="exact"/>
        <w:rPr>
          <w:rFonts w:ascii="Times New Roman" w:cs="Times New Roman" w:eastAsia="Times New Roman" w:hAnsi="Times New Roman"/>
          <w:sz w:val="21"/>
          <w:szCs w:val="21"/>
          <w:color w:val="auto"/>
        </w:rPr>
      </w:pPr>
    </w:p>
    <w:p>
      <w:pPr>
        <w:ind w:right="340" w:firstLine="224"/>
        <w:spacing w:after="0" w:line="252" w:lineRule="auto"/>
        <w:tabs>
          <w:tab w:leader="none" w:pos="70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Notwithstanding anything to the contrary contained herein, any amounts payable to Employee during the Term shall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219" w:lineRule="exact"/>
        <w:rPr>
          <w:rFonts w:ascii="Times New Roman" w:cs="Times New Roman" w:eastAsia="Times New Roman" w:hAnsi="Times New Roman"/>
          <w:sz w:val="22"/>
          <w:szCs w:val="22"/>
          <w:color w:val="auto"/>
        </w:rPr>
      </w:pPr>
    </w:p>
    <w:p>
      <w:pPr>
        <w:ind w:right="120" w:firstLine="656"/>
        <w:spacing w:after="0" w:line="252" w:lineRule="auto"/>
        <w:tabs>
          <w:tab w:leader="none" w:pos="113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or Unenforceability</w:t>
      </w:r>
      <w:r>
        <w:rPr>
          <w:rFonts w:ascii="Times New Roman" w:cs="Times New Roman" w:eastAsia="Times New Roman" w:hAnsi="Times New Roman"/>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6" w:lineRule="exact"/>
        <w:rPr>
          <w:sz w:val="20"/>
          <w:szCs w:val="20"/>
          <w:color w:val="auto"/>
        </w:rPr>
      </w:pPr>
    </w:p>
    <w:p>
      <w:pPr>
        <w:ind w:firstLine="224"/>
        <w:spacing w:after="0" w:line="253" w:lineRule="auto"/>
        <w:tabs>
          <w:tab w:leader="none" w:pos="70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05" w:lineRule="exact"/>
        <w:rPr>
          <w:rFonts w:ascii="Times New Roman" w:cs="Times New Roman" w:eastAsia="Times New Roman" w:hAnsi="Times New Roman"/>
          <w:sz w:val="22"/>
          <w:szCs w:val="22"/>
          <w:color w:val="auto"/>
        </w:rPr>
      </w:pPr>
    </w:p>
    <w:p>
      <w:pPr>
        <w:ind w:right="360" w:firstLine="224"/>
        <w:spacing w:after="0" w:line="263" w:lineRule="auto"/>
        <w:tabs>
          <w:tab w:leader="none" w:pos="70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No Assignment</w:t>
      </w:r>
      <w:r>
        <w:rPr>
          <w:rFonts w:ascii="Times New Roman" w:cs="Times New Roman" w:eastAsia="Times New Roman" w:hAnsi="Times New Roman"/>
          <w:sz w:val="22"/>
          <w:szCs w:val="22"/>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2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and delivered this Agreement as of the date first-above written.</w:t>
      </w:r>
    </w:p>
    <w:p>
      <w:pPr>
        <w:sectPr>
          <w:pgSz w:w="11900" w:h="16838" w:orient="portrait"/>
          <w:cols w:equalWidth="0" w:num="1">
            <w:col w:w="10700"/>
          </w:cols>
          <w:pgMar w:left="540" w:top="1422" w:right="659" w:bottom="1440" w:gutter="0" w:footer="0" w:header="0"/>
        </w:sectPr>
      </w:pPr>
    </w:p>
    <w:p>
      <w:pPr>
        <w:spacing w:after="0" w:line="2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COMCAST CORPORATION</w:t>
      </w:r>
    </w:p>
    <w:p>
      <w:pPr>
        <w:spacing w:after="0" w:line="200" w:lineRule="exact"/>
        <w:rPr>
          <w:sz w:val="20"/>
          <w:szCs w:val="20"/>
          <w:color w:val="auto"/>
        </w:rPr>
      </w:pPr>
    </w:p>
    <w:p>
      <w:pPr>
        <w:spacing w:after="0" w:line="30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By: /s/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-13970</wp:posOffset>
            </wp:positionV>
            <wp:extent cx="14547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54785" cy="8255"/>
                    </a:xfrm>
                    <a:prstGeom prst="rect">
                      <a:avLst/>
                    </a:prstGeom>
                    <a:noFill/>
                  </pic:spPr>
                </pic:pic>
              </a:graphicData>
            </a:graphic>
          </wp:anchor>
        </w:drawing>
      </w:r>
    </w:p>
    <w:p>
      <w:pPr>
        <w:spacing w:after="0" w:line="24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Date: 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941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-13970</wp:posOffset>
            </wp:positionV>
            <wp:extent cx="1158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Thomas J. Reid</w:t>
      </w: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Date: 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941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700"/>
          </w:cols>
          <w:pgMar w:left="540" w:top="1422" w:right="659" w:bottom="1440" w:gutter="0" w:footer="0" w:header="0"/>
          <w:type w:val="continuous"/>
        </w:sectPr>
      </w:pPr>
    </w:p>
    <w:bookmarkStart w:id="71" w:name="page72"/>
    <w:bookmarkEnd w:id="71"/>
    <w:p>
      <w:pPr>
        <w:jc w:val="center"/>
        <w:ind w:right="-11"/>
        <w:spacing w:after="0"/>
        <w:rPr>
          <w:sz w:val="20"/>
          <w:szCs w:val="20"/>
          <w:color w:val="auto"/>
        </w:rPr>
      </w:pPr>
      <w:r>
        <w:rPr>
          <w:rFonts w:ascii="Times New Roman" w:cs="Times New Roman" w:eastAsia="Times New Roman" w:hAnsi="Times New Roman"/>
          <w:sz w:val="22"/>
          <w:szCs w:val="22"/>
          <w:u w:val="single" w:color="auto"/>
          <w:color w:val="auto"/>
        </w:rPr>
        <w:t>SCHEDULE 1 TO EMPLOYMENT AGREEMENT WITH THOMAS J. REID</w:t>
      </w:r>
    </w:p>
    <w:p>
      <w:pPr>
        <w:spacing w:after="0" w:line="247" w:lineRule="exact"/>
        <w:rPr>
          <w:sz w:val="20"/>
          <w:szCs w:val="20"/>
          <w:color w:val="auto"/>
        </w:rPr>
      </w:pPr>
    </w:p>
    <w:p>
      <w:pPr>
        <w:ind w:left="372" w:hanging="372"/>
        <w:spacing w:after="0"/>
        <w:tabs>
          <w:tab w:leader="none" w:pos="37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Chief Legal Officer and Secretary, Comcast Corporation.</w:t>
      </w:r>
    </w:p>
    <w:p>
      <w:pPr>
        <w:spacing w:after="0" w:line="246"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$1,900,000</w:t>
      </w:r>
    </w:p>
    <w:p>
      <w:pPr>
        <w:spacing w:after="0" w:line="260" w:lineRule="exact"/>
        <w:rPr>
          <w:rFonts w:ascii="Times New Roman" w:cs="Times New Roman" w:eastAsia="Times New Roman" w:hAnsi="Times New Roman"/>
          <w:sz w:val="22"/>
          <w:szCs w:val="22"/>
          <w:color w:val="auto"/>
        </w:rPr>
      </w:pPr>
    </w:p>
    <w:p>
      <w:pPr>
        <w:ind w:left="652" w:right="180" w:hanging="652"/>
        <w:spacing w:after="0" w:line="271" w:lineRule="auto"/>
        <w:tabs>
          <w:tab w:leader="none" w:pos="4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bonus potential under the Cash Bonus Plan: 250% of eligible earnings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the amount of Base Salary actually paid and/or deferred in the applicable period).</w:t>
      </w:r>
    </w:p>
    <w:p>
      <w:pPr>
        <w:spacing w:after="0" w:line="184" w:lineRule="exact"/>
        <w:rPr>
          <w:rFonts w:ascii="Times New Roman" w:cs="Times New Roman" w:eastAsia="Times New Roman" w:hAnsi="Times New Roman"/>
          <w:sz w:val="22"/>
          <w:szCs w:val="22"/>
          <w:color w:val="auto"/>
        </w:rPr>
      </w:pPr>
    </w:p>
    <w:p>
      <w:pPr>
        <w:ind w:left="652" w:right="100" w:hanging="652"/>
        <w:spacing w:after="0" w:line="257" w:lineRule="auto"/>
        <w:tabs>
          <w:tab w:leader="none" w:pos="38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213" w:lineRule="exact"/>
        <w:rPr>
          <w:sz w:val="20"/>
          <w:szCs w:val="20"/>
          <w:color w:val="auto"/>
        </w:rPr>
      </w:pPr>
    </w:p>
    <w:p>
      <w:pPr>
        <w:ind w:left="652" w:hanging="652"/>
        <w:spacing w:after="0" w:line="275" w:lineRule="auto"/>
        <w:tabs>
          <w:tab w:leader="none" w:pos="38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 and Stock Option Continued Vesting Period following Termination Without Cause or Resignation With Good Reason: Twelve (12) months. Stock Option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12"/>
          </w:cols>
          <w:pgMar w:left="328" w:top="1422" w:right="3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2024</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2024</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lowerLetter"/>
      <w:start w:val="1"/>
    </w:lvl>
  </w:abstractNum>
  <w:abstractNum w:abstractNumId="5">
    <w:nsid w:val="6A2342EC"/>
    <w:multiLevelType w:val="hybridMultilevel"/>
    <w:lvl w:ilvl="0">
      <w:lvlJc w:val="left"/>
      <w:lvlText w:val="(%1)"/>
      <w:numFmt w:val="lowerLetter"/>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lowerLetter"/>
      <w:start w:val="1"/>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lowerLetter"/>
      <w:start w:val="1"/>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1"/>
    </w:lvl>
  </w:abstractNum>
  <w:abstractNum w:abstractNumId="15">
    <w:nsid w:val="38437FDB"/>
    <w:multiLevelType w:val="hybridMultilevel"/>
    <w:lvl w:ilvl="0">
      <w:lvlJc w:val="left"/>
      <w:lvlText w:val="%1"/>
      <w:numFmt w:val="decimal"/>
      <w:start w:val="31"/>
    </w:lvl>
  </w:abstractNum>
  <w:abstractNum w:abstractNumId="16">
    <w:nsid w:val="7644A45C"/>
    <w:multiLevelType w:val="hybridMultilevel"/>
    <w:lvl w:ilvl="0">
      <w:lvlJc w:val="left"/>
      <w:lvlText w:val="%1"/>
      <w:numFmt w:val="decimal"/>
      <w:start w:val="10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decimal"/>
      <w:start w:val="1"/>
    </w:lvl>
    <w:lvl w:ilvl="1">
      <w:lvlJc w:val="left"/>
      <w:lvlText w:val="(%2)"/>
      <w:numFmt w:val="lowerLetter"/>
      <w:start w:val="1"/>
    </w:lvl>
  </w:abstractNum>
  <w:abstractNum w:abstractNumId="19">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749ABB4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1">
    <w:nsid w:val="3DC240FB"/>
    <w:multiLevelType w:val="hybridMultilevel"/>
    <w:lvl w:ilvl="0">
      <w:lvlJc w:val="left"/>
      <w:lvlText w:val="%1"/>
      <w:numFmt w:val="lowerLetter"/>
      <w:start w:val="1"/>
    </w:lvl>
    <w:lvl w:ilvl="1">
      <w:lvlJc w:val="left"/>
      <w:lvlText w:val="(%2)"/>
      <w:numFmt w:val="lowerLetter"/>
      <w:start w:val="35"/>
    </w:lvl>
  </w:abstractNum>
  <w:abstractNum w:abstractNumId="22">
    <w:nsid w:val="1BA026FA"/>
    <w:multiLevelType w:val="hybridMultilevel"/>
    <w:lvl w:ilvl="0">
      <w:lvlJc w:val="left"/>
      <w:lvlText w:val="(%1)"/>
      <w:numFmt w:val="lowerLetter"/>
      <w:start w:val="4"/>
    </w:lvl>
    <w:lvl w:ilvl="1">
      <w:lvlJc w:val="left"/>
      <w:lvlText w:val="(%2)"/>
      <w:numFmt w:val="lowerLetter"/>
      <w:start w:val="9"/>
    </w:lvl>
  </w:abstractNum>
  <w:abstractNum w:abstractNumId="23">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
    <w:nsid w:val="75C6C33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5">
    <w:nsid w:val="12E685FB"/>
    <w:multiLevelType w:val="hybridMultilevel"/>
    <w:lvl w:ilvl="0">
      <w:lvlJc w:val="left"/>
      <w:lvlText w:val="(%1)"/>
      <w:numFmt w:val="lowerLetter"/>
      <w:start w:val="2"/>
    </w:lvl>
    <w:lvl w:ilvl="1">
      <w:lvlJc w:val="left"/>
      <w:lvlText w:val="(%2)"/>
      <w:numFmt w:val="lowerRoman"/>
      <w:start w:val="1"/>
    </w:lvl>
  </w:abstractNum>
  <w:abstractNum w:abstractNumId="26">
    <w:nsid w:val="70C6A52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7">
    <w:nsid w:val="520EEDD1"/>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5"/>
    </w:lvl>
  </w:abstractNum>
  <w:abstractNum w:abstractNumId="28">
    <w:nsid w:val="374A3FE6"/>
    <w:multiLevelType w:val="hybridMultilevel"/>
    <w:lvl w:ilvl="0">
      <w:lvlJc w:val="left"/>
      <w:lvlText w:val="(%1)"/>
      <w:numFmt w:val="lowerLetter"/>
      <w:start w:val="2"/>
    </w:lvl>
    <w:lvl w:ilvl="1">
      <w:lvlJc w:val="left"/>
      <w:lvlText w:val="(%2)"/>
      <w:numFmt w:val="lowerRoman"/>
      <w:start w:val="2"/>
    </w:lvl>
  </w:abstractNum>
  <w:abstractNum w:abstractNumId="29">
    <w:nsid w:val="4F4EF005"/>
    <w:multiLevelType w:val="hybridMultilevel"/>
    <w:lvl w:ilvl="0">
      <w:lvlJc w:val="left"/>
      <w:lvlText w:val="(%1)"/>
      <w:numFmt w:val="lowerLetter"/>
      <w:start w:val="35"/>
    </w:lvl>
    <w:lvl w:ilvl="1">
      <w:lvlJc w:val="left"/>
      <w:lvlText w:val="(%2)"/>
      <w:numFmt w:val="lowerLetter"/>
      <w:start w:val="5"/>
    </w:lvl>
  </w:abstractNum>
  <w:abstractNum w:abstractNumId="30">
    <w:nsid w:val="23F9C13C"/>
    <w:multiLevelType w:val="hybridMultilevel"/>
    <w:lvl w:ilvl="0">
      <w:lvlJc w:val="left"/>
      <w:lvlText w:val="%1"/>
      <w:numFmt w:val="decimal"/>
      <w:start w:val="1"/>
    </w:lvl>
    <w:lvl w:ilvl="1">
      <w:lvlJc w:val="left"/>
      <w:lvlText w:val="(%2)"/>
      <w:numFmt w:val="lowerLetter"/>
      <w:start w:val="6"/>
    </w:lvl>
  </w:abstractNum>
  <w:abstractNum w:abstractNumId="31">
    <w:nsid w:val="649BB77C"/>
    <w:multiLevelType w:val="hybridMultilevel"/>
    <w:lvl w:ilvl="0">
      <w:lvlJc w:val="left"/>
      <w:lvlText w:val="%1."/>
      <w:numFmt w:val="decimal"/>
      <w:start w:val="9"/>
    </w:lvl>
    <w:lvl w:ilvl="1">
      <w:lvlJc w:val="left"/>
      <w:lvlText w:val="(%2)"/>
      <w:numFmt w:val="lowerLetter"/>
      <w:start w:val="1"/>
    </w:lvl>
  </w:abstractNum>
  <w:abstractNum w:abstractNumId="32">
    <w:nsid w:val="275AC794"/>
    <w:multiLevelType w:val="hybridMultilevel"/>
    <w:lvl w:ilvl="0">
      <w:lvlJc w:val="left"/>
      <w:lvlText w:val="(%1)"/>
      <w:numFmt w:val="lowerLetter"/>
      <w:start w:val="2"/>
    </w:lvl>
  </w:abstractNum>
  <w:abstractNum w:abstractNumId="33">
    <w:nsid w:val="3938657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4">
    <w:nsid w:val="1CF10FD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5">
    <w:nsid w:val="180115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6">
    <w:nsid w:val="235BA861"/>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lvl w:ilvl="3">
      <w:lvlJc w:val="left"/>
      <w:lvlText w:val="%4"/>
      <w:numFmt w:val="lowerRoman"/>
      <w:start w:val="1"/>
    </w:lvl>
  </w:abstractNum>
  <w:abstractNum w:abstractNumId="37">
    <w:nsid w:val="47398C89"/>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8">
    <w:nsid w:val="354FE9F9"/>
    <w:multiLevelType w:val="hybridMultilevel"/>
    <w:lvl w:ilvl="0">
      <w:lvlJc w:val="left"/>
      <w:lvlText w:val="%1"/>
      <w:numFmt w:val="decimal"/>
      <w:start w:val="1"/>
    </w:lvl>
    <w:lvl w:ilvl="1">
      <w:lvlJc w:val="left"/>
      <w:lvlText w:val="(%2)"/>
      <w:numFmt w:val="lowerLetter"/>
      <w:start w:val="4"/>
    </w:lvl>
  </w:abstractNum>
  <w:abstractNum w:abstractNumId="39">
    <w:nsid w:val="15B5AF5C"/>
    <w:multiLevelType w:val="hybridMultilevel"/>
    <w:lvl w:ilvl="0">
      <w:lvlJc w:val="left"/>
      <w:lvlText w:val="%1."/>
      <w:numFmt w:val="decimal"/>
      <w:start w:val="14"/>
    </w:lvl>
    <w:lvl w:ilvl="1">
      <w:lvlJc w:val="left"/>
      <w:lvlText w:val="(%2)"/>
      <w:numFmt w:val="lowerLetter"/>
      <w:start w:val="1"/>
    </w:lvl>
  </w:abstractNum>
  <w:abstractNum w:abstractNumId="40">
    <w:nsid w:val="741226BB"/>
    <w:multiLevelType w:val="hybridMultilevel"/>
    <w:lvl w:ilvl="0">
      <w:lvlJc w:val="left"/>
      <w:lvlText w:val="%1"/>
      <w:numFmt w:val="decimal"/>
      <w:start w:val="1"/>
    </w:lvl>
    <w:lvl w:ilvl="1">
      <w:lvlJc w:val="left"/>
      <w:lvlText w:val="(%2)"/>
      <w:numFmt w:val="lowerLetter"/>
      <w:start w:val="2"/>
    </w:lvl>
  </w:abstractNum>
  <w:abstractNum w:abstractNumId="41">
    <w:nsid w:val="D34B6A8"/>
    <w:multiLevelType w:val="hybridMultilevel"/>
    <w:lvl w:ilvl="0">
      <w:lvlJc w:val="left"/>
      <w:lvlText w:val="%1."/>
      <w:numFmt w:val="decimal"/>
      <w:start w:val="16"/>
    </w:lvl>
    <w:lvl w:ilvl="1">
      <w:lvlJc w:val="left"/>
      <w:lvlText w:val="%2"/>
      <w:numFmt w:val="lowerLetter"/>
      <w:start w:val="1"/>
    </w:lvl>
  </w:abstractNum>
  <w:abstractNum w:abstractNumId="42">
    <w:nsid w:val="10233C99"/>
    <w:multiLevelType w:val="hybridMultilevel"/>
    <w:lvl w:ilvl="0">
      <w:lvlJc w:val="left"/>
      <w:lvlText w:val="%1."/>
      <w:numFmt w:val="decimal"/>
      <w:start w:val="18"/>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5">
    <w:nsid w:val="7E0C57B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46">
    <w:nsid w:val="77AE35E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7">
    <w:nsid w:val="579BE4F1"/>
    <w:multiLevelType w:val="hybridMultilevel"/>
    <w:lvl w:ilvl="0">
      <w:lvlJc w:val="left"/>
      <w:lvlText w:val="%1"/>
      <w:numFmt w:val="decimal"/>
      <w:start w:val="1"/>
    </w:lvl>
    <w:lvl w:ilvl="1">
      <w:lvlJc w:val="left"/>
      <w:lvlText w:val="(%2)"/>
      <w:numFmt w:val="lowerRoman"/>
      <w:start w:val="1"/>
    </w:lvl>
  </w:abstractNum>
  <w:abstractNum w:abstractNumId="48">
    <w:nsid w:val="310C50B3"/>
    <w:multiLevelType w:val="hybridMultilevel"/>
    <w:lvl w:ilvl="0">
      <w:lvlJc w:val="left"/>
      <w:lvlText w:val="%1."/>
      <w:numFmt w:val="decimal"/>
      <w:start w:val="4"/>
    </w:lvl>
    <w:lvl w:ilvl="1">
      <w:lvlJc w:val="left"/>
      <w:lvlText w:val="%2"/>
      <w:numFmt w:val="lowerRoman"/>
      <w:start w:val="1"/>
    </w:lvl>
  </w:abstractNum>
  <w:abstractNum w:abstractNumId="49">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0">
    <w:nsid w:val="2F305DEF"/>
    <w:multiLevelType w:val="hybridMultilevel"/>
    <w:lvl w:ilvl="0">
      <w:lvlJc w:val="left"/>
      <w:lvlText w:val="(%1)"/>
      <w:numFmt w:val="upperLetter"/>
      <w:start w:val="9"/>
    </w:lvl>
    <w:lvl w:ilvl="1">
      <w:lvlJc w:val="left"/>
      <w:lvlText w:val="(%2)"/>
      <w:numFmt w:val="lowerLetter"/>
      <w:start w:val="3"/>
    </w:lvl>
    <w:lvl w:ilvl="2">
      <w:lvlJc w:val="left"/>
      <w:lvlText w:val="(%3)"/>
      <w:numFmt w:val="lowerLetter"/>
      <w:start w:val="35"/>
    </w:lvl>
  </w:abstractNum>
  <w:abstractNum w:abstractNumId="51">
    <w:nsid w:val="25A70BF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2">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3">
    <w:nsid w:val="4AD084E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4">
    <w:nsid w:val="1F48EAA1"/>
    <w:multiLevelType w:val="hybridMultilevel"/>
    <w:lvl w:ilvl="0">
      <w:lvlJc w:val="left"/>
      <w:lvlText w:val="(%1)"/>
      <w:numFmt w:val="lowerLetter"/>
      <w:start w:val="2"/>
    </w:lvl>
    <w:lvl w:ilvl="1">
      <w:lvlJc w:val="left"/>
      <w:lvlText w:val="(%2)"/>
      <w:numFmt w:val="lowerRoman"/>
      <w:start w:val="1"/>
    </w:lvl>
  </w:abstractNum>
  <w:abstractNum w:abstractNumId="55">
    <w:nsid w:val="1381823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lowerLetter"/>
      <w:start w:val="1"/>
    </w:lvl>
    <w:lvl w:ilvl="4">
      <w:lvlJc w:val="left"/>
      <w:lvlText w:val="%5"/>
      <w:numFmt w:val="lowerLetter"/>
      <w:start w:val="1"/>
    </w:lvl>
  </w:abstractNum>
  <w:abstractNum w:abstractNumId="56">
    <w:nsid w:val="5DB70AE5"/>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1"/>
    </w:lvl>
    <w:lvl w:ilvl="3">
      <w:lvlJc w:val="left"/>
      <w:lvlText w:val="(%4)"/>
      <w:numFmt w:val="lowerLetter"/>
      <w:start w:val="22"/>
    </w:lvl>
    <w:lvl w:ilvl="4">
      <w:lvlJc w:val="left"/>
      <w:lvlText w:val="(%5)"/>
      <w:numFmt w:val="lowerLetter"/>
      <w:start w:val="4"/>
    </w:lvl>
  </w:abstractNum>
  <w:abstractNum w:abstractNumId="57">
    <w:nsid w:val="100F8FCA"/>
    <w:multiLevelType w:val="hybridMultilevel"/>
    <w:lvl w:ilvl="0">
      <w:lvlJc w:val="left"/>
      <w:lvlText w:val="(%1)"/>
      <w:numFmt w:val="lowerLetter"/>
      <w:start w:val="1"/>
    </w:lvl>
    <w:lvl w:ilvl="1">
      <w:lvlJc w:val="left"/>
      <w:lvlText w:val="(%2)"/>
      <w:numFmt w:val="lowerRoman"/>
      <w:start w:val="2"/>
    </w:lvl>
  </w:abstractNum>
  <w:abstractNum w:abstractNumId="58">
    <w:nsid w:val="6590700B"/>
    <w:multiLevelType w:val="hybridMultilevel"/>
    <w:lvl w:ilvl="0">
      <w:lvlJc w:val="left"/>
      <w:lvlText w:val="(%1)"/>
      <w:numFmt w:val="lowerLetter"/>
      <w:start w:val="4"/>
    </w:lvl>
  </w:abstractNum>
  <w:abstractNum w:abstractNumId="59">
    <w:nsid w:val="15014ACB"/>
    <w:multiLevelType w:val="hybridMultilevel"/>
    <w:lvl w:ilvl="0">
      <w:lvlJc w:val="left"/>
      <w:lvlText w:val="%1"/>
      <w:numFmt w:val="decimal"/>
      <w:start w:val="1"/>
    </w:lvl>
    <w:lvl w:ilvl="1">
      <w:lvlJc w:val="left"/>
      <w:lvlText w:val="(%2)"/>
      <w:numFmt w:val="lowerLetter"/>
      <w:start w:val="5"/>
    </w:lvl>
  </w:abstractNum>
  <w:abstractNum w:abstractNumId="60">
    <w:nsid w:val="5F5E7FD0"/>
    <w:multiLevelType w:val="hybridMultilevel"/>
    <w:lvl w:ilvl="0">
      <w:lvlJc w:val="left"/>
      <w:lvlText w:val="%1."/>
      <w:numFmt w:val="decimal"/>
      <w:start w:val="9"/>
    </w:lvl>
    <w:lvl w:ilvl="1">
      <w:lvlJc w:val="left"/>
      <w:lvlText w:val="%2"/>
      <w:numFmt w:val="lowerLetter"/>
      <w:start w:val="1"/>
    </w:lvl>
  </w:abstractNum>
  <w:abstractNum w:abstractNumId="61">
    <w:nsid w:val="98A3148"/>
    <w:multiLevelType w:val="hybridMultilevel"/>
    <w:lvl w:ilvl="0">
      <w:lvlJc w:val="left"/>
      <w:lvlText w:val="%1."/>
      <w:numFmt w:val="decimal"/>
      <w:start w:val="10"/>
    </w:lvl>
    <w:lvl w:ilvl="1">
      <w:lvlJc w:val="left"/>
      <w:lvlText w:val="(%2)"/>
      <w:numFmt w:val="lowerLetter"/>
      <w:start w:val="1"/>
    </w:lvl>
  </w:abstractNum>
  <w:abstractNum w:abstractNumId="62">
    <w:nsid w:val="799D0247"/>
    <w:multiLevelType w:val="hybridMultilevel"/>
    <w:lvl w:ilvl="0">
      <w:lvlJc w:val="left"/>
      <w:lvlText w:val="%1"/>
      <w:numFmt w:val="decimal"/>
      <w:start w:val="1"/>
    </w:lvl>
    <w:lvl w:ilvl="1">
      <w:lvlJc w:val="left"/>
      <w:lvlText w:val="(%2)"/>
      <w:numFmt w:val="lowerLetter"/>
      <w:start w:val="3"/>
    </w:lvl>
  </w:abstractNum>
  <w:abstractNum w:abstractNumId="63">
    <w:nsid w:val="6B94764"/>
    <w:multiLevelType w:val="hybridMultilevel"/>
    <w:lvl w:ilvl="0">
      <w:lvlJc w:val="left"/>
      <w:lvlText w:val="%1."/>
      <w:numFmt w:val="decimal"/>
      <w:start w:val="11"/>
    </w:lvl>
    <w:lvl w:ilvl="1">
      <w:lvlJc w:val="left"/>
      <w:lvlText w:val="(%2)"/>
      <w:numFmt w:val="lowerLetter"/>
      <w:start w:val="1"/>
    </w:lvl>
  </w:abstractNum>
  <w:abstractNum w:abstractNumId="64">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168E121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
    <w:nsid w:val="1EBA5D2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7">
    <w:nsid w:val="661E3F1E"/>
    <w:multiLevelType w:val="hybridMultilevel"/>
    <w:lvl w:ilvl="0">
      <w:lvlJc w:val="left"/>
      <w:lvlText w:val="%1"/>
      <w:numFmt w:val="decimal"/>
      <w:start w:val="1"/>
    </w:lvl>
    <w:lvl w:ilvl="1">
      <w:lvlJc w:val="left"/>
      <w:lvlText w:val="(%2)"/>
      <w:numFmt w:val="lowerLetter"/>
      <w:start w:val="4"/>
    </w:lvl>
  </w:abstractNum>
  <w:abstractNum w:abstractNumId="68">
    <w:nsid w:val="5DC79EA8"/>
    <w:multiLevelType w:val="hybridMultilevel"/>
    <w:lvl w:ilvl="0">
      <w:lvlJc w:val="left"/>
      <w:lvlText w:val="%1."/>
      <w:numFmt w:val="decimal"/>
      <w:start w:val="14"/>
    </w:lvl>
    <w:lvl w:ilvl="1">
      <w:lvlJc w:val="left"/>
      <w:lvlText w:val="(%2)"/>
      <w:numFmt w:val="lowerLetter"/>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decimal"/>
      <w:start w:val="1"/>
    </w:lvl>
    <w:lvl w:ilvl="1">
      <w:lvlJc w:val="left"/>
      <w:lvlText w:val="(%2)"/>
      <w:numFmt w:val="lowerLetter"/>
      <w:start w:val="4"/>
    </w:lvl>
  </w:abstractNum>
  <w:abstractNum w:abstractNumId="71">
    <w:nsid w:val="51D9C564"/>
    <w:multiLevelType w:val="hybridMultilevel"/>
    <w:lvl w:ilvl="0">
      <w:lvlJc w:val="left"/>
      <w:lvlText w:val="%1."/>
      <w:numFmt w:val="decimal"/>
      <w:start w:val="16"/>
    </w:lvl>
    <w:lvl w:ilvl="1">
      <w:lvlJc w:val="left"/>
      <w:lvlText w:val="%2"/>
      <w:numFmt w:val="lowerLetter"/>
      <w:start w:val="1"/>
    </w:lvl>
  </w:abstractNum>
  <w:abstractNum w:abstractNumId="72">
    <w:nsid w:val="613EFDC5"/>
    <w:multiLevelType w:val="hybridMultilevel"/>
    <w:lvl w:ilvl="0">
      <w:lvlJc w:val="left"/>
      <w:lvlText w:val="%1."/>
      <w:numFmt w:val="decimal"/>
      <w:start w:val="18"/>
    </w:lvl>
    <w:lvl w:ilvl="1">
      <w:lvlJc w:val="left"/>
      <w:lvlText w:val="%2."/>
      <w:numFmt w:val="decimal"/>
      <w:start w:val="20"/>
    </w:lvl>
  </w:abstractNum>
  <w:abstractNum w:abstractNumId="73">
    <w:nsid w:val="BF72B14"/>
    <w:multiLevelType w:val="hybridMultilevel"/>
    <w:lvl w:ilvl="0">
      <w:lvlJc w:val="left"/>
      <w:lvlText w:val="%1."/>
      <w:numFmt w:val="decimal"/>
      <w:start w:val="2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7"/>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53" Type="http://schemas.openxmlformats.org/officeDocument/2006/relationships/hyperlink" Target="https://www.sec.gov/Archives/edgar/data/1166691/000095010324006839/dp211362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2024-07-23T12:33:36Z</dcterms:created>
  <dcterms:modified xsi:type="dcterms:W3CDTF">2024-07-23T12:33:36Z</dcterms:modified>
</cp:coreProperties>
</file>