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444500</wp:posOffset>
            </wp:positionV>
            <wp:extent cx="1423670" cy="582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40" w:hanging="632"/>
        <w:spacing w:after="0"/>
        <w:tabs>
          <w:tab w:leader="none" w:pos="6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ind w:left="64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40" w:hanging="632"/>
        <w:spacing w:after="0"/>
        <w:tabs>
          <w:tab w:leader="none" w:pos="6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15(d) OF THE SECURITIES EXCHANGE ACT OF 1934.</w:t>
      </w:r>
    </w:p>
    <w:p>
      <w:pPr>
        <w:spacing w:after="0" w:line="215" w:lineRule="exact"/>
        <w:rPr>
          <w:sz w:val="24"/>
          <w:szCs w:val="24"/>
          <w:color w:val="auto"/>
        </w:rPr>
      </w:pPr>
    </w:p>
    <w:p>
      <w:pPr>
        <w:ind w:left="64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A. Full title of the plan and the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300" w:type="dxa"/>
            <w:vAlign w:val="bottom"/>
            <w:gridSpan w:val="6"/>
            <w:vMerge w:val="restart"/>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300" w:type="dxa"/>
            <w:vAlign w:val="bottom"/>
            <w:gridSpan w:val="6"/>
            <w:vMerge w:val="continue"/>
          </w:tcPr>
          <w:p>
            <w:pPr>
              <w:spacing w:after="0"/>
              <w:rPr>
                <w:sz w:val="13"/>
                <w:szCs w:val="13"/>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500" w:type="dxa"/>
            <w:vAlign w:val="bottom"/>
            <w:gridSpan w:val="3"/>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80" w:type="dxa"/>
            <w:vAlign w:val="bottom"/>
          </w:tcPr>
          <w:p>
            <w:pPr>
              <w:spacing w:after="0"/>
              <w:rPr>
                <w:sz w:val="24"/>
                <w:szCs w:val="24"/>
                <w:color w:val="auto"/>
              </w:rPr>
            </w:pPr>
          </w:p>
        </w:tc>
        <w:tc>
          <w:tcPr>
            <w:tcW w:w="1012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2015 and 2014</w:t>
              </w:r>
            </w:hyperlink>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12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2015</w:t>
              </w:r>
            </w:hyperlink>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08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0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300" w:type="dxa"/>
            <w:vAlign w:val="bottom"/>
            <w:gridSpan w:val="6"/>
          </w:tcPr>
          <w:p>
            <w:pPr>
              <w:spacing w:after="0"/>
              <w:rPr>
                <w:sz w:val="20"/>
                <w:szCs w:val="20"/>
                <w:color w:val="auto"/>
              </w:rPr>
            </w:pPr>
            <w:r>
              <w:rPr>
                <w:rFonts w:ascii="Arial" w:cs="Arial" w:eastAsia="Arial" w:hAnsi="Arial"/>
                <w:sz w:val="18"/>
                <w:szCs w:val="18"/>
                <w:color w:val="auto"/>
              </w:rPr>
              <w:t>SUPPLEMENTAL SCHEDULES: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10940" w:type="dxa"/>
            <w:vAlign w:val="bottom"/>
            <w:gridSpan w:val="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Form 5500, Schedule H—Part IV, Line 4i—Schedule of Assets (Held at End of Year) as of December 31, 2015</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10940" w:type="dxa"/>
            <w:vAlign w:val="bottom"/>
            <w:gridSpan w:val="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Form 5500, Schedule H—Part IV, Line 4a—Schedule of Delinquent Participant Contributions for years ended December 31, 2015,</w:t>
              </w:r>
            </w:hyperlink>
          </w:p>
        </w:tc>
        <w:tc>
          <w:tcPr>
            <w:tcW w:w="340" w:type="dxa"/>
            <w:vAlign w:val="bottom"/>
          </w:tcPr>
          <w:p>
            <w:pPr>
              <w:spacing w:after="0"/>
              <w:rPr>
                <w:sz w:val="24"/>
                <w:szCs w:val="24"/>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2014, 2013, 2012 and 2011</w:t>
              </w:r>
            </w:hyperlink>
          </w:p>
        </w:tc>
        <w:tc>
          <w:tcPr>
            <w:tcW w:w="7280" w:type="dxa"/>
            <w:vAlign w:val="bottom"/>
            <w:tcBorders>
              <w:top w:val="single" w:sz="8" w:color="0000EE"/>
            </w:tcBorders>
            <w:gridSpan w:val="3"/>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412"/>
        </w:trPr>
        <w:tc>
          <w:tcPr>
            <w:tcW w:w="59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0">
              <w:r>
                <w:rPr>
                  <w:rFonts w:ascii="Arial" w:cs="Arial" w:eastAsia="Arial" w:hAnsi="Arial"/>
                  <w:sz w:val="18"/>
                  <w:szCs w:val="18"/>
                  <w:color w:val="0000EE"/>
                  <w:w w:val="95"/>
                </w:rPr>
                <w:t>CONSENT OF INDEPENDENT REGISTERED PUBLIC ACCOUNTING FIRM</w:t>
              </w:r>
            </w:hyperlink>
          </w:p>
        </w:tc>
        <w:tc>
          <w:tcPr>
            <w:tcW w:w="51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11120" w:type="dxa"/>
            <w:vAlign w:val="bottom"/>
            <w:gridSpan w:val="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SIGNATURE</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1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38"/>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760" w:type="dxa"/>
            <w:vAlign w:val="bottom"/>
            <w:gridSpan w:val="6"/>
          </w:tcPr>
          <w:p>
            <w:pPr>
              <w:ind w:left="300"/>
              <w:spacing w:after="0"/>
              <w:rPr>
                <w:sz w:val="20"/>
                <w:szCs w:val="20"/>
                <w:color w:val="auto"/>
              </w:rPr>
            </w:pPr>
            <w:r>
              <w:rPr>
                <w:rFonts w:ascii="Arial" w:cs="Arial" w:eastAsia="Arial" w:hAnsi="Arial"/>
                <w:sz w:val="18"/>
                <w:szCs w:val="18"/>
                <w:color w:val="auto"/>
                <w:w w:val="92"/>
              </w:rPr>
              <w:t>NOTE: All other schedules required by Section 2520.103-10 of the Department of Labor’s Rules and Regulations for Reporting and Disclosure</w:t>
            </w:r>
          </w:p>
        </w:tc>
        <w:tc>
          <w:tcPr>
            <w:tcW w:w="34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760" w:type="dxa"/>
            <w:vAlign w:val="bottom"/>
            <w:gridSpan w:val="6"/>
          </w:tcPr>
          <w:p>
            <w:pPr>
              <w:ind w:left="300"/>
              <w:spacing w:after="0"/>
              <w:rPr>
                <w:sz w:val="20"/>
                <w:szCs w:val="20"/>
                <w:color w:val="auto"/>
              </w:rPr>
            </w:pPr>
            <w:r>
              <w:rPr>
                <w:rFonts w:ascii="Arial" w:cs="Arial" w:eastAsia="Arial" w:hAnsi="Arial"/>
                <w:sz w:val="18"/>
                <w:szCs w:val="18"/>
                <w:color w:val="auto"/>
              </w:rPr>
              <w:t>under the Employee Retirement Income Security Act of 1974 have been omitted because they are not applicable.</w:t>
            </w:r>
          </w:p>
        </w:tc>
        <w:tc>
          <w:tcPr>
            <w:tcW w:w="340" w:type="dxa"/>
            <w:vAlign w:val="bottom"/>
          </w:tcPr>
          <w:p>
            <w:pPr>
              <w:spacing w:after="0"/>
              <w:rPr>
                <w:sz w:val="20"/>
                <w:szCs w:val="20"/>
                <w:color w:val="auto"/>
              </w:rPr>
            </w:pPr>
          </w:p>
        </w:tc>
      </w:tr>
      <w:tr>
        <w:trPr>
          <w:trHeight w:val="348"/>
        </w:trPr>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Comcast-Spectacor 401(k)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Comcast-Spectacor 401(k) Plan (the “Plan”) as of December 31, 2015 and 2014, and the related statement of changes in net assets available for benefits for the year ended December 31, 2015.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2015 and 2014, and the changes in net assets available for benefits for the year ended December 31, 2015 in conformity with accounting principles generally accepted in the United States of America.</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supplemental schedules of (1) assets (held at end of year) as of December 31, 2015 and (2) delinquent participant contributions for the years ended December 31, 2015, 2014, 2013, 2012, and 2011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compliance with the Department of Labor’s Rules and Regulations for Reporting and Disclosure under the Employee Retirement Income Security Act of 1974. In our opinion, such schedules are fairly stated, in all material respects, in relation to the financial statements as a whole.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Participant-directed investments, at fair value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105,226</w:t>
            </w:r>
          </w:p>
        </w:tc>
      </w:tr>
      <w:tr>
        <w:trPr>
          <w:trHeight w:val="202"/>
        </w:trPr>
        <w:tc>
          <w:tcPr>
            <w:tcW w:w="7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Plan interest in Comcast Corporation Employee Savings Plans Master Trust participant-directed</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investments:</w:t>
            </w: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At fair value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99,566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At contract value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Pr>
          <w:p>
            <w:pPr>
              <w:ind w:left="200"/>
              <w:spacing w:after="0"/>
              <w:rPr>
                <w:sz w:val="20"/>
                <w:szCs w:val="20"/>
                <w:color w:val="auto"/>
              </w:rPr>
            </w:pPr>
            <w:r>
              <w:rPr>
                <w:rFonts w:ascii="Arial" w:cs="Arial" w:eastAsia="Arial" w:hAnsi="Arial"/>
                <w:sz w:val="18"/>
                <w:szCs w:val="18"/>
                <w:color w:val="auto"/>
              </w:rPr>
              <w:t>Total investments</w:t>
            </w: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109,640</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105,226</w:t>
            </w: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receivable from participants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r>
      <w:tr>
        <w:trPr>
          <w:trHeight w:val="210"/>
        </w:trPr>
        <w:tc>
          <w:tcPr>
            <w:tcW w:w="7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97"/>
        </w:trPr>
        <w:tc>
          <w:tcPr>
            <w:tcW w:w="77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60"/>
          </w:cols>
          <w:pgMar w:left="240" w:top="324" w:right="199" w:bottom="0" w:gutter="0" w:footer="0" w:header="0"/>
        </w:sectPr>
      </w:pPr>
    </w:p>
    <w:bookmarkStart w:id="2" w:name="page3"/>
    <w:bookmarkEnd w:id="2"/>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receivables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111,993</w:t>
            </w: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107,531</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4"/>
          </w:tcPr>
          <w:p>
            <w:pPr>
              <w:ind w:left="566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7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COMCAST-SPECTACOR 401(k) PLAN</w:t>
            </w: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STATEMENT OF CHANGES IN NET ASSETS AVAILABLE FOR BENEFITS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FOR THE YEAR ENDED DECEMBER 31, 2015</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4"/>
          </w:tcPr>
          <w:p>
            <w:pPr>
              <w:spacing w:after="0"/>
              <w:rPr>
                <w:sz w:val="20"/>
                <w:szCs w:val="20"/>
                <w:color w:val="auto"/>
              </w:rPr>
            </w:pPr>
            <w:r>
              <w:rPr>
                <w:rFonts w:ascii="Arial" w:cs="Arial" w:eastAsia="Arial" w:hAnsi="Arial"/>
                <w:sz w:val="18"/>
                <w:szCs w:val="18"/>
                <w:color w:val="auto"/>
              </w:rPr>
              <w:t>(in thousands)</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180"/>
              <w:spacing w:after="0"/>
              <w:rPr>
                <w:sz w:val="20"/>
                <w:szCs w:val="20"/>
                <w:color w:val="auto"/>
              </w:rPr>
            </w:pPr>
            <w:r>
              <w:rPr>
                <w:rFonts w:ascii="Arial" w:cs="Arial" w:eastAsia="Arial" w:hAnsi="Arial"/>
                <w:sz w:val="18"/>
                <w:szCs w:val="18"/>
                <w:color w:val="auto"/>
              </w:rPr>
              <w:t>Investment income: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depreciation in fair value of investments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color w:val="auto"/>
              </w:rPr>
              <w:t>Dividends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7"/>
              </w:rPr>
              <w:t>Plan interest in Comcast Corporation Employee Savings Plans Master Trust investment income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Net investment income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Contributions: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color w:val="auto"/>
              </w:rPr>
              <w:t>Participant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Employer</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340"/>
              <w:spacing w:after="0"/>
              <w:rPr>
                <w:sz w:val="20"/>
                <w:szCs w:val="20"/>
                <w:color w:val="auto"/>
              </w:rPr>
            </w:pPr>
            <w:r>
              <w:rPr>
                <w:rFonts w:ascii="Arial" w:cs="Arial" w:eastAsia="Arial" w:hAnsi="Arial"/>
                <w:sz w:val="18"/>
                <w:szCs w:val="18"/>
                <w:color w:val="auto"/>
              </w:rPr>
              <w:t>Rollover</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520"/>
              <w:spacing w:after="0"/>
              <w:rPr>
                <w:sz w:val="20"/>
                <w:szCs w:val="20"/>
                <w:color w:val="auto"/>
              </w:rPr>
            </w:pPr>
            <w:r>
              <w:rPr>
                <w:rFonts w:ascii="Arial" w:cs="Arial" w:eastAsia="Arial" w:hAnsi="Arial"/>
                <w:sz w:val="18"/>
                <w:szCs w:val="18"/>
                <w:color w:val="auto"/>
              </w:rPr>
              <w:t>Total contributions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13,966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180"/>
              <w:spacing w:after="0"/>
              <w:rPr>
                <w:sz w:val="20"/>
                <w:szCs w:val="20"/>
                <w:color w:val="auto"/>
              </w:rPr>
            </w:pPr>
            <w:r>
              <w:rPr>
                <w:rFonts w:ascii="Arial" w:cs="Arial" w:eastAsia="Arial" w:hAnsi="Arial"/>
                <w:sz w:val="18"/>
                <w:szCs w:val="18"/>
                <w:color w:val="auto"/>
              </w:rPr>
              <w:t>Interest income on notes receivable from participants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180"/>
              <w:spacing w:after="0"/>
              <w:rPr>
                <w:sz w:val="20"/>
                <w:szCs w:val="20"/>
                <w:color w:val="auto"/>
              </w:rPr>
            </w:pPr>
            <w:r>
              <w:rPr>
                <w:rFonts w:ascii="Arial" w:cs="Arial" w:eastAsia="Arial" w:hAnsi="Arial"/>
                <w:sz w:val="18"/>
                <w:szCs w:val="18"/>
                <w:color w:val="auto"/>
              </w:rPr>
              <w:t>Total additions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Benefits paid to participants</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180"/>
              <w:spacing w:after="0"/>
              <w:rPr>
                <w:sz w:val="20"/>
                <w:szCs w:val="20"/>
                <w:color w:val="auto"/>
              </w:rPr>
            </w:pPr>
            <w:r>
              <w:rPr>
                <w:rFonts w:ascii="Arial" w:cs="Arial" w:eastAsia="Arial" w:hAnsi="Arial"/>
                <w:sz w:val="18"/>
                <w:szCs w:val="18"/>
                <w:color w:val="auto"/>
              </w:rPr>
              <w:t>Administrative expenses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tcPr>
          <w:p>
            <w:pPr>
              <w:ind w:left="360"/>
              <w:spacing w:after="0"/>
              <w:rPr>
                <w:sz w:val="20"/>
                <w:szCs w:val="20"/>
                <w:color w:val="auto"/>
              </w:rPr>
            </w:pPr>
            <w:r>
              <w:rPr>
                <w:rFonts w:ascii="Arial" w:cs="Arial" w:eastAsia="Arial" w:hAnsi="Arial"/>
                <w:sz w:val="18"/>
                <w:szCs w:val="18"/>
                <w:color w:val="auto"/>
              </w:rPr>
              <w:t>Total deductions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INCREASE IN NET ASSETS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gridSpan w:val="3"/>
          </w:tcPr>
          <w:p>
            <w:pPr>
              <w:spacing w:after="0"/>
              <w:rPr>
                <w:sz w:val="20"/>
                <w:szCs w:val="20"/>
                <w:color w:val="auto"/>
              </w:rPr>
            </w:pPr>
            <w:r>
              <w:rPr>
                <w:rFonts w:ascii="Arial" w:cs="Arial" w:eastAsia="Arial" w:hAnsi="Arial"/>
                <w:sz w:val="18"/>
                <w:szCs w:val="18"/>
                <w:color w:val="auto"/>
              </w:rPr>
              <w:t>NET ASSETS AVAILABLE FOR BENEFITS: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5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111,993</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4"/>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60" w:type="dxa"/>
            <w:vAlign w:val="bottom"/>
            <w:gridSpan w:val="4"/>
            <w:vMerge w:val="continue"/>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60" w:type="dxa"/>
            <w:vAlign w:val="bottom"/>
            <w:gridSpan w:val="4"/>
          </w:tcPr>
          <w:p>
            <w:pPr>
              <w:ind w:left="566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-6469380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-6469380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2015 AND 2014, AND FOR THE YEAR ENDED DECEMBER 31, 2015</w:t>
      </w:r>
    </w:p>
    <w:p>
      <w:pPr>
        <w:spacing w:after="0" w:line="207" w:lineRule="exact"/>
        <w:rPr>
          <w:sz w:val="20"/>
          <w:szCs w:val="20"/>
          <w:color w:val="auto"/>
        </w:rPr>
      </w:pPr>
    </w:p>
    <w:p>
      <w:pPr>
        <w:ind w:left="440" w:right="9220" w:hanging="432"/>
        <w:spacing w:after="0" w:line="503" w:lineRule="auto"/>
        <w:tabs>
          <w:tab w:leader="none" w:pos="44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Comcast-Spectacor 401(k) Plan (the “Plan”) provides only general information. Plan participants should refer to the Plan document and applicable amendments for a more complete description of the Plan’s provisions. Copies of these documents are available from the Plan sponsor, Comcast-Spectacor, L.P. (“Spectacor”, the “Company” or the “Plan Sponsor”).</w:t>
      </w:r>
    </w:p>
    <w:p>
      <w:pPr>
        <w:spacing w:after="0" w:line="181" w:lineRule="exact"/>
        <w:rPr>
          <w:rFonts w:ascii="Arial" w:cs="Arial" w:eastAsia="Arial" w:hAnsi="Arial"/>
          <w:sz w:val="18"/>
          <w:szCs w:val="18"/>
          <w:b w:val="1"/>
          <w:bCs w:val="1"/>
          <w:color w:val="auto"/>
        </w:rPr>
      </w:pPr>
    </w:p>
    <w:p>
      <w:pPr>
        <w:ind w:left="440" w:righ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effective date of the Plan is January 1, 1992. The Plan is a defined contribution plan qualified under Internal Revenue Code (the “Code”) Sections 401(a), 401(k) and 401(m) and is subject to the provisions of the Employee Retirement Income Security Act of 1974 (“ERISA”). The Plan covers “eligible employees,” who have completed the requisite hours of service, as defined in the Plan document, and have attained age 21.</w:t>
      </w:r>
    </w:p>
    <w:p>
      <w:pPr>
        <w:spacing w:after="0" w:line="146" w:lineRule="exact"/>
        <w:rPr>
          <w:rFonts w:ascii="Arial" w:cs="Arial" w:eastAsia="Arial" w:hAnsi="Arial"/>
          <w:sz w:val="18"/>
          <w:szCs w:val="18"/>
          <w:b w:val="1"/>
          <w:bCs w:val="1"/>
          <w:color w:val="auto"/>
        </w:rPr>
      </w:pPr>
    </w:p>
    <w:p>
      <w:pPr>
        <w:ind w:left="4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Effective September 10, 2013, Comcast Corporation (“Comcast”) established the Comcast Corporation Employee Savings Plans Master Trust (“Master Trust”); the Plan’s assets were transferred into the Master Trust effective January 14, 2015. The Master Trust allows Comcast to have a uniform</w:t>
      </w:r>
    </w:p>
    <w:p>
      <w:pPr>
        <w:sectPr>
          <w:pgSz w:w="11900" w:h="16948" w:orient="portrait"/>
          <w:cols w:equalWidth="0" w:num="1">
            <w:col w:w="11460"/>
          </w:cols>
          <w:pgMar w:left="240" w:top="140" w:right="199" w:bottom="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investment line-up across its various defined contribution plans while allowing varying provisions in plan design.</w:t>
      </w:r>
    </w:p>
    <w:p>
      <w:pPr>
        <w:spacing w:after="0" w:line="225" w:lineRule="exact"/>
        <w:rPr>
          <w:sz w:val="20"/>
          <w:szCs w:val="20"/>
          <w:color w:val="auto"/>
        </w:rPr>
      </w:pPr>
    </w:p>
    <w:p>
      <w:pPr>
        <w:ind w:left="440" w:right="180"/>
        <w:spacing w:after="0" w:line="255" w:lineRule="auto"/>
        <w:rPr>
          <w:sz w:val="20"/>
          <w:szCs w:val="20"/>
          <w:color w:val="auto"/>
        </w:rPr>
      </w:pPr>
      <w:r>
        <w:rPr>
          <w:rFonts w:ascii="Arial" w:cs="Arial" w:eastAsia="Arial" w:hAnsi="Arial"/>
          <w:sz w:val="18"/>
          <w:szCs w:val="18"/>
          <w:color w:val="auto"/>
        </w:rPr>
        <w:t>Full-time employees of the Company are eligible to participate in the Plan after completing three (3) months of service. Part-time employees of the Company are eligible to participate in the Plan after completing 1,000 hours of service in a 12-month period. Eligible employees are automatically enrolled in the Plan at a contribution rate equal to 3% of eligible compensation on a pre-tax basis unless they opt out of participation. Automatically-enrolled participants may thereafter increase or decrease their contribution at any time. Contribution rates for participants who were automatically enrolled will increase 1% per year up to 10%, subject to certain limits imposed by the Code, unless a participant elects to opt out of the automatic increase program.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entities participate in the Plan and are referred to collectively as the Company:</w:t>
      </w:r>
    </w:p>
    <w:p>
      <w:pPr>
        <w:spacing w:after="0" w:line="225" w:lineRule="exact"/>
        <w:rPr>
          <w:sz w:val="20"/>
          <w:szCs w:val="20"/>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Spectrum Arena Limited Partnership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Philadelphia Flyers,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Comcast-Spectacor Foundation</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Flyers Skate Zone,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Spectrum,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Spectacor, LLC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Patron Solutions,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FPS Rinks,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Pilots II, Inc.</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Ed Snider Youth Hockey Foundation</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Front Row Marketing Services, L.P.</w:t>
      </w:r>
    </w:p>
    <w:p>
      <w:pPr>
        <w:spacing w:after="0" w:line="225" w:lineRule="exact"/>
        <w:rPr>
          <w:rFonts w:ascii="Arial" w:cs="Arial" w:eastAsia="Arial" w:hAnsi="Arial"/>
          <w:sz w:val="18"/>
          <w:szCs w:val="18"/>
          <w:color w:val="auto"/>
        </w:rPr>
      </w:pPr>
    </w:p>
    <w:p>
      <w:pPr>
        <w:ind w:left="840" w:hanging="28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Paciolan,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120"/>
        <w:spacing w:after="0" w:line="342" w:lineRule="auto"/>
        <w:rPr>
          <w:sz w:val="20"/>
          <w:szCs w:val="20"/>
          <w:color w:val="auto"/>
        </w:rPr>
      </w:pPr>
      <w:r>
        <w:rPr>
          <w:rFonts w:ascii="Arial" w:cs="Arial" w:eastAsia="Arial" w:hAnsi="Arial"/>
          <w:sz w:val="16"/>
          <w:szCs w:val="16"/>
          <w:color w:val="auto"/>
        </w:rPr>
        <w:t>The maximum amount of eligible compensation that may be deferred is 50% (plus an additional 30% of eligible compensation for eligible employees aged 50 or above), subject to certain limits imposed by the Code. Effective January 1, 2012, a Roth contribution feature was added to the Plan.</w:t>
      </w:r>
    </w:p>
    <w:p>
      <w:pPr>
        <w:spacing w:after="0" w:line="124" w:lineRule="exact"/>
        <w:rPr>
          <w:sz w:val="20"/>
          <w:szCs w:val="20"/>
          <w:color w:val="auto"/>
        </w:rPr>
      </w:pPr>
    </w:p>
    <w:p>
      <w:pPr>
        <w:ind w:left="440" w:right="700"/>
        <w:spacing w:after="0" w:line="277" w:lineRule="auto"/>
        <w:rPr>
          <w:sz w:val="20"/>
          <w:szCs w:val="20"/>
          <w:color w:val="auto"/>
        </w:rPr>
      </w:pPr>
      <w:r>
        <w:rPr>
          <w:rFonts w:ascii="Arial" w:cs="Arial" w:eastAsia="Arial" w:hAnsi="Arial"/>
          <w:sz w:val="18"/>
          <w:szCs w:val="18"/>
          <w:color w:val="auto"/>
        </w:rPr>
        <w:t>Effective January 1, 2015 the company matching contribution was amended and is equal to 100% of the first 5% of each participant’s eligible compensation for such payroll period.</w:t>
      </w:r>
    </w:p>
    <w:p>
      <w:pPr>
        <w:spacing w:after="0" w:line="170" w:lineRule="exact"/>
        <w:rPr>
          <w:sz w:val="20"/>
          <w:szCs w:val="20"/>
          <w:color w:val="auto"/>
        </w:rPr>
      </w:pPr>
    </w:p>
    <w:p>
      <w:pPr>
        <w:ind w:left="440" w:right="180"/>
        <w:spacing w:after="0" w:line="312" w:lineRule="auto"/>
        <w:rPr>
          <w:sz w:val="20"/>
          <w:szCs w:val="20"/>
          <w:color w:val="auto"/>
        </w:rPr>
      </w:pPr>
      <w:r>
        <w:rPr>
          <w:rFonts w:ascii="Arial" w:cs="Arial" w:eastAsia="Arial" w:hAnsi="Arial"/>
          <w:sz w:val="16"/>
          <w:szCs w:val="16"/>
          <w:color w:val="auto"/>
        </w:rPr>
        <w:t>Each participant’s account is credited with the participant’s elective deferral contribution, an allocation of the Company’s matching contribution, and Plan earnings, net of expenses. Allocations of the Company’s matching contributions are based on participant elective deferrals to the Plan. Upon enrollment, or as requested from the Plan Sponsor, participants can receive a description of each investment fund in the Plan Enrollment Guide.</w:t>
      </w:r>
    </w:p>
    <w:p>
      <w:pPr>
        <w:spacing w:after="0" w:line="14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for the Plan years beginning on or after January 1, 2005 are fully and immediately vested.</w:t>
      </w:r>
    </w:p>
    <w:p>
      <w:pPr>
        <w:spacing w:after="0" w:line="170" w:lineRule="exact"/>
        <w:rPr>
          <w:sz w:val="20"/>
          <w:szCs w:val="20"/>
          <w:color w:val="auto"/>
        </w:rPr>
      </w:pPr>
    </w:p>
    <w:p>
      <w:pPr>
        <w:ind w:left="440"/>
        <w:spacing w:after="0" w:line="302" w:lineRule="auto"/>
        <w:rPr>
          <w:sz w:val="20"/>
          <w:szCs w:val="20"/>
          <w:color w:val="auto"/>
        </w:rPr>
      </w:pPr>
      <w:r>
        <w:rPr>
          <w:rFonts w:ascii="Arial" w:cs="Arial" w:eastAsia="Arial" w:hAnsi="Arial"/>
          <w:sz w:val="16"/>
          <w:szCs w:val="16"/>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Sponsor. Effective October 1, 2015, the participants in the Plan are assessed a $27 per year administrative fee per account. Prior to October 1, 2015, participants in the Plan were assessed a $32 per year administrative fee per account.</w:t>
      </w:r>
    </w:p>
    <w:p>
      <w:pPr>
        <w:spacing w:after="0" w:line="154"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Forfeitures, consisting of amounts contributed by the Company that are not 100%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w:t>
      </w:r>
      <w:r>
        <w:rPr>
          <w:rFonts w:ascii="Arial" w:cs="Arial" w:eastAsia="Arial" w:hAnsi="Arial"/>
          <w:sz w:val="15"/>
          <w:szCs w:val="15"/>
          <w:color w:val="auto"/>
        </w:rPr>
        <w:t>.</w:t>
      </w:r>
      <w:r>
        <w:rPr>
          <w:rFonts w:ascii="Arial" w:cs="Arial" w:eastAsia="Arial" w:hAnsi="Arial"/>
          <w:sz w:val="16"/>
          <w:szCs w:val="16"/>
          <w:color w:val="auto"/>
        </w:rPr>
        <w:t xml:space="preserve">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There were no forfeitures applied to reduce Plan administrative expenses for the year ended December 31, 2015. Outstanding forfeitures not yet applied as of December 31, 2015 were $5,817. There were no outstanding forfeitures as of December 31, 2014.</w:t>
      </w:r>
    </w:p>
    <w:p>
      <w:pPr>
        <w:spacing w:after="0" w:line="167" w:lineRule="exact"/>
        <w:rPr>
          <w:sz w:val="20"/>
          <w:szCs w:val="20"/>
          <w:color w:val="auto"/>
        </w:rPr>
      </w:pPr>
    </w:p>
    <w:p>
      <w:pPr>
        <w:ind w:left="440" w:right="100"/>
        <w:spacing w:after="0" w:line="276" w:lineRule="auto"/>
        <w:rPr>
          <w:sz w:val="20"/>
          <w:szCs w:val="20"/>
          <w:color w:val="auto"/>
        </w:rPr>
      </w:pPr>
      <w:r>
        <w:rPr>
          <w:rFonts w:ascii="Arial" w:cs="Arial" w:eastAsia="Arial" w:hAnsi="Arial"/>
          <w:sz w:val="17"/>
          <w:szCs w:val="17"/>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quarterly or monthly installments, a rollover into another qualified plan, or any combination of the foregoing.</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Trustee</w:t>
      </w:r>
    </w:p>
    <w:p>
      <w:pPr>
        <w:sectPr>
          <w:pgSz w:w="11900" w:h="16838" w:orient="portrait"/>
          <w:cols w:equalWidth="0" w:num="1">
            <w:col w:w="11340"/>
          </w:cols>
          <w:pgMar w:left="240" w:top="125" w:right="319" w:bottom="0" w:gutter="0" w:footer="0" w:header="0"/>
        </w:sectPr>
      </w:pPr>
    </w:p>
    <w:bookmarkStart w:id="4" w:name="page5"/>
    <w:bookmarkEnd w:id="4"/>
    <w:p>
      <w:pPr>
        <w:ind w:left="440" w:right="40"/>
        <w:spacing w:after="0" w:line="277" w:lineRule="auto"/>
        <w:rPr>
          <w:sz w:val="20"/>
          <w:szCs w:val="20"/>
          <w:color w:val="auto"/>
        </w:rPr>
      </w:pPr>
      <w:r>
        <w:rPr>
          <w:rFonts w:ascii="Arial" w:cs="Arial" w:eastAsia="Arial" w:hAnsi="Arial"/>
          <w:sz w:val="18"/>
          <w:szCs w:val="18"/>
          <w:color w:val="auto"/>
        </w:rPr>
        <w:t>Effective January 1, 2015, the Plan was amended and restated to change the Trustee and Record-keeper from Voya Financial and ING Institutional Plan Services, LLC to Fidelity Management Trust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8, 2015, Fidelity Management Trust Company became the appointed Trustee of the Plan.</w:t>
      </w:r>
    </w:p>
    <w:p>
      <w:pPr>
        <w:spacing w:after="0" w:line="221" w:lineRule="exact"/>
        <w:rPr>
          <w:sz w:val="20"/>
          <w:szCs w:val="20"/>
          <w:color w:val="auto"/>
        </w:rPr>
      </w:pPr>
    </w:p>
    <w:p>
      <w:pPr>
        <w:ind w:left="440" w:right="6260" w:hanging="432"/>
        <w:spacing w:after="0" w:line="503" w:lineRule="auto"/>
        <w:tabs>
          <w:tab w:leader="none" w:pos="4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of America (“U.S.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right="6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stated at fair value, except for investment contracts, which are reported at contract value (see below). Fair value of a financial instrument is the price that would be received to sell an asset or paid to transfer a liability in an orderly transaction between market participants at the measurement date. See Note 5 for discussion on fair value measurements.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Investment contracts, such as those included in the Comcast Stable Value Fund, are required to be reported at contract value. Contract value is the relevant measure of fully benefit-responsive investment contracts since that is the amount participants would receive if they were to initiate permitted transactions under the terms of the Plan (see Note 4). As required by U.S. GAAP, the Statements of Net Assets Available for Benefits and the Statement of Changes in Net Assets Available for Benefits are presented on a contract value basis.</w:t>
      </w:r>
    </w:p>
    <w:p>
      <w:pPr>
        <w:spacing w:after="0" w:line="187" w:lineRule="exact"/>
        <w:rPr>
          <w:sz w:val="20"/>
          <w:szCs w:val="20"/>
          <w:color w:val="auto"/>
        </w:rPr>
      </w:pPr>
    </w:p>
    <w:p>
      <w:pPr>
        <w:ind w:left="440" w:right="120"/>
        <w:spacing w:after="0" w:line="312" w:lineRule="auto"/>
        <w:rPr>
          <w:sz w:val="20"/>
          <w:szCs w:val="20"/>
          <w:color w:val="auto"/>
        </w:rPr>
      </w:pPr>
      <w:r>
        <w:rPr>
          <w:rFonts w:ascii="Arial" w:cs="Arial" w:eastAsia="Arial" w:hAnsi="Arial"/>
          <w:sz w:val="16"/>
          <w:szCs w:val="16"/>
          <w:color w:val="auto"/>
        </w:rPr>
        <w:t>Net unrealized appreciation or depreciation in the financial statements reflects changes in fair value of investments held at year-end,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Risks and Uncertainties</w:t>
      </w:r>
    </w:p>
    <w:p>
      <w:pPr>
        <w:spacing w:after="0" w:line="225" w:lineRule="exact"/>
        <w:rPr>
          <w:sz w:val="20"/>
          <w:szCs w:val="20"/>
          <w:color w:val="auto"/>
        </w:rPr>
      </w:pPr>
    </w:p>
    <w:p>
      <w:pPr>
        <w:ind w:left="440" w:right="160"/>
        <w:spacing w:after="0" w:line="264" w:lineRule="auto"/>
        <w:rPr>
          <w:sz w:val="20"/>
          <w:szCs w:val="20"/>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ind w:left="440" w:right="280"/>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August 2014, the Financial Accounting Standards Board (“FASB”) issued updated guidance on management’s responsibility to evaluate whether</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is substantial doubt about a plan sponsor’s ability to continue as a going concern and guidance on related footnote disclosure (“ASU 2014-</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15”). ASU 2014-15 is effective for annual reporting periods beginning after December 15, 2016. The Plan does not expect there to be a material impact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the financial statements.</w:t>
      </w:r>
    </w:p>
    <w:p>
      <w:pPr>
        <w:spacing w:after="0" w:line="21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In May 2015, the FASB issued updated guidance which removes the requirement to categorize within the fair value hierarchy all investments for which fair value is measured using the net asset value per share (“NAV”) practical expedient (“ASU 2015-07”). ASU 2015-07 also removes the requirement to make certain disclosures for all investments that are eligible to be measured at fair value using the NAV practical expedient. ASU 2015-07 is effective for annual reporting periods beginning after December 15, 2015. Early adoption is permitted. The Plan has adopted ASU 2015-07 in 2015 and has applied ASU 2015-07 retrospectively, as required. The Plan presents the investment disclosure required by this new guidance in Note 5, Fair Value Measurements. The adoption in 2015 did not have a material effect on the financial statements.</w:t>
      </w:r>
    </w:p>
    <w:p>
      <w:pPr>
        <w:spacing w:after="0" w:line="178"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In July 2015, the FASB issued new guidance impacting benefit plan accounting and reporting (“ASU 2015-12”). ASU 2015-12 requires an employee benefit plan to use contract value as the only measurement amount for fully benefit-responsive investment contracts. It also simplifies and increases the effectiveness of plan investment disclosure requirements for employee benefit plans, and provides employee benefit plans with a measurement-date practical expedient for asset fair value. ASU 2015-12 is effective for fiscal years beginning after December 15, 2015. Early adoption is permitted. The Plan has adopted ASU 2015-12 in 2015 and has applied ASU 2015-12 retrospectively, as required and as reflected in the Statements of Net Assets Available for Benefits and in the notes to the financial statements. Certain historical disclosures that are no longer required have been removed. The adoption in 2015 did not have a material effect on the financial statements.</w:t>
      </w:r>
    </w:p>
    <w:p>
      <w:pPr>
        <w:spacing w:after="0" w:line="174"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right="3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September 10, 2013, Comcast established the Master Trust to manage the assets of a number of Comcast and NBCUniversal Media, LLC (“NBCUniversal”) defined contribution plans. The Trustee was appointed by Comcast to hold, administer, and invest the assets of the Master Trust. Effective January 14, 2015, Spectacor became a participating plan within the Master Trust and the related investment assets were transferred to the Master Trust. As of December 31, 2015, the Master Trust includes the investment assets of the Comcast Corporation Retirement-Investment Plan, NBCUniversal Capital Accumulation Plan, Leisure Arts, Inc. 401(k) Savings Plan and the Plan. Each of the plans in the Master Trust maintains a segregated asset portfolio within the Master Trust. Investment income, realized gains (losses) on sales of investments, unrealized appreciation (depreciation) of investments, other receipts, other disbursements and administrative expenses are allocated to the segregated asset portfolios</w:t>
      </w:r>
    </w:p>
    <w:p>
      <w:pPr>
        <w:sectPr>
          <w:pgSz w:w="11900" w:h="16838" w:orient="portrait"/>
          <w:cols w:equalWidth="0" w:num="1">
            <w:col w:w="11400"/>
          </w:cols>
          <w:pgMar w:left="240" w:top="125" w:right="259" w:bottom="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300"/>
        <w:spacing w:after="0" w:line="264" w:lineRule="auto"/>
        <w:rPr>
          <w:sz w:val="20"/>
          <w:szCs w:val="20"/>
          <w:color w:val="auto"/>
        </w:rPr>
      </w:pPr>
      <w:r>
        <w:rPr>
          <w:rFonts w:ascii="Arial" w:cs="Arial" w:eastAsia="Arial" w:hAnsi="Arial"/>
          <w:sz w:val="18"/>
          <w:szCs w:val="18"/>
          <w:color w:val="auto"/>
        </w:rPr>
        <w:t>within the Master Trust. In accordance with U.S. GAAP, the net change in value from participation in the Master Trust is reported as one line item in the Statement of Changes in Net Assets Available for Benefits and the Plan’s interest in the Master Trust is reported as a single line item in the Statements of Net Assets Available for Benefits.</w:t>
      </w:r>
    </w:p>
    <w:p>
      <w:pPr>
        <w:spacing w:after="0" w:line="181" w:lineRule="exact"/>
        <w:rPr>
          <w:sz w:val="20"/>
          <w:szCs w:val="20"/>
          <w:color w:val="auto"/>
        </w:rPr>
      </w:pPr>
    </w:p>
    <w:p>
      <w:pPr>
        <w:jc w:val="both"/>
        <w:ind w:left="440" w:right="140"/>
        <w:spacing w:after="0" w:line="264" w:lineRule="auto"/>
        <w:rPr>
          <w:sz w:val="20"/>
          <w:szCs w:val="20"/>
          <w:color w:val="auto"/>
        </w:rPr>
      </w:pPr>
      <w:r>
        <w:rPr>
          <w:rFonts w:ascii="Arial" w:cs="Arial" w:eastAsia="Arial" w:hAnsi="Arial"/>
          <w:sz w:val="18"/>
          <w:szCs w:val="18"/>
          <w:color w:val="auto"/>
        </w:rPr>
        <w:t>Because the Plan’s portfolio is segregated from the other plans that participate in the Master Trust, the Plan does not have an undivided interest in each investment in the Master Trust. Rather, the Plan has a specific percentage interest in each investment that differs from the overall percentage interest in the Master Trust.</w:t>
      </w:r>
    </w:p>
    <w:p>
      <w:pPr>
        <w:spacing w:after="0" w:line="181" w:lineRule="exact"/>
        <w:rPr>
          <w:sz w:val="20"/>
          <w:szCs w:val="20"/>
          <w:color w:val="auto"/>
        </w:rPr>
      </w:pPr>
    </w:p>
    <w:p>
      <w:pPr>
        <w:ind w:left="440" w:right="800"/>
        <w:spacing w:after="0" w:line="277" w:lineRule="auto"/>
        <w:rPr>
          <w:sz w:val="20"/>
          <w:szCs w:val="20"/>
          <w:color w:val="auto"/>
        </w:rPr>
      </w:pPr>
      <w:r>
        <w:rPr>
          <w:rFonts w:ascii="Arial" w:cs="Arial" w:eastAsia="Arial" w:hAnsi="Arial"/>
          <w:sz w:val="18"/>
          <w:szCs w:val="18"/>
          <w:color w:val="auto"/>
        </w:rPr>
        <w:t>The following is a summary of the Master Trust’s Net Assets, and the Plan’s divided interest in the Master Trust, as of December 31, 2015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Plan’s Percent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Master Trust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Participant-directed investments at fair value: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448,422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10,411</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1,389,991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Separate accounts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1,342,962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collective trusts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3,192,890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540,069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6,932,839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1,768</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6,934,607</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109,640</w:t>
            </w: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1400" w:type="dxa"/>
            <w:vAlign w:val="bottom"/>
            <w:gridSpan w:val="13"/>
          </w:tcPr>
          <w:p>
            <w:pPr>
              <w:ind w:left="420"/>
              <w:spacing w:after="0"/>
              <w:rPr>
                <w:sz w:val="20"/>
                <w:szCs w:val="20"/>
                <w:color w:val="auto"/>
              </w:rPr>
            </w:pPr>
            <w:r>
              <w:rPr>
                <w:rFonts w:ascii="Arial" w:cs="Arial" w:eastAsia="Arial" w:hAnsi="Arial"/>
                <w:sz w:val="18"/>
                <w:szCs w:val="18"/>
                <w:color w:val="auto"/>
                <w:w w:val="98"/>
              </w:rPr>
              <w:t>The following are the changes in net assets for the Master Trust as well as for the Plan’s interest in the Master Trust for 2015 (in thousands):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Master Trust investment income (loss):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60"/>
              <w:spacing w:after="0"/>
              <w:rPr>
                <w:sz w:val="20"/>
                <w:szCs w:val="20"/>
                <w:color w:val="auto"/>
              </w:rPr>
            </w:pPr>
            <w:r>
              <w:rPr>
                <w:rFonts w:ascii="Arial" w:cs="Arial" w:eastAsia="Arial" w:hAnsi="Arial"/>
                <w:sz w:val="18"/>
                <w:szCs w:val="18"/>
                <w:color w:val="auto"/>
              </w:rPr>
              <w:t>Net appreciation (depreciation) in fair value of investments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(92,613)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dividends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520"/>
              <w:spacing w:after="0"/>
              <w:rPr>
                <w:sz w:val="20"/>
                <w:szCs w:val="20"/>
                <w:color w:val="auto"/>
              </w:rPr>
            </w:pPr>
            <w:r>
              <w:rPr>
                <w:rFonts w:ascii="Arial" w:cs="Arial" w:eastAsia="Arial" w:hAnsi="Arial"/>
                <w:sz w:val="18"/>
                <w:szCs w:val="18"/>
                <w:color w:val="auto"/>
              </w:rPr>
              <w:t>Net investment income (loss)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Transfers in</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1,199,487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Transfers out</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639,206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INCREASE IN NET ASSETS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519,105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ASSETS: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of year</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6,415,502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 of year</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6,934,607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Plan’s interest in Master Trust net investment income</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Borders>
              <w:top w:val="single" w:sz="8" w:color="CCEEFF"/>
            </w:tcBorders>
            <w:gridSpan w:val="8"/>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80" w:type="dxa"/>
            <w:vAlign w:val="bottom"/>
            <w:gridSpan w:val="8"/>
            <w:shd w:val="clear" w:color="auto" w:fill="CCEEFF"/>
          </w:tcPr>
          <w:p>
            <w:pPr>
              <w:ind w:left="520"/>
              <w:spacing w:after="0" w:line="201" w:lineRule="exact"/>
              <w:rPr>
                <w:sz w:val="20"/>
                <w:szCs w:val="20"/>
                <w:color w:val="auto"/>
              </w:rPr>
            </w:pPr>
            <w:r>
              <w:rPr>
                <w:rFonts w:ascii="Arial" w:cs="Arial" w:eastAsia="Arial" w:hAnsi="Arial"/>
                <w:sz w:val="18"/>
                <w:szCs w:val="18"/>
                <w:color w:val="auto"/>
                <w:w w:val="92"/>
              </w:rPr>
              <w:t>For the period January 1, 2015 through January 14, 2015, the date upon which the Plan’s investments were transferred into the</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gridSpan w:val="8"/>
            <w:shd w:val="clear" w:color="auto" w:fill="CCEEFF"/>
          </w:tcPr>
          <w:p>
            <w:pPr>
              <w:ind w:left="700"/>
              <w:spacing w:after="0"/>
              <w:rPr>
                <w:sz w:val="20"/>
                <w:szCs w:val="20"/>
                <w:color w:val="auto"/>
              </w:rPr>
            </w:pPr>
            <w:r>
              <w:rPr>
                <w:rFonts w:ascii="Arial" w:cs="Arial" w:eastAsia="Arial" w:hAnsi="Arial"/>
                <w:sz w:val="18"/>
                <w:szCs w:val="18"/>
                <w:color w:val="auto"/>
                <w:w w:val="93"/>
              </w:rPr>
              <w:t>Master Trust, the Plan’s investments, including investments purchased and sold, as well as held depreciated in fair value as</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follows (in thousands):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COMCAST STABLE VALUE FUND</w:t>
      </w:r>
    </w:p>
    <w:p>
      <w:pPr>
        <w:spacing w:after="0" w:line="229" w:lineRule="exact"/>
        <w:rPr>
          <w:rFonts w:ascii="Arial" w:cs="Arial" w:eastAsia="Arial" w:hAnsi="Arial"/>
          <w:sz w:val="18"/>
          <w:szCs w:val="18"/>
          <w:b w:val="1"/>
          <w:bCs w:val="1"/>
          <w:color w:val="auto"/>
        </w:rPr>
      </w:pPr>
    </w:p>
    <w:p>
      <w:pPr>
        <w:ind w:left="44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ectPr>
          <w:pgSz w:w="11900" w:h="16838" w:orient="portrait"/>
          <w:cols w:equalWidth="0" w:num="1">
            <w:col w:w="11460"/>
          </w:cols>
          <w:pgMar w:left="240" w:top="125" w:right="199" w:bottom="0" w:gutter="0" w:footer="0" w:header="0"/>
        </w:sectPr>
      </w:pPr>
    </w:p>
    <w:bookmarkStart w:id="6" w:name="page7"/>
    <w:bookmarkEnd w:id="6"/>
    <w:p>
      <w:pPr>
        <w:ind w:left="440" w:right="40"/>
        <w:spacing w:after="0" w:line="277" w:lineRule="auto"/>
        <w:rPr>
          <w:sz w:val="20"/>
          <w:szCs w:val="20"/>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4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1</w:t>
      </w:r>
      <w:r>
        <w:rPr>
          <w:rFonts w:ascii="Arial" w:cs="Arial" w:eastAsia="Arial" w:hAnsi="Arial"/>
          <w:sz w:val="16"/>
          <w:szCs w:val="16"/>
          <w:color w:val="auto"/>
        </w:rPr>
        <w:t>Consists of financial instruments whose values are based on quoted market prices for identical financial instruments in an active market.</w:t>
      </w:r>
    </w:p>
    <w:p>
      <w:pPr>
        <w:spacing w:after="0" w:line="225" w:lineRule="exact"/>
        <w:rPr>
          <w:rFonts w:ascii="Arial" w:cs="Arial" w:eastAsia="Arial" w:hAnsi="Arial"/>
          <w:sz w:val="18"/>
          <w:szCs w:val="18"/>
          <w:b w:val="1"/>
          <w:bCs w:val="1"/>
          <w:color w:val="auto"/>
        </w:rPr>
      </w:pPr>
    </w:p>
    <w:p>
      <w:pPr>
        <w:ind w:left="1440" w:right="640" w:hanging="99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2Consists of financial instruments that are valued using models or other valuation methodologies. These models use inputs that are observable either directly or indirectly and include:</w:t>
      </w:r>
    </w:p>
    <w:p>
      <w:pPr>
        <w:spacing w:after="0" w:line="170" w:lineRule="exact"/>
        <w:rPr>
          <w:rFonts w:ascii="Arial" w:cs="Arial" w:eastAsia="Arial" w:hAnsi="Arial"/>
          <w:sz w:val="18"/>
          <w:szCs w:val="18"/>
          <w:b w:val="1"/>
          <w:bCs w:val="1"/>
          <w:color w:val="auto"/>
        </w:rPr>
      </w:pPr>
    </w:p>
    <w:p>
      <w:pPr>
        <w:ind w:left="1940" w:hanging="492"/>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940" w:hanging="492"/>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225" w:lineRule="exact"/>
        <w:rPr>
          <w:rFonts w:ascii="Arial" w:cs="Arial" w:eastAsia="Arial" w:hAnsi="Arial"/>
          <w:sz w:val="18"/>
          <w:szCs w:val="18"/>
          <w:color w:val="auto"/>
        </w:rPr>
      </w:pPr>
    </w:p>
    <w:p>
      <w:pPr>
        <w:ind w:left="1940" w:hanging="492"/>
        <w:spacing w:after="0"/>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 and</w:t>
      </w:r>
    </w:p>
    <w:p>
      <w:pPr>
        <w:spacing w:after="0" w:line="225" w:lineRule="exact"/>
        <w:rPr>
          <w:rFonts w:ascii="Arial" w:cs="Arial" w:eastAsia="Arial" w:hAnsi="Arial"/>
          <w:sz w:val="18"/>
          <w:szCs w:val="18"/>
          <w:color w:val="auto"/>
        </w:rPr>
      </w:pPr>
    </w:p>
    <w:p>
      <w:pPr>
        <w:ind w:left="1940" w:right="180" w:hanging="492"/>
        <w:spacing w:after="0" w:line="277" w:lineRule="auto"/>
        <w:tabs>
          <w:tab w:leader="none" w:pos="1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pacing w:after="0" w:line="170" w:lineRule="exact"/>
        <w:rPr>
          <w:sz w:val="20"/>
          <w:szCs w:val="20"/>
          <w:color w:val="auto"/>
        </w:rPr>
      </w:pPr>
    </w:p>
    <w:p>
      <w:pPr>
        <w:ind w:left="1440" w:right="480" w:hanging="998"/>
        <w:spacing w:after="0" w:line="264" w:lineRule="auto"/>
        <w:tabs>
          <w:tab w:leader="none" w:pos="14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480"/>
        <w:spacing w:after="0" w:line="342" w:lineRule="auto"/>
        <w:rPr>
          <w:sz w:val="20"/>
          <w:szCs w:val="20"/>
          <w:color w:val="auto"/>
        </w:rPr>
      </w:pPr>
      <w:r>
        <w:rPr>
          <w:rFonts w:ascii="Arial" w:cs="Arial" w:eastAsia="Arial" w:hAnsi="Arial"/>
          <w:sz w:val="16"/>
          <w:szCs w:val="16"/>
          <w:color w:val="auto"/>
        </w:rPr>
        <w:t>Mutual funds: Valued at the closing price of shares held by the Plan at year-end. The mutual funds held by the Plan are classified as Level 1 investments as their investment values are based on quoted market prices for identical financial instruments in an active market.</w:t>
      </w:r>
    </w:p>
    <w:p>
      <w:pPr>
        <w:spacing w:after="0" w:line="124" w:lineRule="exact"/>
        <w:rPr>
          <w:sz w:val="20"/>
          <w:szCs w:val="20"/>
          <w:color w:val="auto"/>
        </w:rPr>
      </w:pPr>
    </w:p>
    <w:p>
      <w:pPr>
        <w:ind w:left="880" w:right="700"/>
        <w:spacing w:after="0" w:line="277" w:lineRule="auto"/>
        <w:rPr>
          <w:sz w:val="20"/>
          <w:szCs w:val="20"/>
          <w:color w:val="auto"/>
        </w:rPr>
      </w:pPr>
      <w:r>
        <w:rPr>
          <w:rFonts w:ascii="Arial" w:cs="Arial" w:eastAsia="Arial" w:hAnsi="Arial"/>
          <w:sz w:val="18"/>
          <w:szCs w:val="18"/>
          <w:color w:val="auto"/>
        </w:rPr>
        <w:t>Common stock: Valued at the closing price reported on the last trading day of the Plan year on the active market on which the individual securities are traded, and accordingly are classified as Level 1 investments.</w:t>
      </w:r>
    </w:p>
    <w:p>
      <w:pPr>
        <w:spacing w:after="0" w:line="170" w:lineRule="exact"/>
        <w:rPr>
          <w:sz w:val="20"/>
          <w:szCs w:val="20"/>
          <w:color w:val="auto"/>
        </w:rPr>
      </w:pPr>
    </w:p>
    <w:p>
      <w:pPr>
        <w:ind w:left="880" w:right="220"/>
        <w:spacing w:after="0" w:line="264" w:lineRule="auto"/>
        <w:rPr>
          <w:sz w:val="20"/>
          <w:szCs w:val="20"/>
          <w:color w:val="auto"/>
        </w:rPr>
      </w:pPr>
      <w:r>
        <w:rPr>
          <w:rFonts w:ascii="Arial" w:cs="Arial" w:eastAsia="Arial" w:hAnsi="Arial"/>
          <w:sz w:val="18"/>
          <w:szCs w:val="18"/>
          <w:color w:val="auto"/>
        </w:rPr>
        <w:t>Separate accounts, common collective trusts, and money market funds: Valued at the net asset value of shares held by the Plan at year-end. The net asset value as provided by the Trustee is used as a practical expedient to estimate fair value and as a result both are included in the investments measured at net asset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240"/>
        <w:spacing w:after="0" w:line="279" w:lineRule="auto"/>
        <w:rPr>
          <w:sz w:val="20"/>
          <w:szCs w:val="20"/>
          <w:color w:val="auto"/>
        </w:rPr>
      </w:pPr>
      <w:r>
        <w:rPr>
          <w:rFonts w:ascii="Arial" w:cs="Arial" w:eastAsia="Arial" w:hAnsi="Arial"/>
          <w:sz w:val="17"/>
          <w:szCs w:val="17"/>
          <w:color w:val="auto"/>
        </w:rPr>
        <w:t>The methods described above may produce a calculated fair value that may not be indicative of net realizable value or reflective of future fair values. Furthermore, while the Plan believes these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at December 31, 2015 and 2014.</w:t>
      </w:r>
    </w:p>
    <w:p>
      <w:pPr>
        <w:spacing w:after="0" w:line="17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2015 and 2014, there were no transfers between levels.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2015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64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4,554,357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by level, within the fair value hierarchy, the Plan’s assets at fair value as of December 31, 2014 (in thousands):</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p>
      <w:pPr>
        <w:ind w:left="5460"/>
        <w:spacing w:after="0"/>
        <w:tabs>
          <w:tab w:leader="none" w:pos="7120" w:val="left"/>
          <w:tab w:leader="none" w:pos="8760" w:val="left"/>
          <w:tab w:leader="none" w:pos="10460" w:val="left"/>
        </w:tabs>
        <w:rPr>
          <w:sz w:val="20"/>
          <w:szCs w:val="20"/>
          <w:color w:val="auto"/>
        </w:rPr>
      </w:pPr>
      <w:r>
        <w:rPr>
          <w:rFonts w:ascii="Arial" w:cs="Arial" w:eastAsia="Arial" w:hAnsi="Arial"/>
          <w:sz w:val="14"/>
          <w:szCs w:val="14"/>
          <w:b w:val="1"/>
          <w:bCs w:val="1"/>
          <w:color w:val="auto"/>
        </w:rPr>
        <w:t>Level 1</w:t>
      </w:r>
      <w:r>
        <w:rPr>
          <w:sz w:val="20"/>
          <w:szCs w:val="20"/>
          <w:color w:val="auto"/>
        </w:rPr>
        <w:tab/>
      </w:r>
      <w:r>
        <w:rPr>
          <w:rFonts w:ascii="Arial" w:cs="Arial" w:eastAsia="Arial" w:hAnsi="Arial"/>
          <w:sz w:val="14"/>
          <w:szCs w:val="14"/>
          <w:b w:val="1"/>
          <w:bCs w:val="1"/>
          <w:color w:val="auto"/>
        </w:rPr>
        <w:t>Level 2</w:t>
      </w:r>
      <w:r>
        <w:rPr>
          <w:sz w:val="20"/>
          <w:szCs w:val="20"/>
          <w:color w:val="auto"/>
        </w:rPr>
        <w:tab/>
      </w:r>
      <w:r>
        <w:rPr>
          <w:rFonts w:ascii="Arial" w:cs="Arial" w:eastAsia="Arial" w:hAnsi="Arial"/>
          <w:sz w:val="14"/>
          <w:szCs w:val="14"/>
          <w:b w:val="1"/>
          <w:bCs w:val="1"/>
          <w:color w:val="auto"/>
        </w:rPr>
        <w:t>Level 3</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6350</wp:posOffset>
            </wp:positionV>
            <wp:extent cx="4013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92,975</w:t>
            </w:r>
          </w:p>
        </w:tc>
        <w:tc>
          <w:tcPr>
            <w:tcW w:w="13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92,975</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92,975</w:t>
            </w:r>
          </w:p>
        </w:tc>
        <w:tc>
          <w:tcPr>
            <w:tcW w:w="138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1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Certain investments that were measured at net asset value per share (or its equivalent) have not been classified in the fair value hierarchy.</w:t>
      </w:r>
    </w:p>
    <w:p>
      <w:pPr>
        <w:spacing w:after="0" w:line="236" w:lineRule="exact"/>
        <w:rPr>
          <w:rFonts w:ascii="Arial" w:cs="Arial" w:eastAsia="Arial" w:hAnsi="Arial"/>
          <w:sz w:val="17"/>
          <w:szCs w:val="17"/>
          <w:b w:val="1"/>
          <w:bCs w:val="1"/>
          <w:color w:val="auto"/>
        </w:rPr>
      </w:pPr>
    </w:p>
    <w:p>
      <w:pPr>
        <w:ind w:left="5660"/>
        <w:spacing w:after="0"/>
        <w:rPr>
          <w:rFonts w:ascii="Arial" w:cs="Arial" w:eastAsia="Arial" w:hAnsi="Arial"/>
          <w:sz w:val="17"/>
          <w:szCs w:val="17"/>
          <w:b w:val="1"/>
          <w:bCs w:val="1"/>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pacing w:after="0" w:line="229" w:lineRule="exact"/>
        <w:rPr>
          <w:rFonts w:ascii="Arial" w:cs="Arial" w:eastAsia="Arial" w:hAnsi="Arial"/>
          <w:sz w:val="18"/>
          <w:szCs w:val="18"/>
          <w:b w:val="1"/>
          <w:bCs w:val="1"/>
          <w:color w:val="auto"/>
        </w:rPr>
      </w:pPr>
    </w:p>
    <w:p>
      <w:pPr>
        <w:ind w:left="44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Sponsor in accordance with applicable regulations issued by the IRS and the Department of Labor (“DOL”). In general, a participant may borrow a minimum of $500 up to a maximum of the lesser of $50,000 or 50% of the participant’s non-forfeitable accrued benefit on the valuation date (as defined by the Plan) last preceding the date on which the loan request is processed by the Plan Sponsor. The maximum term of a loan made pursuant to the Plan is five years (loans with terms of greater than five years are permissible for the purchase of a primary residence or may exist under the Plan as a result of rollovers from merged plans).</w:t>
      </w:r>
    </w:p>
    <w:p>
      <w:pPr>
        <w:spacing w:after="0" w:line="158" w:lineRule="exact"/>
        <w:rPr>
          <w:rFonts w:ascii="Arial" w:cs="Arial" w:eastAsia="Arial" w:hAnsi="Arial"/>
          <w:sz w:val="18"/>
          <w:szCs w:val="18"/>
          <w:b w:val="1"/>
          <w:bCs w:val="1"/>
          <w:color w:val="auto"/>
        </w:rPr>
      </w:pPr>
    </w:p>
    <w:p>
      <w:pPr>
        <w:ind w:left="4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 initiated payments. Interest rates ranged from 4.25% to 9.75% as of December 31, 2015. Maturities on outstanding loans ranged from 2016 to 2044 as of December 31, 2015. Loan transactions are treated as a transfer between the investment fund and notes receivable from participants.</w:t>
      </w:r>
    </w:p>
    <w:p>
      <w:pPr>
        <w:spacing w:after="0" w:line="146" w:lineRule="exact"/>
        <w:rPr>
          <w:rFonts w:ascii="Arial" w:cs="Arial" w:eastAsia="Arial" w:hAnsi="Arial"/>
          <w:sz w:val="18"/>
          <w:szCs w:val="18"/>
          <w:b w:val="1"/>
          <w:bCs w:val="1"/>
          <w:color w:val="auto"/>
        </w:rPr>
      </w:pPr>
    </w:p>
    <w:p>
      <w:pPr>
        <w:ind w:left="4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rFonts w:ascii="Arial" w:cs="Arial" w:eastAsia="Arial" w:hAnsi="Arial"/>
          <w:sz w:val="18"/>
          <w:szCs w:val="18"/>
          <w:b w:val="1"/>
          <w:bCs w:val="1"/>
          <w:color w:val="auto"/>
        </w:rPr>
      </w:pPr>
    </w:p>
    <w:p>
      <w:pPr>
        <w:ind w:left="4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participant may withdraw all or a portion of his/her benefits derived from salary reduction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2"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2015 and 2014 and the increase in net assets available for benefits per the financial statements to the net income per the Form 5500 for the year ended December 31, 2015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111,993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per the Form 5500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net assets per the Form 5500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107,527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w w:val="99"/>
              </w:rPr>
              <w:t>Adjustment from contract value to fair value for fully benefit-responsive investment contracts—December 31, 2015</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Prior year accrued interest on notes receivable from participants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year accrued interest on notes receivable from participants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Net income per Form 5500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4,547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jc w:val="right"/>
              <w:ind w:right="3150"/>
              <w:spacing w:after="0"/>
              <w:rPr>
                <w:sz w:val="20"/>
                <w:szCs w:val="20"/>
                <w:color w:val="auto"/>
              </w:rPr>
            </w:pPr>
            <w:r>
              <w:rPr>
                <w:rFonts w:ascii="Arial" w:cs="Arial" w:eastAsia="Arial" w:hAnsi="Arial"/>
                <w:sz w:val="18"/>
                <w:szCs w:val="18"/>
                <w:color w:val="auto"/>
              </w:rPr>
              <w:t>10</w:t>
            </w: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0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Comcast Investment Committee, as Plan Administrator, has the authority to control and manage the operation and administration of the Plan and may delegate all or a portion of these responsibilities to one or more persons.</w:t>
      </w:r>
    </w:p>
    <w:p>
      <w:pPr>
        <w:sectPr>
          <w:pgSz w:w="11900" w:h="16838" w:orient="portrait"/>
          <w:cols w:equalWidth="0" w:num="1">
            <w:col w:w="11460"/>
          </w:cols>
          <w:pgMar w:left="240" w:top="356" w:right="199" w:bottom="0" w:gutter="0" w:footer="0" w:header="0"/>
        </w:sectPr>
      </w:pPr>
    </w:p>
    <w:bookmarkStart w:id="8" w:name="page9"/>
    <w:bookmarkEnd w:id="8"/>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60"/>
        <w:spacing w:after="0" w:line="340" w:lineRule="auto"/>
        <w:rPr>
          <w:rFonts w:ascii="Arial" w:cs="Arial" w:eastAsia="Arial" w:hAnsi="Arial"/>
          <w:sz w:val="18"/>
          <w:szCs w:val="18"/>
          <w:b w:val="1"/>
          <w:bCs w:val="1"/>
          <w:color w:val="auto"/>
        </w:rPr>
      </w:pPr>
      <w:r>
        <w:rPr>
          <w:rFonts w:ascii="Arial" w:cs="Arial" w:eastAsia="Arial" w:hAnsi="Arial"/>
          <w:sz w:val="15"/>
          <w:szCs w:val="15"/>
          <w:color w:val="auto"/>
        </w:rPr>
        <w:t>The Plan allows for transactions with certain parties who may perform services or have fiduciary responsibilities to the Plan, including the Company. Certain Plan investments are shares of various mutual funds that are owned and managed by the Trustee, who has been designated investment manager. The Plan invests in Comcast common stock and issues loans to participants, which are secured by the vested balances in the participants’ accounts.</w:t>
      </w:r>
    </w:p>
    <w:p>
      <w:pPr>
        <w:spacing w:after="0" w:line="127"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3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Although no participating employer has expressed any intent to do so, each participating employer has the right under the Plan to discontinue its contributions and to terminate the Plan, with respect to its eligible employees, subject to the provisions of ERISA. Additionally, Comcast-Spectacor, L.P. has the right to terminate the Plan. In the event of Plan termination, participants will become 100% vested in their accounts.</w:t>
      </w:r>
    </w:p>
    <w:p>
      <w:pPr>
        <w:spacing w:after="0" w:line="161"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jc w:val="both"/>
        <w:ind w:left="1440" w:right="100" w:hanging="441"/>
        <w:spacing w:after="0" w:line="297" w:lineRule="auto"/>
        <w:tabs>
          <w:tab w:leader="none" w:pos="1430"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Income Tax Status of the Plan</w:t>
      </w:r>
      <w:r>
        <w:rPr>
          <w:rFonts w:ascii="Arial" w:cs="Arial" w:eastAsia="Arial" w:hAnsi="Arial"/>
          <w:sz w:val="16"/>
          <w:szCs w:val="16"/>
          <w:color w:val="auto"/>
        </w:rPr>
        <w:t>—The IRS made a favorable determination on the Plan through a letter dated July 8, 2013 stating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is qualified under Section 401(a) of the Code subject to the adoption of an amendment which was adopted on July 18, 2013 and was effective on various dates, the earliest being January 1, 2002. As a result, the Plan remains exempt from taxation. The Plan is required to operate in conformity with the Code to maintain its qualified status. The Plan Sponsor believes the Plan is being operated in compliance with the applicable requirements of the Code and no provision for income taxes has been included in the Plan’s financial statements.</w:t>
      </w:r>
    </w:p>
    <w:p>
      <w:pPr>
        <w:spacing w:after="0" w:line="158" w:lineRule="exact"/>
        <w:rPr>
          <w:rFonts w:ascii="Arial" w:cs="Arial" w:eastAsia="Arial" w:hAnsi="Arial"/>
          <w:sz w:val="16"/>
          <w:szCs w:val="16"/>
          <w:color w:val="auto"/>
        </w:rPr>
      </w:pPr>
    </w:p>
    <w:p>
      <w:pPr>
        <w:jc w:val="both"/>
        <w:ind w:left="1440" w:right="680" w:hanging="441"/>
        <w:spacing w:after="0" w:line="264" w:lineRule="auto"/>
        <w:tabs>
          <w:tab w:leader="none" w:pos="1444" w:val="left"/>
        </w:tabs>
        <w:numPr>
          <w:ilvl w:val="1"/>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—Employer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120" w:hanging="441"/>
        <w:spacing w:after="0" w:line="342" w:lineRule="auto"/>
        <w:tabs>
          <w:tab w:leader="none" w:pos="1448"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Sponsor believes it is no longer subject to income tax examinations for years prior to 2012.</w:t>
      </w:r>
    </w:p>
    <w:p>
      <w:pPr>
        <w:spacing w:after="0" w:line="119" w:lineRule="exact"/>
        <w:rPr>
          <w:rFonts w:ascii="Arial" w:cs="Arial" w:eastAsia="Arial" w:hAnsi="Arial"/>
          <w:sz w:val="16"/>
          <w:szCs w:val="16"/>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NON EXEMPT PARTY-IN-INTEREST TRANSACTIONS</w:t>
      </w:r>
    </w:p>
    <w:p>
      <w:pPr>
        <w:spacing w:after="0" w:line="229" w:lineRule="exact"/>
        <w:rPr>
          <w:rFonts w:ascii="Arial" w:cs="Arial" w:eastAsia="Arial" w:hAnsi="Arial"/>
          <w:sz w:val="18"/>
          <w:szCs w:val="18"/>
          <w:b w:val="1"/>
          <w:bCs w:val="1"/>
          <w:color w:val="auto"/>
        </w:rPr>
      </w:pPr>
    </w:p>
    <w:p>
      <w:pPr>
        <w:jc w:val="both"/>
        <w:ind w:left="4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Plan years 2015, 2014, 2013, 2012 and 2011 the Company has not remitted certain participant contributions and loan repayments to the Trustee in a timely manner based on when the participant contributions and loan repayments were withheld from participant paychecks as required under DOL Regulation §2510.3-102.</w:t>
      </w:r>
    </w:p>
    <w:p>
      <w:pPr>
        <w:spacing w:after="0" w:line="181" w:lineRule="exact"/>
        <w:rPr>
          <w:rFonts w:ascii="Arial" w:cs="Arial" w:eastAsia="Arial" w:hAnsi="Arial"/>
          <w:sz w:val="18"/>
          <w:szCs w:val="18"/>
          <w:b w:val="1"/>
          <w:bCs w:val="1"/>
          <w:color w:val="auto"/>
        </w:rPr>
      </w:pPr>
    </w:p>
    <w:p>
      <w:pPr>
        <w:ind w:left="440" w:right="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January 8, 2016, the Company filed IRS Form 5330 to report and pay an excise tax with respect to the plan years 2015, 2014, 2013, 2012, and 2011 late remittances as required pursuant to Section 4975 of the Code. In addition, the Company submitted an application under the Voluntary Fiduciary Correction Program with the DOL and participant accounts were credited with the amount of investment income that would have been earned had the participant contributions been remitted on a timely basis. Such amounts are not material to the Plan’s financial statements.</w:t>
      </w:r>
    </w:p>
    <w:p>
      <w:pPr>
        <w:spacing w:after="0" w:line="150" w:lineRule="exact"/>
        <w:rPr>
          <w:rFonts w:ascii="Arial" w:cs="Arial" w:eastAsia="Arial" w:hAnsi="Arial"/>
          <w:sz w:val="18"/>
          <w:szCs w:val="18"/>
          <w:b w:val="1"/>
          <w:bCs w:val="1"/>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On April 1, 2016, the Ovations Food Services, LP 401k Plan and the Ovations Fanfare 401k Plan became participating companies in the Plan and the related assets were transferred into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H—PART IV, LINE 4i—SCHEDULE OF ASSETS (HELD AT END OF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FEIN #23-2303756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92"/>
              </w:rPr>
              <w:t>(c) Description of</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gridSpan w:val="3"/>
          </w:tcPr>
          <w:p>
            <w:pPr>
              <w:jc w:val="center"/>
              <w:ind w:right="359"/>
              <w:spacing w:after="0" w:line="149" w:lineRule="exact"/>
              <w:rPr>
                <w:sz w:val="20"/>
                <w:szCs w:val="20"/>
                <w:color w:val="auto"/>
              </w:rPr>
            </w:pPr>
            <w:r>
              <w:rPr>
                <w:rFonts w:ascii="Arial" w:cs="Arial" w:eastAsia="Arial" w:hAnsi="Arial"/>
                <w:sz w:val="14"/>
                <w:szCs w:val="14"/>
                <w:b w:val="1"/>
                <w:bCs w:val="1"/>
                <w:color w:val="auto"/>
                <w:w w:val="92"/>
              </w:rPr>
              <w:t>Investment,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gridSpan w:val="3"/>
          </w:tcPr>
          <w:p>
            <w:pPr>
              <w:jc w:val="center"/>
              <w:ind w:right="379"/>
              <w:spacing w:after="0" w:line="149" w:lineRule="exact"/>
              <w:rPr>
                <w:sz w:val="20"/>
                <w:szCs w:val="20"/>
                <w:color w:val="auto"/>
              </w:rPr>
            </w:pPr>
            <w:r>
              <w:rPr>
                <w:rFonts w:ascii="Arial" w:cs="Arial" w:eastAsia="Arial" w:hAnsi="Arial"/>
                <w:sz w:val="14"/>
                <w:szCs w:val="14"/>
                <w:b w:val="1"/>
                <w:bCs w:val="1"/>
                <w:color w:val="auto"/>
                <w:w w:val="97"/>
              </w:rPr>
              <w:t>Including Maturity Date,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gridSpan w:val="3"/>
          </w:tcPr>
          <w:p>
            <w:pPr>
              <w:jc w:val="center"/>
              <w:ind w:right="359"/>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(e) Current</w:t>
            </w:r>
          </w:p>
        </w:tc>
        <w:tc>
          <w:tcPr>
            <w:tcW w:w="0" w:type="dxa"/>
            <w:vAlign w:val="bottom"/>
          </w:tcPr>
          <w:p>
            <w:pPr>
              <w:spacing w:after="0"/>
              <w:rPr>
                <w:sz w:val="1"/>
                <w:szCs w:val="1"/>
                <w:color w:val="auto"/>
              </w:rPr>
            </w:pPr>
          </w:p>
        </w:tc>
      </w:tr>
      <w:tr>
        <w:trPr>
          <w:trHeight w:val="149"/>
        </w:trPr>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2"/>
                <w:szCs w:val="12"/>
                <w:color w:val="auto"/>
              </w:rPr>
            </w:pPr>
          </w:p>
        </w:tc>
        <w:tc>
          <w:tcPr>
            <w:tcW w:w="616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280" w:type="dxa"/>
            <w:vAlign w:val="bottom"/>
            <w:gridSpan w:val="3"/>
          </w:tcPr>
          <w:p>
            <w:pPr>
              <w:jc w:val="center"/>
              <w:ind w:right="379"/>
              <w:spacing w:after="0" w:line="149" w:lineRule="exact"/>
              <w:rPr>
                <w:sz w:val="20"/>
                <w:szCs w:val="20"/>
                <w:color w:val="auto"/>
              </w:rPr>
            </w:pPr>
            <w:r>
              <w:rPr>
                <w:rFonts w:ascii="Arial" w:cs="Arial" w:eastAsia="Arial" w:hAnsi="Arial"/>
                <w:sz w:val="14"/>
                <w:szCs w:val="14"/>
                <w:b w:val="1"/>
                <w:bCs w:val="1"/>
                <w:color w:val="auto"/>
                <w:w w:val="94"/>
              </w:rPr>
              <w:t>Par, or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160" w:type="dxa"/>
            <w:vAlign w:val="bottom"/>
            <w:gridSpan w:val="2"/>
            <w:vMerge w:val="continue"/>
          </w:tcPr>
          <w:p>
            <w:pPr>
              <w:spacing w:after="0"/>
              <w:rPr>
                <w:sz w:val="14"/>
                <w:szCs w:val="14"/>
                <w:color w:val="auto"/>
              </w:rPr>
            </w:pPr>
          </w:p>
        </w:tc>
        <w:tc>
          <w:tcPr>
            <w:tcW w:w="3280" w:type="dxa"/>
            <w:vAlign w:val="bottom"/>
            <w:gridSpan w:val="3"/>
          </w:tcPr>
          <w:p>
            <w:pPr>
              <w:jc w:val="center"/>
              <w:ind w:right="379"/>
              <w:spacing w:after="0"/>
              <w:rPr>
                <w:sz w:val="20"/>
                <w:szCs w:val="20"/>
                <w:color w:val="auto"/>
              </w:rPr>
            </w:pPr>
            <w:r>
              <w:rPr>
                <w:rFonts w:ascii="Arial" w:cs="Arial" w:eastAsia="Arial" w:hAnsi="Arial"/>
                <w:sz w:val="14"/>
                <w:szCs w:val="14"/>
                <w:b w:val="1"/>
                <w:bCs w:val="1"/>
                <w:color w:val="auto"/>
                <w:w w:val="98"/>
              </w:rPr>
              <w:t>Maturity Value</w:t>
            </w: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Interest in Comcast Corporation Employee Savings Plans Master Trust</w:t>
            </w:r>
          </w:p>
        </w:tc>
        <w:tc>
          <w:tcPr>
            <w:tcW w:w="32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6460" w:type="dxa"/>
            <w:vAlign w:val="bottom"/>
            <w:gridSpan w:val="3"/>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Notes receivable from participants (principal balance plus accrued but unpaid</w:t>
            </w:r>
          </w:p>
        </w:tc>
        <w:tc>
          <w:tcPr>
            <w:tcW w:w="3280" w:type="dxa"/>
            <w:vAlign w:val="bottom"/>
            <w:gridSpan w:val="3"/>
            <w:shd w:val="clear" w:color="auto" w:fill="CCEEFF"/>
          </w:tcPr>
          <w:p>
            <w:pPr>
              <w:jc w:val="center"/>
              <w:ind w:right="379"/>
              <w:spacing w:after="0" w:line="201" w:lineRule="exact"/>
              <w:rPr>
                <w:sz w:val="20"/>
                <w:szCs w:val="20"/>
                <w:color w:val="auto"/>
              </w:rPr>
            </w:pPr>
            <w:r>
              <w:rPr>
                <w:rFonts w:ascii="Arial" w:cs="Arial" w:eastAsia="Arial" w:hAnsi="Arial"/>
                <w:sz w:val="18"/>
                <w:szCs w:val="18"/>
                <w:color w:val="auto"/>
                <w:w w:val="91"/>
              </w:rPr>
              <w:t>Interest rates from 4.25% - 9.75%;</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interest)</w:t>
            </w:r>
          </w:p>
        </w:tc>
        <w:tc>
          <w:tcPr>
            <w:tcW w:w="3280" w:type="dxa"/>
            <w:vAlign w:val="bottom"/>
            <w:gridSpan w:val="3"/>
            <w:shd w:val="clear" w:color="auto" w:fill="CCEEFF"/>
          </w:tcPr>
          <w:p>
            <w:pPr>
              <w:jc w:val="center"/>
              <w:ind w:right="379"/>
              <w:spacing w:after="0"/>
              <w:rPr>
                <w:sz w:val="20"/>
                <w:szCs w:val="20"/>
                <w:color w:val="auto"/>
              </w:rPr>
            </w:pPr>
            <w:r>
              <w:rPr>
                <w:rFonts w:ascii="Arial" w:cs="Arial" w:eastAsia="Arial" w:hAnsi="Arial"/>
                <w:sz w:val="18"/>
                <w:szCs w:val="18"/>
                <w:color w:val="auto"/>
                <w:w w:val="91"/>
              </w:rPr>
              <w:t>maturities from 2016 to 2044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ectPr>
          <w:pgSz w:w="11900" w:h="16838" w:orient="portrait"/>
          <w:cols w:equalWidth="0" w:num="1">
            <w:col w:w="11420"/>
          </w:cols>
          <w:pgMar w:left="240" w:top="121" w:right="239" w:bottom="82"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82"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COMCAST-SPECTACOR 401(k) PLAN</w:t>
      </w:r>
    </w:p>
    <w:p>
      <w:pPr>
        <w:spacing w:after="0" w:line="27"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b w:val="1"/>
          <w:bCs w:val="1"/>
          <w:color w:val="auto"/>
        </w:rPr>
        <w:t>FORM 5500, SCHEDULE H—PART IV—LINE 4a—SCHEDULE OF DELINQUENT PARTICIPANT CONTRIBUTIONS FOR THE YEARS ENDED DECEMBER 31, 2015, 2014, 2013, 2012 and 2011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FEIN #23-2303756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#004</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gridSpan w:val="5"/>
          </w:tcPr>
          <w:p>
            <w:pPr>
              <w:ind w:left="20"/>
              <w:spacing w:after="0"/>
              <w:rPr>
                <w:sz w:val="20"/>
                <w:szCs w:val="20"/>
                <w:color w:val="auto"/>
              </w:rPr>
            </w:pPr>
            <w:r>
              <w:rPr>
                <w:rFonts w:ascii="Arial" w:cs="Arial" w:eastAsia="Arial" w:hAnsi="Arial"/>
                <w:sz w:val="14"/>
                <w:szCs w:val="14"/>
                <w:b w:val="1"/>
                <w:bCs w:val="1"/>
                <w:color w:val="auto"/>
              </w:rPr>
              <w:t>Total that Constitute Nonexempt Prohibited</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Transactions</w:t>
            </w:r>
          </w:p>
        </w:tc>
        <w:tc>
          <w:tcPr>
            <w:tcW w:w="1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3"/>
              </w:rPr>
              <w:t>Contributions</w:t>
            </w:r>
          </w:p>
        </w:tc>
        <w:tc>
          <w:tcPr>
            <w:tcW w:w="14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Contributions</w:t>
            </w:r>
          </w:p>
        </w:tc>
        <w:tc>
          <w:tcPr>
            <w:tcW w:w="1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Total Fully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Contributions</w:t>
            </w:r>
          </w:p>
        </w:tc>
        <w:tc>
          <w:tcPr>
            <w:tcW w:w="12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Pending</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Corrected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Corrected</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Correction</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VFCP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Not Corrected</w:t>
            </w:r>
          </w:p>
        </w:tc>
        <w:tc>
          <w:tcPr>
            <w:tcW w:w="120" w:type="dxa"/>
            <w:vAlign w:val="bottom"/>
          </w:tcPr>
          <w:p>
            <w:pPr>
              <w:spacing w:after="0"/>
              <w:rPr>
                <w:sz w:val="14"/>
                <w:szCs w:val="14"/>
                <w:color w:val="auto"/>
              </w:rPr>
            </w:pPr>
          </w:p>
        </w:tc>
        <w:tc>
          <w:tcPr>
            <w:tcW w:w="17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6"/>
              </w:rPr>
              <w:t>Outside VFCP</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in VFCP</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PTE 2002-51*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Participant Contributions</w:t>
            </w:r>
          </w:p>
        </w:tc>
        <w:tc>
          <w:tcPr>
            <w:tcW w:w="10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44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Contributions</w:t>
            </w:r>
          </w:p>
        </w:tc>
        <w:tc>
          <w:tcPr>
            <w:tcW w:w="1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244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Contributions</w:t>
            </w:r>
          </w:p>
        </w:tc>
        <w:tc>
          <w:tcPr>
            <w:tcW w:w="1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244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Contributions</w:t>
            </w:r>
          </w:p>
        </w:tc>
        <w:tc>
          <w:tcPr>
            <w:tcW w:w="1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244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Participant Contributions</w:t>
            </w:r>
          </w:p>
        </w:tc>
        <w:tc>
          <w:tcPr>
            <w:tcW w:w="10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Transferred Late to Plan for year ended</w:t>
            </w: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2440" w:type="dxa"/>
            <w:vAlign w:val="bottom"/>
            <w:gridSpan w:val="2"/>
            <w:shd w:val="clear" w:color="auto" w:fill="CCEEFF"/>
          </w:tcPr>
          <w:p>
            <w:pPr>
              <w:jc w:val="right"/>
              <w:ind w:right="120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360" w:type="dxa"/>
            <w:vAlign w:val="bottom"/>
            <w:shd w:val="clear" w:color="auto" w:fill="CCEEFF"/>
          </w:tcPr>
          <w:p>
            <w:pPr>
              <w:jc w:val="right"/>
              <w:ind w:right="117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Prohibited Transaction Exemption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consent to the incorporation by reference in Registration Statement No. 333-101295 of Comcast Corporation on Form S-8 of our report dated June 16, 2016, relating to the financial statements and supplemental schedules of the Comcast-Spectacor 401(k) Plan, appearing in this Annual Report on Form 11-K of the Comcast-Spectacor 401(k) Plan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COMCAST-SPECTACOR</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401(k) PLAN</w:t>
      </w:r>
    </w:p>
    <w:p>
      <w:pPr>
        <w:spacing w:after="0" w:line="211" w:lineRule="exact"/>
        <w:rPr>
          <w:sz w:val="20"/>
          <w:szCs w:val="20"/>
          <w:color w:val="auto"/>
        </w:rPr>
      </w:pPr>
    </w:p>
    <w:p>
      <w:pPr>
        <w:ind w:left="5860"/>
        <w:spacing w:after="0"/>
        <w:tabs>
          <w:tab w:leader="none" w:pos="6360" w:val="left"/>
        </w:tabs>
        <w:rPr>
          <w:sz w:val="20"/>
          <w:szCs w:val="20"/>
          <w:color w:val="auto"/>
        </w:rPr>
      </w:pPr>
      <w:r>
        <w:rPr>
          <w:rFonts w:ascii="Arial" w:cs="Arial" w:eastAsia="Arial" w:hAnsi="Arial"/>
          <w:sz w:val="18"/>
          <w:szCs w:val="18"/>
          <w:color w:val="auto"/>
        </w:rPr>
        <w:t>By:</w:t>
        <w:tab/>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2016</w:t>
      </w:r>
    </w:p>
    <w:p>
      <w:pPr>
        <w:spacing w:after="0" w:line="9" w:lineRule="exact"/>
        <w:rPr>
          <w:sz w:val="20"/>
          <w:szCs w:val="20"/>
          <w:color w:val="auto"/>
        </w:rPr>
      </w:pPr>
    </w:p>
    <w:p>
      <w:pPr>
        <w:ind w:left="5860"/>
        <w:spacing w:after="0"/>
        <w:tabs>
          <w:tab w:leader="none" w:pos="6360" w:val="left"/>
        </w:tabs>
        <w:rPr>
          <w:sz w:val="20"/>
          <w:szCs w:val="20"/>
          <w:color w:val="auto"/>
        </w:rPr>
      </w:pPr>
      <w:r>
        <w:rPr>
          <w:rFonts w:ascii="Arial" w:cs="Arial" w:eastAsia="Arial" w:hAnsi="Arial"/>
          <w:sz w:val="18"/>
          <w:szCs w:val="18"/>
          <w:color w:val="auto"/>
        </w:rPr>
        <w:t>By:</w:t>
        <w:tab/>
        <w:t>/s/ Lawrence J. Salva</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Executive Vice President and Chief Accounting Officer</w:t>
      </w:r>
    </w:p>
    <w:p>
      <w:pPr>
        <w:sectPr>
          <w:pgSz w:w="11900" w:h="16838" w:orient="portrait"/>
          <w:cols w:equalWidth="0" w:num="1">
            <w:col w:w="11420"/>
          </w:cols>
          <w:pgMar w:left="240" w:top="368" w:right="239" w:bottom="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368" w:right="239" w:bottom="0" w:gutter="0" w:footer="0" w:header="0"/>
          <w:type w:val="continuous"/>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107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4"/>
    </w:lvl>
  </w:abstractNum>
  <w:abstractNum w:abstractNumId="7">
    <w:nsid w:val="4DB127F8"/>
    <w:multiLevelType w:val="hybridMultilevel"/>
    <w:lvl w:ilvl="0">
      <w:lvlJc w:val="left"/>
      <w:lvlText w:val="%1."/>
      <w:numFmt w:val="decimal"/>
      <w:start w:val="5"/>
    </w:lvl>
    <w:lvl w:ilvl="1">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decimal"/>
      <w:start w:val="6"/>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2019-12-07T15:10:58Z</dcterms:created>
  <dcterms:modified xsi:type="dcterms:W3CDTF">2019-12-07T15:10:58Z</dcterms:modified>
</cp:coreProperties>
</file>