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4,855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33,691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2,597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60.14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31,094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06/30/2015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4,855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3,595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 connection with the termination of the Registrant's transaction with Time Warner Cable, a portion of the award vested and the remainder (14,565 restricted stock units) was cancelled.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07/02/2015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2019-12-08T00:52:13Z</dcterms:created>
  <dcterms:modified xsi:type="dcterms:W3CDTF">2019-12-08T00:52:13Z</dcterms:modified>
</cp:coreProperties>
</file>