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71"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As filed with the Securities and Exchange Commission on December 16, 2002</w:t>
      </w:r>
    </w:p>
    <w:p>
      <w:pPr>
        <w:jc w:val="right"/>
        <w:ind w:right="4620"/>
        <w:spacing w:after="0" w:line="237" w:lineRule="auto"/>
        <w:rPr>
          <w:sz w:val="20"/>
          <w:szCs w:val="20"/>
          <w:color w:val="auto"/>
        </w:rPr>
      </w:pPr>
      <w:r>
        <w:rPr>
          <w:rFonts w:ascii="Courier New" w:cs="Courier New" w:eastAsia="Courier New" w:hAnsi="Courier New"/>
          <w:sz w:val="15"/>
          <w:szCs w:val="15"/>
          <w:color w:val="auto"/>
        </w:rPr>
        <w:t>Registration No. 333-_______</w:t>
      </w:r>
    </w:p>
    <w:p>
      <w:pPr>
        <w:spacing w:after="0" w:line="5" w:lineRule="exact"/>
        <w:rPr>
          <w:sz w:val="24"/>
          <w:szCs w:val="24"/>
          <w:color w:val="auto"/>
        </w:rPr>
      </w:pPr>
    </w:p>
    <w:p>
      <w:pPr>
        <w:jc w:val="right"/>
        <w:ind w:right="4620"/>
        <w:spacing w:after="0"/>
        <w:rPr>
          <w:sz w:val="20"/>
          <w:szCs w:val="20"/>
          <w:color w:val="auto"/>
        </w:rPr>
      </w:pPr>
      <w:r>
        <w:rPr>
          <w:rFonts w:ascii="Courier New" w:cs="Courier New" w:eastAsia="Courier New" w:hAnsi="Courier New"/>
          <w:sz w:val="14"/>
          <w:szCs w:val="14"/>
          <w:color w:val="auto"/>
        </w:rPr>
        <w:t>===============================================================================</w:t>
      </w:r>
    </w:p>
    <w:p>
      <w:pPr>
        <w:spacing w:after="0" w:line="171" w:lineRule="exact"/>
        <w:rPr>
          <w:sz w:val="24"/>
          <w:szCs w:val="24"/>
          <w:color w:val="auto"/>
        </w:rPr>
      </w:pPr>
    </w:p>
    <w:p>
      <w:pPr>
        <w:jc w:val="center"/>
        <w:ind w:right="4520"/>
        <w:spacing w:after="0"/>
        <w:rPr>
          <w:sz w:val="20"/>
          <w:szCs w:val="20"/>
          <w:color w:val="auto"/>
        </w:rPr>
      </w:pPr>
      <w:r>
        <w:rPr>
          <w:rFonts w:ascii="Courier New" w:cs="Courier New" w:eastAsia="Courier New" w:hAnsi="Courier New"/>
          <w:sz w:val="15"/>
          <w:szCs w:val="15"/>
          <w:color w:val="auto"/>
        </w:rPr>
        <w:t>SECURITIES AND EXCHANGE COMMISSION</w:t>
      </w:r>
    </w:p>
    <w:p>
      <w:pPr>
        <w:jc w:val="center"/>
        <w:ind w:right="4520"/>
        <w:spacing w:after="0" w:line="237" w:lineRule="auto"/>
        <w:rPr>
          <w:sz w:val="20"/>
          <w:szCs w:val="20"/>
          <w:color w:val="auto"/>
        </w:rPr>
      </w:pPr>
      <w:r>
        <w:rPr>
          <w:rFonts w:ascii="Courier New" w:cs="Courier New" w:eastAsia="Courier New" w:hAnsi="Courier New"/>
          <w:sz w:val="15"/>
          <w:szCs w:val="15"/>
          <w:color w:val="auto"/>
        </w:rPr>
        <w:t>Washington, D.C. 20549</w:t>
      </w:r>
    </w:p>
    <w:p>
      <w:pPr>
        <w:spacing w:after="0" w:line="167" w:lineRule="exact"/>
        <w:rPr>
          <w:sz w:val="24"/>
          <w:szCs w:val="24"/>
          <w:color w:val="auto"/>
        </w:rPr>
      </w:pPr>
    </w:p>
    <w:p>
      <w:pPr>
        <w:ind w:left="2020"/>
        <w:spacing w:after="0"/>
        <w:rPr>
          <w:sz w:val="20"/>
          <w:szCs w:val="20"/>
          <w:color w:val="auto"/>
        </w:rPr>
      </w:pPr>
      <w:r>
        <w:rPr>
          <w:rFonts w:ascii="Courier New" w:cs="Courier New" w:eastAsia="Courier New" w:hAnsi="Courier New"/>
          <w:sz w:val="15"/>
          <w:szCs w:val="15"/>
          <w:color w:val="auto"/>
        </w:rPr>
        <w:t>-----------------------------------</w:t>
      </w:r>
    </w:p>
    <w:p>
      <w:pPr>
        <w:spacing w:after="0" w:line="166" w:lineRule="exact"/>
        <w:rPr>
          <w:sz w:val="24"/>
          <w:szCs w:val="24"/>
          <w:color w:val="auto"/>
        </w:rPr>
      </w:pPr>
    </w:p>
    <w:p>
      <w:pPr>
        <w:jc w:val="center"/>
        <w:ind w:right="4520"/>
        <w:spacing w:after="0"/>
        <w:rPr>
          <w:sz w:val="20"/>
          <w:szCs w:val="20"/>
          <w:color w:val="auto"/>
        </w:rPr>
      </w:pPr>
      <w:r>
        <w:rPr>
          <w:rFonts w:ascii="Courier New" w:cs="Courier New" w:eastAsia="Courier New" w:hAnsi="Courier New"/>
          <w:sz w:val="15"/>
          <w:szCs w:val="15"/>
          <w:color w:val="auto"/>
        </w:rPr>
        <w:t>FORM S-3</w:t>
      </w:r>
    </w:p>
    <w:p>
      <w:pPr>
        <w:jc w:val="center"/>
        <w:ind w:right="4520"/>
        <w:spacing w:after="0" w:line="237" w:lineRule="auto"/>
        <w:rPr>
          <w:sz w:val="20"/>
          <w:szCs w:val="20"/>
          <w:color w:val="auto"/>
        </w:rPr>
      </w:pPr>
      <w:r>
        <w:rPr>
          <w:rFonts w:ascii="Courier New" w:cs="Courier New" w:eastAsia="Courier New" w:hAnsi="Courier New"/>
          <w:sz w:val="15"/>
          <w:szCs w:val="15"/>
          <w:color w:val="auto"/>
        </w:rPr>
        <w:t>REGISTRATION STATEMENT UNDER</w:t>
      </w:r>
    </w:p>
    <w:p>
      <w:pPr>
        <w:jc w:val="center"/>
        <w:ind w:right="4520"/>
        <w:spacing w:after="0" w:line="238" w:lineRule="auto"/>
        <w:rPr>
          <w:sz w:val="20"/>
          <w:szCs w:val="20"/>
          <w:color w:val="auto"/>
        </w:rPr>
      </w:pPr>
      <w:r>
        <w:rPr>
          <w:rFonts w:ascii="Courier New" w:cs="Courier New" w:eastAsia="Courier New" w:hAnsi="Courier New"/>
          <w:sz w:val="15"/>
          <w:szCs w:val="15"/>
          <w:color w:val="auto"/>
        </w:rPr>
        <w:t>THE SECURITIES ACT OF 1933</w:t>
      </w:r>
    </w:p>
    <w:p>
      <w:pPr>
        <w:spacing w:after="0" w:line="167" w:lineRule="exact"/>
        <w:rPr>
          <w:sz w:val="24"/>
          <w:szCs w:val="24"/>
          <w:color w:val="auto"/>
        </w:rPr>
      </w:pPr>
    </w:p>
    <w:p>
      <w:pPr>
        <w:ind w:left="2020"/>
        <w:spacing w:after="0"/>
        <w:rPr>
          <w:sz w:val="20"/>
          <w:szCs w:val="20"/>
          <w:color w:val="auto"/>
        </w:rPr>
      </w:pPr>
      <w:r>
        <w:rPr>
          <w:rFonts w:ascii="Courier New" w:cs="Courier New" w:eastAsia="Courier New" w:hAnsi="Courier New"/>
          <w:sz w:val="15"/>
          <w:szCs w:val="15"/>
          <w:color w:val="auto"/>
        </w:rPr>
        <w:t>-----------------------------------</w:t>
      </w:r>
    </w:p>
    <w:p>
      <w:pPr>
        <w:spacing w:after="0" w:line="166" w:lineRule="exact"/>
        <w:rPr>
          <w:sz w:val="24"/>
          <w:szCs w:val="24"/>
          <w:color w:val="auto"/>
        </w:rPr>
      </w:pPr>
    </w:p>
    <w:p>
      <w:pPr>
        <w:ind w:left="2720"/>
        <w:spacing w:after="0"/>
        <w:rPr>
          <w:sz w:val="20"/>
          <w:szCs w:val="20"/>
          <w:color w:val="auto"/>
        </w:rPr>
      </w:pPr>
      <w:r>
        <w:rPr>
          <w:rFonts w:ascii="Courier New" w:cs="Courier New" w:eastAsia="Courier New" w:hAnsi="Courier New"/>
          <w:sz w:val="15"/>
          <w:szCs w:val="15"/>
          <w:color w:val="auto"/>
        </w:rPr>
        <w:t>COMCAST CORPORATION</w:t>
      </w:r>
    </w:p>
    <w:p>
      <w:pPr>
        <w:ind w:left="2020"/>
        <w:spacing w:after="0" w:line="237" w:lineRule="auto"/>
        <w:rPr>
          <w:sz w:val="20"/>
          <w:szCs w:val="20"/>
          <w:color w:val="auto"/>
        </w:rPr>
      </w:pPr>
      <w:r>
        <w:rPr>
          <w:rFonts w:ascii="Courier New" w:cs="Courier New" w:eastAsia="Courier New" w:hAnsi="Courier New"/>
          <w:sz w:val="15"/>
          <w:szCs w:val="15"/>
          <w:color w:val="auto"/>
        </w:rPr>
        <w:t>(formerly AT&amp;T Comcast Corporation)</w:t>
      </w:r>
    </w:p>
    <w:p>
      <w:pPr>
        <w:ind w:left="1140"/>
        <w:spacing w:after="0" w:line="238" w:lineRule="auto"/>
        <w:rPr>
          <w:sz w:val="20"/>
          <w:szCs w:val="20"/>
          <w:color w:val="auto"/>
        </w:rPr>
      </w:pPr>
      <w:r>
        <w:rPr>
          <w:rFonts w:ascii="Courier New" w:cs="Courier New" w:eastAsia="Courier New" w:hAnsi="Courier New"/>
          <w:sz w:val="15"/>
          <w:szCs w:val="15"/>
          <w:color w:val="auto"/>
        </w:rPr>
        <w:t>(Exact name of Registrant as specified in its charter)</w:t>
      </w:r>
    </w:p>
    <w:p>
      <w:pPr>
        <w:sectPr>
          <w:pgSz w:w="11900" w:h="16910" w:orient="portrait"/>
          <w:cols w:equalWidth="0" w:num="1">
            <w:col w:w="11540"/>
          </w:cols>
          <w:pgMar w:left="220" w:top="393" w:right="139" w:bottom="0" w:gutter="0" w:footer="0" w:header="0"/>
        </w:sectPr>
      </w:pPr>
    </w:p>
    <w:p>
      <w:pPr>
        <w:spacing w:after="0" w:line="200" w:lineRule="exact"/>
        <w:rPr>
          <w:sz w:val="24"/>
          <w:szCs w:val="24"/>
          <w:color w:val="auto"/>
        </w:rPr>
      </w:pPr>
    </w:p>
    <w:p>
      <w:pPr>
        <w:spacing w:after="0" w:line="303" w:lineRule="exact"/>
        <w:rPr>
          <w:sz w:val="24"/>
          <w:szCs w:val="24"/>
          <w:color w:val="auto"/>
        </w:rPr>
      </w:pPr>
    </w:p>
    <w:p>
      <w:pPr>
        <w:ind w:left="880"/>
        <w:spacing w:after="0"/>
        <w:rPr>
          <w:sz w:val="20"/>
          <w:szCs w:val="20"/>
          <w:color w:val="auto"/>
        </w:rPr>
      </w:pPr>
      <w:r>
        <w:rPr>
          <w:rFonts w:ascii="Courier New" w:cs="Courier New" w:eastAsia="Courier New" w:hAnsi="Courier New"/>
          <w:sz w:val="15"/>
          <w:szCs w:val="15"/>
          <w:color w:val="auto"/>
        </w:rPr>
        <w:t>Pennsylvania</w:t>
      </w:r>
    </w:p>
    <w:p>
      <w:pPr>
        <w:ind w:left="88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(State of other jurisdiction of</w:t>
      </w:r>
    </w:p>
    <w:p>
      <w:pPr>
        <w:spacing w:after="0" w:line="10" w:lineRule="exact"/>
        <w:rPr>
          <w:sz w:val="24"/>
          <w:szCs w:val="24"/>
          <w:color w:val="auto"/>
        </w:rPr>
      </w:pPr>
    </w:p>
    <w:p>
      <w:pPr>
        <w:ind w:left="100"/>
        <w:spacing w:after="0"/>
        <w:rPr>
          <w:sz w:val="20"/>
          <w:szCs w:val="20"/>
          <w:color w:val="auto"/>
        </w:rPr>
      </w:pPr>
      <w:r>
        <w:rPr>
          <w:rFonts w:ascii="Courier New" w:cs="Courier New" w:eastAsia="Courier New" w:hAnsi="Courier New"/>
          <w:sz w:val="14"/>
          <w:szCs w:val="14"/>
          <w:color w:val="auto"/>
        </w:rPr>
        <w:t>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89"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See Table of Additional Registrants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83" w:lineRule="exact"/>
        <w:rPr>
          <w:sz w:val="24"/>
          <w:szCs w:val="24"/>
          <w:color w:val="auto"/>
        </w:rPr>
      </w:pPr>
    </w:p>
    <w:p>
      <w:pPr>
        <w:ind w:left="360"/>
        <w:spacing w:after="0"/>
        <w:rPr>
          <w:sz w:val="20"/>
          <w:szCs w:val="20"/>
          <w:color w:val="auto"/>
        </w:rPr>
      </w:pPr>
      <w:r>
        <w:rPr>
          <w:rFonts w:ascii="Courier New" w:cs="Courier New" w:eastAsia="Courier New" w:hAnsi="Courier New"/>
          <w:sz w:val="15"/>
          <w:szCs w:val="15"/>
          <w:color w:val="auto"/>
        </w:rPr>
        <w:t>27-0000798</w:t>
      </w:r>
    </w:p>
    <w:p>
      <w:pPr>
        <w:ind w:left="440"/>
        <w:spacing w:after="0" w:line="237" w:lineRule="auto"/>
        <w:rPr>
          <w:sz w:val="20"/>
          <w:szCs w:val="20"/>
          <w:color w:val="auto"/>
        </w:rPr>
      </w:pPr>
      <w:r>
        <w:rPr>
          <w:rFonts w:ascii="Courier New" w:cs="Courier New" w:eastAsia="Courier New" w:hAnsi="Courier New"/>
          <w:sz w:val="15"/>
          <w:szCs w:val="15"/>
          <w:color w:val="auto"/>
        </w:rPr>
        <w:t>----------</w:t>
      </w:r>
    </w:p>
    <w:p>
      <w:pPr>
        <w:ind w:left="180"/>
        <w:spacing w:after="0" w:line="238" w:lineRule="auto"/>
        <w:rPr>
          <w:sz w:val="20"/>
          <w:szCs w:val="20"/>
          <w:color w:val="auto"/>
        </w:rPr>
      </w:pPr>
      <w:r>
        <w:rPr>
          <w:rFonts w:ascii="Courier New" w:cs="Courier New" w:eastAsia="Courier New" w:hAnsi="Courier New"/>
          <w:sz w:val="15"/>
          <w:szCs w:val="15"/>
          <w:color w:val="auto"/>
        </w:rPr>
        <w:t>(I.R.S. Employer</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Identification No.)</w:t>
      </w:r>
    </w:p>
    <w:p>
      <w:pPr>
        <w:spacing w:after="0" w:line="171" w:lineRule="exact"/>
        <w:rPr>
          <w:sz w:val="24"/>
          <w:szCs w:val="24"/>
          <w:color w:val="auto"/>
        </w:rPr>
      </w:pPr>
    </w:p>
    <w:p>
      <w:pPr>
        <w:sectPr>
          <w:pgSz w:w="11900" w:h="16910" w:orient="portrait"/>
          <w:cols w:equalWidth="0" w:num="3">
            <w:col w:w="2720" w:space="260"/>
            <w:col w:w="3060" w:space="440"/>
            <w:col w:w="5060"/>
          </w:cols>
          <w:pgMar w:left="220" w:top="393" w:right="139" w:bottom="0" w:gutter="0" w:footer="0" w:header="0"/>
          <w:type w:val="continuous"/>
        </w:sectPr>
      </w:pPr>
    </w:p>
    <w:p>
      <w:pPr>
        <w:jc w:val="center"/>
        <w:ind w:right="4540"/>
        <w:spacing w:after="0"/>
        <w:rPr>
          <w:sz w:val="20"/>
          <w:szCs w:val="20"/>
          <w:color w:val="auto"/>
        </w:rPr>
      </w:pPr>
      <w:r>
        <w:rPr>
          <w:rFonts w:ascii="Courier New" w:cs="Courier New" w:eastAsia="Courier New" w:hAnsi="Courier New"/>
          <w:sz w:val="15"/>
          <w:szCs w:val="15"/>
          <w:color w:val="auto"/>
        </w:rPr>
        <w:t>1500 Market Street</w:t>
      </w:r>
    </w:p>
    <w:p>
      <w:pPr>
        <w:jc w:val="center"/>
        <w:ind w:right="4440"/>
        <w:spacing w:after="0" w:line="237" w:lineRule="auto"/>
        <w:rPr>
          <w:sz w:val="20"/>
          <w:szCs w:val="20"/>
          <w:color w:val="auto"/>
        </w:rPr>
      </w:pPr>
      <w:r>
        <w:rPr>
          <w:rFonts w:ascii="Courier New" w:cs="Courier New" w:eastAsia="Courier New" w:hAnsi="Courier New"/>
          <w:sz w:val="15"/>
          <w:szCs w:val="15"/>
          <w:color w:val="auto"/>
        </w:rPr>
        <w:t>Philadelphia, Pennsylvania 19102-2148</w:t>
      </w:r>
    </w:p>
    <w:p>
      <w:pPr>
        <w:jc w:val="center"/>
        <w:ind w:right="4540"/>
        <w:spacing w:after="0" w:line="238" w:lineRule="auto"/>
        <w:rPr>
          <w:sz w:val="20"/>
          <w:szCs w:val="20"/>
          <w:color w:val="auto"/>
        </w:rPr>
      </w:pPr>
      <w:r>
        <w:rPr>
          <w:rFonts w:ascii="Courier New" w:cs="Courier New" w:eastAsia="Courier New" w:hAnsi="Courier New"/>
          <w:sz w:val="15"/>
          <w:szCs w:val="15"/>
          <w:color w:val="auto"/>
        </w:rPr>
        <w:t>(215) 665-1700</w:t>
      </w:r>
    </w:p>
    <w:p>
      <w:pPr>
        <w:jc w:val="center"/>
        <w:ind w:right="4440"/>
        <w:spacing w:after="0" w:line="237" w:lineRule="auto"/>
        <w:rPr>
          <w:sz w:val="20"/>
          <w:szCs w:val="20"/>
          <w:color w:val="auto"/>
        </w:rPr>
      </w:pPr>
      <w:r>
        <w:rPr>
          <w:rFonts w:ascii="Courier New" w:cs="Courier New" w:eastAsia="Courier New" w:hAnsi="Courier New"/>
          <w:sz w:val="15"/>
          <w:szCs w:val="15"/>
          <w:color w:val="auto"/>
        </w:rPr>
        <w:t>(Address, including zip code, and telephone number including area code,</w:t>
      </w:r>
    </w:p>
    <w:p>
      <w:pPr>
        <w:jc w:val="center"/>
        <w:ind w:right="4540"/>
        <w:spacing w:after="0" w:line="238" w:lineRule="auto"/>
        <w:rPr>
          <w:sz w:val="20"/>
          <w:szCs w:val="20"/>
          <w:color w:val="auto"/>
        </w:rPr>
      </w:pPr>
      <w:r>
        <w:rPr>
          <w:rFonts w:ascii="Courier New" w:cs="Courier New" w:eastAsia="Courier New" w:hAnsi="Courier New"/>
          <w:sz w:val="15"/>
          <w:szCs w:val="15"/>
          <w:color w:val="auto"/>
        </w:rPr>
        <w:t>of Registrant's principal executive offices)</w:t>
      </w:r>
    </w:p>
    <w:p>
      <w:pPr>
        <w:spacing w:after="0" w:line="167" w:lineRule="exact"/>
        <w:rPr>
          <w:sz w:val="24"/>
          <w:szCs w:val="24"/>
          <w:color w:val="auto"/>
        </w:rPr>
      </w:pPr>
    </w:p>
    <w:p>
      <w:pPr>
        <w:jc w:val="center"/>
        <w:ind w:right="4440"/>
        <w:spacing w:after="0"/>
        <w:rPr>
          <w:sz w:val="20"/>
          <w:szCs w:val="20"/>
          <w:color w:val="auto"/>
        </w:rPr>
      </w:pPr>
      <w:r>
        <w:rPr>
          <w:rFonts w:ascii="Courier New" w:cs="Courier New" w:eastAsia="Courier New" w:hAnsi="Courier New"/>
          <w:sz w:val="15"/>
          <w:szCs w:val="15"/>
          <w:color w:val="auto"/>
        </w:rPr>
        <w:t>Arthur R. Block, Esq.</w:t>
      </w:r>
    </w:p>
    <w:p>
      <w:pPr>
        <w:jc w:val="center"/>
        <w:ind w:right="4440"/>
        <w:spacing w:after="0" w:line="237" w:lineRule="auto"/>
        <w:rPr>
          <w:sz w:val="20"/>
          <w:szCs w:val="20"/>
          <w:color w:val="auto"/>
        </w:rPr>
      </w:pPr>
      <w:r>
        <w:rPr>
          <w:rFonts w:ascii="Courier New" w:cs="Courier New" w:eastAsia="Courier New" w:hAnsi="Courier New"/>
          <w:sz w:val="15"/>
          <w:szCs w:val="15"/>
          <w:color w:val="auto"/>
        </w:rPr>
        <w:t>Senior Vice President</w:t>
      </w:r>
    </w:p>
    <w:p>
      <w:pPr>
        <w:jc w:val="center"/>
        <w:ind w:right="4440"/>
        <w:spacing w:after="0" w:line="238" w:lineRule="auto"/>
        <w:rPr>
          <w:sz w:val="20"/>
          <w:szCs w:val="20"/>
          <w:color w:val="auto"/>
        </w:rPr>
      </w:pPr>
      <w:r>
        <w:rPr>
          <w:rFonts w:ascii="Courier New" w:cs="Courier New" w:eastAsia="Courier New" w:hAnsi="Courier New"/>
          <w:sz w:val="15"/>
          <w:szCs w:val="15"/>
          <w:color w:val="auto"/>
        </w:rPr>
        <w:t>Comcast Corporation</w:t>
      </w:r>
    </w:p>
    <w:p>
      <w:pPr>
        <w:jc w:val="center"/>
        <w:ind w:right="4440"/>
        <w:spacing w:after="0" w:line="237" w:lineRule="auto"/>
        <w:rPr>
          <w:sz w:val="20"/>
          <w:szCs w:val="20"/>
          <w:color w:val="auto"/>
        </w:rPr>
      </w:pPr>
      <w:r>
        <w:rPr>
          <w:rFonts w:ascii="Courier New" w:cs="Courier New" w:eastAsia="Courier New" w:hAnsi="Courier New"/>
          <w:sz w:val="15"/>
          <w:szCs w:val="15"/>
          <w:color w:val="auto"/>
        </w:rPr>
        <w:t>Philadelphia, Pennsylvania 19102-2148</w:t>
      </w:r>
    </w:p>
    <w:p>
      <w:pPr>
        <w:jc w:val="center"/>
        <w:ind w:right="4540"/>
        <w:spacing w:after="0" w:line="238" w:lineRule="auto"/>
        <w:rPr>
          <w:sz w:val="20"/>
          <w:szCs w:val="20"/>
          <w:color w:val="auto"/>
        </w:rPr>
      </w:pPr>
      <w:r>
        <w:rPr>
          <w:rFonts w:ascii="Courier New" w:cs="Courier New" w:eastAsia="Courier New" w:hAnsi="Courier New"/>
          <w:sz w:val="15"/>
          <w:szCs w:val="15"/>
          <w:color w:val="auto"/>
        </w:rPr>
        <w:t>(215) 665-1700</w:t>
      </w:r>
    </w:p>
    <w:p>
      <w:pPr>
        <w:spacing w:after="0" w:line="5" w:lineRule="exact"/>
        <w:rPr>
          <w:sz w:val="24"/>
          <w:szCs w:val="24"/>
          <w:color w:val="auto"/>
        </w:rPr>
      </w:pPr>
    </w:p>
    <w:p>
      <w:pPr>
        <w:jc w:val="center"/>
        <w:ind w:right="4540"/>
        <w:spacing w:after="0"/>
        <w:rPr>
          <w:sz w:val="20"/>
          <w:szCs w:val="20"/>
          <w:color w:val="auto"/>
        </w:rPr>
      </w:pPr>
      <w:r>
        <w:rPr>
          <w:rFonts w:ascii="Courier New" w:cs="Courier New" w:eastAsia="Courier New" w:hAnsi="Courier New"/>
          <w:sz w:val="14"/>
          <w:szCs w:val="14"/>
          <w:color w:val="auto"/>
        </w:rPr>
        <w:t>(Name, address, including zip code, and telephone number, including area code,</w:t>
      </w:r>
    </w:p>
    <w:p>
      <w:pPr>
        <w:spacing w:after="0" w:line="3" w:lineRule="exact"/>
        <w:rPr>
          <w:sz w:val="24"/>
          <w:szCs w:val="24"/>
          <w:color w:val="auto"/>
        </w:rPr>
      </w:pPr>
    </w:p>
    <w:p>
      <w:pPr>
        <w:jc w:val="center"/>
        <w:ind w:right="4620"/>
        <w:spacing w:after="0"/>
        <w:rPr>
          <w:sz w:val="20"/>
          <w:szCs w:val="20"/>
          <w:color w:val="auto"/>
        </w:rPr>
      </w:pPr>
      <w:r>
        <w:rPr>
          <w:rFonts w:ascii="Courier New" w:cs="Courier New" w:eastAsia="Courier New" w:hAnsi="Courier New"/>
          <w:sz w:val="15"/>
          <w:szCs w:val="15"/>
          <w:color w:val="auto"/>
        </w:rPr>
        <w:t>of agent for service)</w:t>
      </w:r>
    </w:p>
    <w:p>
      <w:pPr>
        <w:spacing w:after="0" w:line="166" w:lineRule="exact"/>
        <w:rPr>
          <w:sz w:val="24"/>
          <w:szCs w:val="24"/>
          <w:color w:val="auto"/>
        </w:rPr>
      </w:pPr>
    </w:p>
    <w:p>
      <w:pPr>
        <w:ind w:left="1940"/>
        <w:spacing w:after="0"/>
        <w:rPr>
          <w:sz w:val="20"/>
          <w:szCs w:val="20"/>
          <w:color w:val="auto"/>
        </w:rPr>
      </w:pPr>
      <w:r>
        <w:rPr>
          <w:rFonts w:ascii="Courier New" w:cs="Courier New" w:eastAsia="Courier New" w:hAnsi="Courier New"/>
          <w:sz w:val="15"/>
          <w:szCs w:val="15"/>
          <w:color w:val="auto"/>
        </w:rPr>
        <w:t>-----------------------------------</w:t>
      </w:r>
    </w:p>
    <w:p>
      <w:pPr>
        <w:jc w:val="center"/>
        <w:ind w:right="4540"/>
        <w:spacing w:after="0" w:line="237" w:lineRule="auto"/>
        <w:rPr>
          <w:sz w:val="20"/>
          <w:szCs w:val="20"/>
          <w:color w:val="auto"/>
        </w:rPr>
      </w:pPr>
      <w:r>
        <w:rPr>
          <w:rFonts w:ascii="Courier New" w:cs="Courier New" w:eastAsia="Courier New" w:hAnsi="Courier New"/>
          <w:sz w:val="15"/>
          <w:szCs w:val="15"/>
          <w:color w:val="auto"/>
        </w:rPr>
        <w:t>Copies to:</w:t>
      </w:r>
    </w:p>
    <w:p>
      <w:pPr>
        <w:jc w:val="center"/>
        <w:ind w:right="4440"/>
        <w:spacing w:after="0" w:line="238" w:lineRule="auto"/>
        <w:rPr>
          <w:sz w:val="20"/>
          <w:szCs w:val="20"/>
          <w:color w:val="auto"/>
        </w:rPr>
      </w:pPr>
      <w:r>
        <w:rPr>
          <w:rFonts w:ascii="Courier New" w:cs="Courier New" w:eastAsia="Courier New" w:hAnsi="Courier New"/>
          <w:sz w:val="15"/>
          <w:szCs w:val="15"/>
          <w:color w:val="auto"/>
        </w:rPr>
        <w:t>Bruce K. Dallas</w:t>
      </w:r>
    </w:p>
    <w:p>
      <w:pPr>
        <w:jc w:val="center"/>
        <w:ind w:right="4440"/>
        <w:spacing w:after="0" w:line="237" w:lineRule="auto"/>
        <w:rPr>
          <w:sz w:val="20"/>
          <w:szCs w:val="20"/>
          <w:color w:val="auto"/>
        </w:rPr>
      </w:pPr>
      <w:r>
        <w:rPr>
          <w:rFonts w:ascii="Courier New" w:cs="Courier New" w:eastAsia="Courier New" w:hAnsi="Courier New"/>
          <w:sz w:val="15"/>
          <w:szCs w:val="15"/>
          <w:color w:val="auto"/>
        </w:rPr>
        <w:t>Davis Polk &amp; Wardwell</w:t>
      </w:r>
    </w:p>
    <w:p>
      <w:pPr>
        <w:jc w:val="center"/>
        <w:ind w:right="4440"/>
        <w:spacing w:after="0" w:line="238" w:lineRule="auto"/>
        <w:rPr>
          <w:sz w:val="20"/>
          <w:szCs w:val="20"/>
          <w:color w:val="auto"/>
        </w:rPr>
      </w:pPr>
      <w:r>
        <w:rPr>
          <w:rFonts w:ascii="Courier New" w:cs="Courier New" w:eastAsia="Courier New" w:hAnsi="Courier New"/>
          <w:sz w:val="15"/>
          <w:szCs w:val="15"/>
          <w:color w:val="auto"/>
        </w:rPr>
        <w:t>1600 El Camino Real</w:t>
      </w:r>
    </w:p>
    <w:p>
      <w:pPr>
        <w:jc w:val="center"/>
        <w:ind w:right="4540"/>
        <w:spacing w:after="0" w:line="237" w:lineRule="auto"/>
        <w:rPr>
          <w:sz w:val="20"/>
          <w:szCs w:val="20"/>
          <w:color w:val="auto"/>
        </w:rPr>
      </w:pPr>
      <w:r>
        <w:rPr>
          <w:rFonts w:ascii="Courier New" w:cs="Courier New" w:eastAsia="Courier New" w:hAnsi="Courier New"/>
          <w:sz w:val="15"/>
          <w:szCs w:val="15"/>
          <w:color w:val="auto"/>
        </w:rPr>
        <w:t>Menlo Park, California 94025</w:t>
      </w:r>
    </w:p>
    <w:p>
      <w:pPr>
        <w:jc w:val="center"/>
        <w:ind w:right="4540"/>
        <w:spacing w:after="0" w:line="238" w:lineRule="auto"/>
        <w:rPr>
          <w:sz w:val="20"/>
          <w:szCs w:val="20"/>
          <w:color w:val="auto"/>
        </w:rPr>
      </w:pPr>
      <w:r>
        <w:rPr>
          <w:rFonts w:ascii="Courier New" w:cs="Courier New" w:eastAsia="Courier New" w:hAnsi="Courier New"/>
          <w:sz w:val="15"/>
          <w:szCs w:val="15"/>
          <w:color w:val="auto"/>
        </w:rPr>
        <w:t>(650) 752-2000</w:t>
      </w:r>
    </w:p>
    <w:p>
      <w:pPr>
        <w:spacing w:after="0" w:line="173" w:lineRule="exact"/>
        <w:rPr>
          <w:sz w:val="24"/>
          <w:szCs w:val="24"/>
          <w:color w:val="auto"/>
        </w:rPr>
      </w:pPr>
    </w:p>
    <w:p>
      <w:pPr>
        <w:ind w:right="4800" w:firstLine="437"/>
        <w:spacing w:after="0" w:line="234" w:lineRule="auto"/>
        <w:rPr>
          <w:sz w:val="20"/>
          <w:szCs w:val="20"/>
          <w:color w:val="auto"/>
        </w:rPr>
      </w:pPr>
      <w:r>
        <w:rPr>
          <w:rFonts w:ascii="Courier New" w:cs="Courier New" w:eastAsia="Courier New" w:hAnsi="Courier New"/>
          <w:sz w:val="15"/>
          <w:szCs w:val="15"/>
          <w:color w:val="auto"/>
        </w:rPr>
        <w:t>Approximate date of commencement of proposed sale to the public: As soon as practicable after this Registration Statement becomes effective.</w:t>
      </w:r>
    </w:p>
    <w:p>
      <w:pPr>
        <w:spacing w:after="0" w:line="5" w:lineRule="exact"/>
        <w:rPr>
          <w:sz w:val="24"/>
          <w:szCs w:val="24"/>
          <w:color w:val="auto"/>
        </w:rPr>
      </w:pPr>
    </w:p>
    <w:p>
      <w:pPr>
        <w:jc w:val="both"/>
        <w:ind w:right="4700" w:firstLine="437"/>
        <w:spacing w:after="0" w:line="235" w:lineRule="auto"/>
        <w:rPr>
          <w:sz w:val="20"/>
          <w:szCs w:val="20"/>
          <w:color w:val="auto"/>
        </w:rPr>
      </w:pPr>
      <w:r>
        <w:rPr>
          <w:rFonts w:ascii="Courier New" w:cs="Courier New" w:eastAsia="Courier New" w:hAnsi="Courier New"/>
          <w:sz w:val="15"/>
          <w:szCs w:val="15"/>
          <w:color w:val="auto"/>
        </w:rPr>
        <w:t>If any of the securities being registered on this Form are to be offered on a delayed or continuous basis pursuant to Rule 415 under the Securities Act of 1933, check the following box: |X|</w:t>
      </w:r>
    </w:p>
    <w:p>
      <w:pPr>
        <w:spacing w:after="0" w:line="5" w:lineRule="exact"/>
        <w:rPr>
          <w:sz w:val="24"/>
          <w:szCs w:val="24"/>
          <w:color w:val="auto"/>
        </w:rPr>
      </w:pPr>
    </w:p>
    <w:p>
      <w:pPr>
        <w:jc w:val="both"/>
        <w:ind w:right="4880" w:firstLine="437"/>
        <w:spacing w:after="0" w:line="256" w:lineRule="auto"/>
        <w:rPr>
          <w:sz w:val="20"/>
          <w:szCs w:val="20"/>
          <w:color w:val="auto"/>
        </w:rPr>
      </w:pPr>
      <w:r>
        <w:rPr>
          <w:rFonts w:ascii="Courier New" w:cs="Courier New" w:eastAsia="Courier New" w:hAnsi="Courier New"/>
          <w:sz w:val="14"/>
          <w:szCs w:val="14"/>
          <w:color w:val="auto"/>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 ] _______</w:t>
      </w:r>
    </w:p>
    <w:p>
      <w:pPr>
        <w:spacing w:after="0" w:line="164" w:lineRule="exact"/>
        <w:rPr>
          <w:sz w:val="24"/>
          <w:szCs w:val="24"/>
          <w:color w:val="auto"/>
        </w:rPr>
      </w:pPr>
    </w:p>
    <w:p>
      <w:pPr>
        <w:jc w:val="both"/>
        <w:ind w:right="4800" w:firstLine="437"/>
        <w:spacing w:after="0" w:line="235" w:lineRule="auto"/>
        <w:rPr>
          <w:sz w:val="20"/>
          <w:szCs w:val="20"/>
          <w:color w:val="auto"/>
        </w:rPr>
      </w:pPr>
      <w:r>
        <w:rPr>
          <w:rFonts w:ascii="Courier New" w:cs="Courier New" w:eastAsia="Courier New" w:hAnsi="Courier New"/>
          <w:sz w:val="15"/>
          <w:szCs w:val="15"/>
          <w:color w:val="auto"/>
        </w:rPr>
        <w:t>If this Form is a post-effective amendment filed pursuant to Rule 462(c) under the Securities Act, check the following box and list the Securities Act registration statement number of the earlier effective registration statement for the same offering: [ ] _______</w:t>
      </w:r>
    </w:p>
    <w:p>
      <w:pPr>
        <w:spacing w:after="0" w:line="175" w:lineRule="exact"/>
        <w:rPr>
          <w:sz w:val="24"/>
          <w:szCs w:val="24"/>
          <w:color w:val="auto"/>
        </w:rPr>
      </w:pPr>
    </w:p>
    <w:p>
      <w:pPr>
        <w:ind w:right="4620" w:firstLine="437"/>
        <w:spacing w:after="0" w:line="234" w:lineRule="auto"/>
        <w:rPr>
          <w:sz w:val="20"/>
          <w:szCs w:val="20"/>
          <w:color w:val="auto"/>
        </w:rPr>
      </w:pPr>
      <w:r>
        <w:rPr>
          <w:rFonts w:ascii="Courier New" w:cs="Courier New" w:eastAsia="Courier New" w:hAnsi="Courier New"/>
          <w:sz w:val="15"/>
          <w:szCs w:val="15"/>
          <w:color w:val="auto"/>
        </w:rPr>
        <w:t>If delivery of the prospectus is expected to be made pursuant to Rule 434, please check the following box: [ ].</w:t>
      </w:r>
    </w:p>
    <w:p>
      <w:pPr>
        <w:spacing w:after="0" w:line="167" w:lineRule="exact"/>
        <w:rPr>
          <w:sz w:val="24"/>
          <w:szCs w:val="24"/>
          <w:color w:val="auto"/>
        </w:rPr>
      </w:pPr>
    </w:p>
    <w:p>
      <w:pPr>
        <w:ind w:left="2800"/>
        <w:spacing w:after="0"/>
        <w:rPr>
          <w:sz w:val="20"/>
          <w:szCs w:val="20"/>
          <w:color w:val="auto"/>
        </w:rPr>
      </w:pPr>
      <w:r>
        <w:rPr>
          <w:rFonts w:ascii="Courier New" w:cs="Courier New" w:eastAsia="Courier New" w:hAnsi="Courier New"/>
          <w:sz w:val="15"/>
          <w:szCs w:val="15"/>
          <w:color w:val="auto"/>
        </w:rPr>
        <w:t>---------------</w:t>
      </w:r>
    </w:p>
    <w:p>
      <w:pPr>
        <w:spacing w:after="0" w:line="341"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 w:lineRule="exact"/>
        <w:rPr>
          <w:sz w:val="24"/>
          <w:szCs w:val="24"/>
          <w:color w:val="auto"/>
        </w:rPr>
      </w:pPr>
    </w:p>
    <w:tbl>
      <w:tblPr>
        <w:tblLayout w:type="fixed"/>
        <w:tblInd w:w="1320" w:type="dxa"/>
        <w:tblCellMar>
          <w:top w:w="0" w:type="dxa"/>
          <w:left w:w="0" w:type="dxa"/>
          <w:bottom w:w="0" w:type="dxa"/>
          <w:right w:w="0" w:type="dxa"/>
        </w:tblCellMar>
      </w:tblPr>
      <w:tr>
        <w:trPr>
          <w:trHeight w:val="170"/>
        </w:trPr>
        <w:tc>
          <w:tcPr>
            <w:tcW w:w="3160" w:type="dxa"/>
            <w:vAlign w:val="bottom"/>
          </w:tcPr>
          <w:p>
            <w:pPr>
              <w:spacing w:after="0"/>
              <w:rPr>
                <w:sz w:val="14"/>
                <w:szCs w:val="14"/>
                <w:color w:val="auto"/>
              </w:rPr>
            </w:pPr>
          </w:p>
        </w:tc>
        <w:tc>
          <w:tcPr>
            <w:tcW w:w="2000" w:type="dxa"/>
            <w:vAlign w:val="bottom"/>
          </w:tcPr>
          <w:p>
            <w:pPr>
              <w:ind w:left="860"/>
              <w:spacing w:after="0"/>
              <w:rPr>
                <w:sz w:val="20"/>
                <w:szCs w:val="20"/>
                <w:color w:val="auto"/>
              </w:rPr>
            </w:pPr>
            <w:r>
              <w:rPr>
                <w:rFonts w:ascii="Courier New" w:cs="Courier New" w:eastAsia="Courier New" w:hAnsi="Courier New"/>
                <w:sz w:val="15"/>
                <w:szCs w:val="15"/>
                <w:color w:val="auto"/>
              </w:rPr>
              <w:t>Amount to</w:t>
            </w:r>
          </w:p>
        </w:tc>
        <w:tc>
          <w:tcPr>
            <w:tcW w:w="1620" w:type="dxa"/>
            <w:vAlign w:val="bottom"/>
          </w:tcPr>
          <w:p>
            <w:pPr>
              <w:jc w:val="center"/>
              <w:spacing w:after="0"/>
              <w:rPr>
                <w:sz w:val="20"/>
                <w:szCs w:val="20"/>
                <w:color w:val="auto"/>
              </w:rPr>
            </w:pPr>
            <w:r>
              <w:rPr>
                <w:rFonts w:ascii="Courier New" w:cs="Courier New" w:eastAsia="Courier New" w:hAnsi="Courier New"/>
                <w:sz w:val="15"/>
                <w:szCs w:val="15"/>
                <w:color w:val="auto"/>
                <w:w w:val="97"/>
              </w:rPr>
              <w:t>Proposed Maximum</w:t>
            </w:r>
          </w:p>
        </w:tc>
        <w:tc>
          <w:tcPr>
            <w:tcW w:w="1880" w:type="dxa"/>
            <w:vAlign w:val="bottom"/>
          </w:tcPr>
          <w:p>
            <w:pPr>
              <w:jc w:val="center"/>
              <w:spacing w:after="0"/>
              <w:rPr>
                <w:sz w:val="20"/>
                <w:szCs w:val="20"/>
                <w:color w:val="auto"/>
              </w:rPr>
            </w:pPr>
            <w:r>
              <w:rPr>
                <w:rFonts w:ascii="Courier New" w:cs="Courier New" w:eastAsia="Courier New" w:hAnsi="Courier New"/>
                <w:sz w:val="15"/>
                <w:szCs w:val="15"/>
                <w:color w:val="auto"/>
                <w:w w:val="97"/>
              </w:rPr>
              <w:t>Proposed Maximum</w:t>
            </w:r>
          </w:p>
        </w:tc>
        <w:tc>
          <w:tcPr>
            <w:tcW w:w="1220" w:type="dxa"/>
            <w:vAlign w:val="bottom"/>
          </w:tcPr>
          <w:p>
            <w:pPr>
              <w:ind w:left="360"/>
              <w:spacing w:after="0"/>
              <w:rPr>
                <w:sz w:val="20"/>
                <w:szCs w:val="20"/>
                <w:color w:val="auto"/>
              </w:rPr>
            </w:pPr>
            <w:r>
              <w:rPr>
                <w:rFonts w:ascii="Courier New" w:cs="Courier New" w:eastAsia="Courier New" w:hAnsi="Courier New"/>
                <w:sz w:val="15"/>
                <w:szCs w:val="15"/>
                <w:color w:val="auto"/>
              </w:rPr>
              <w:t>Amount of</w:t>
            </w:r>
          </w:p>
        </w:tc>
      </w:tr>
      <w:tr>
        <w:trPr>
          <w:trHeight w:val="168"/>
        </w:trPr>
        <w:tc>
          <w:tcPr>
            <w:tcW w:w="31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Title of Each Class of</w:t>
            </w:r>
          </w:p>
        </w:tc>
        <w:tc>
          <w:tcPr>
            <w:tcW w:w="2000" w:type="dxa"/>
            <w:vAlign w:val="bottom"/>
          </w:tcPr>
          <w:p>
            <w:pPr>
              <w:ind w:left="1120"/>
              <w:spacing w:after="0" w:line="168" w:lineRule="exact"/>
              <w:rPr>
                <w:sz w:val="20"/>
                <w:szCs w:val="20"/>
                <w:color w:val="auto"/>
              </w:rPr>
            </w:pPr>
            <w:r>
              <w:rPr>
                <w:rFonts w:ascii="Courier New" w:cs="Courier New" w:eastAsia="Courier New" w:hAnsi="Courier New"/>
                <w:sz w:val="15"/>
                <w:szCs w:val="15"/>
                <w:color w:val="auto"/>
              </w:rPr>
              <w:t>be</w:t>
            </w:r>
          </w:p>
        </w:tc>
        <w:tc>
          <w:tcPr>
            <w:tcW w:w="16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Offering Price</w:t>
            </w:r>
          </w:p>
        </w:tc>
        <w:tc>
          <w:tcPr>
            <w:tcW w:w="188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Aggregate Offering</w:t>
            </w:r>
          </w:p>
        </w:tc>
        <w:tc>
          <w:tcPr>
            <w:tcW w:w="12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4"/>
              </w:rPr>
              <w:t>Registration</w:t>
            </w:r>
          </w:p>
        </w:tc>
      </w:tr>
      <w:tr>
        <w:trPr>
          <w:trHeight w:val="168"/>
        </w:trPr>
        <w:tc>
          <w:tcPr>
            <w:tcW w:w="3160" w:type="dxa"/>
            <w:vAlign w:val="bottom"/>
          </w:tcPr>
          <w:p>
            <w:pPr>
              <w:spacing w:after="0" w:line="168" w:lineRule="exact"/>
              <w:rPr>
                <w:sz w:val="20"/>
                <w:szCs w:val="20"/>
                <w:color w:val="auto"/>
              </w:rPr>
            </w:pPr>
            <w:r>
              <w:rPr>
                <w:rFonts w:ascii="Courier New" w:cs="Courier New" w:eastAsia="Courier New" w:hAnsi="Courier New"/>
                <w:sz w:val="15"/>
                <w:szCs w:val="15"/>
                <w:color w:val="auto"/>
              </w:rPr>
              <w:t>Securities to be Registered</w:t>
            </w:r>
          </w:p>
        </w:tc>
        <w:tc>
          <w:tcPr>
            <w:tcW w:w="2000" w:type="dxa"/>
            <w:vAlign w:val="bottom"/>
          </w:tcPr>
          <w:p>
            <w:pPr>
              <w:ind w:left="780"/>
              <w:spacing w:after="0" w:line="168" w:lineRule="exact"/>
              <w:rPr>
                <w:sz w:val="20"/>
                <w:szCs w:val="20"/>
                <w:color w:val="auto"/>
              </w:rPr>
            </w:pPr>
            <w:r>
              <w:rPr>
                <w:rFonts w:ascii="Courier New" w:cs="Courier New" w:eastAsia="Courier New" w:hAnsi="Courier New"/>
                <w:sz w:val="15"/>
                <w:szCs w:val="15"/>
                <w:color w:val="auto"/>
              </w:rPr>
              <w:t>Registered(1)</w:t>
            </w:r>
          </w:p>
        </w:tc>
        <w:tc>
          <w:tcPr>
            <w:tcW w:w="16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Per Unit(2)</w:t>
            </w:r>
          </w:p>
        </w:tc>
        <w:tc>
          <w:tcPr>
            <w:tcW w:w="1880" w:type="dxa"/>
            <w:vAlign w:val="bottom"/>
          </w:tcPr>
          <w:p>
            <w:pPr>
              <w:ind w:left="660"/>
              <w:spacing w:after="0" w:line="168" w:lineRule="exact"/>
              <w:rPr>
                <w:sz w:val="20"/>
                <w:szCs w:val="20"/>
                <w:color w:val="auto"/>
              </w:rPr>
            </w:pPr>
            <w:r>
              <w:rPr>
                <w:rFonts w:ascii="Courier New" w:cs="Courier New" w:eastAsia="Courier New" w:hAnsi="Courier New"/>
                <w:sz w:val="15"/>
                <w:szCs w:val="15"/>
                <w:color w:val="auto"/>
              </w:rPr>
              <w:t>Price(2)</w:t>
            </w:r>
          </w:p>
        </w:tc>
        <w:tc>
          <w:tcPr>
            <w:tcW w:w="122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Fee(3)</w:t>
            </w:r>
          </w:p>
        </w:tc>
      </w:tr>
    </w:tbl>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1"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Senior Debt Securities and Subordinated Debt</w:t>
      </w:r>
    </w:p>
    <w:p>
      <w:pPr>
        <w:ind w:left="280"/>
        <w:spacing w:after="0" w:line="237" w:lineRule="auto"/>
        <w:rPr>
          <w:sz w:val="20"/>
          <w:szCs w:val="20"/>
          <w:color w:val="auto"/>
        </w:rPr>
      </w:pPr>
      <w:r>
        <w:rPr>
          <w:rFonts w:ascii="Courier New" w:cs="Courier New" w:eastAsia="Courier New" w:hAnsi="Courier New"/>
          <w:sz w:val="15"/>
          <w:szCs w:val="15"/>
          <w:color w:val="auto"/>
        </w:rPr>
        <w:t>Securities (collectively, "Debt Securities")(4).....</w:t>
      </w:r>
    </w:p>
    <w:p>
      <w:pPr>
        <w:spacing w:after="0" w:line="238" w:lineRule="auto"/>
        <w:rPr>
          <w:sz w:val="20"/>
          <w:szCs w:val="20"/>
          <w:color w:val="auto"/>
        </w:rPr>
      </w:pPr>
      <w:r>
        <w:rPr>
          <w:rFonts w:ascii="Courier New" w:cs="Courier New" w:eastAsia="Courier New" w:hAnsi="Courier New"/>
          <w:sz w:val="15"/>
          <w:szCs w:val="15"/>
          <w:color w:val="auto"/>
        </w:rPr>
        <w:t>Preferred Stock, without par value.....................</w:t>
      </w:r>
    </w:p>
    <w:p>
      <w:pPr>
        <w:spacing w:after="0" w:line="237" w:lineRule="auto"/>
        <w:rPr>
          <w:sz w:val="20"/>
          <w:szCs w:val="20"/>
          <w:color w:val="auto"/>
        </w:rPr>
      </w:pPr>
      <w:r>
        <w:rPr>
          <w:rFonts w:ascii="Courier New" w:cs="Courier New" w:eastAsia="Courier New" w:hAnsi="Courier New"/>
          <w:sz w:val="15"/>
          <w:szCs w:val="15"/>
          <w:color w:val="auto"/>
        </w:rPr>
        <w:t>Depositary Shares representing Preferred Stock.........</w:t>
      </w:r>
    </w:p>
    <w:p>
      <w:pPr>
        <w:spacing w:after="0" w:line="238" w:lineRule="auto"/>
        <w:rPr>
          <w:sz w:val="20"/>
          <w:szCs w:val="20"/>
          <w:color w:val="auto"/>
        </w:rPr>
      </w:pPr>
      <w:r>
        <w:rPr>
          <w:rFonts w:ascii="Courier New" w:cs="Courier New" w:eastAsia="Courier New" w:hAnsi="Courier New"/>
          <w:sz w:val="15"/>
          <w:szCs w:val="15"/>
          <w:color w:val="auto"/>
        </w:rPr>
        <w:t>Class A Common Stock, $0.01............................</w:t>
      </w:r>
    </w:p>
    <w:p>
      <w:pPr>
        <w:spacing w:after="0" w:line="237" w:lineRule="auto"/>
        <w:rPr>
          <w:sz w:val="20"/>
          <w:szCs w:val="20"/>
          <w:color w:val="auto"/>
        </w:rPr>
      </w:pPr>
      <w:r>
        <w:rPr>
          <w:rFonts w:ascii="Courier New" w:cs="Courier New" w:eastAsia="Courier New" w:hAnsi="Courier New"/>
          <w:sz w:val="15"/>
          <w:szCs w:val="15"/>
          <w:color w:val="auto"/>
        </w:rPr>
        <w:t>Class A Special Common Stock, $0.01 par value..........</w:t>
      </w:r>
    </w:p>
    <w:p>
      <w:pPr>
        <w:spacing w:after="0" w:line="238" w:lineRule="auto"/>
        <w:rPr>
          <w:sz w:val="20"/>
          <w:szCs w:val="20"/>
          <w:color w:val="auto"/>
        </w:rPr>
      </w:pPr>
      <w:r>
        <w:rPr>
          <w:rFonts w:ascii="Courier New" w:cs="Courier New" w:eastAsia="Courier New" w:hAnsi="Courier New"/>
          <w:sz w:val="15"/>
          <w:szCs w:val="15"/>
          <w:color w:val="auto"/>
        </w:rPr>
        <w:t>Warrants (5)...........................................</w:t>
      </w:r>
    </w:p>
    <w:p>
      <w:pPr>
        <w:spacing w:after="0" w:line="237" w:lineRule="auto"/>
        <w:rPr>
          <w:sz w:val="20"/>
          <w:szCs w:val="20"/>
          <w:color w:val="auto"/>
        </w:rPr>
      </w:pPr>
      <w:r>
        <w:rPr>
          <w:rFonts w:ascii="Courier New" w:cs="Courier New" w:eastAsia="Courier New" w:hAnsi="Courier New"/>
          <w:sz w:val="15"/>
          <w:szCs w:val="15"/>
          <w:color w:val="auto"/>
        </w:rPr>
        <w:t>Purchase Contracts (5).................................</w:t>
      </w:r>
    </w:p>
    <w:p>
      <w:pPr>
        <w:spacing w:after="0" w:line="238" w:lineRule="auto"/>
        <w:rPr>
          <w:sz w:val="20"/>
          <w:szCs w:val="20"/>
          <w:color w:val="auto"/>
        </w:rPr>
      </w:pPr>
      <w:r>
        <w:rPr>
          <w:rFonts w:ascii="Courier New" w:cs="Courier New" w:eastAsia="Courier New" w:hAnsi="Courier New"/>
          <w:sz w:val="15"/>
          <w:szCs w:val="15"/>
          <w:color w:val="auto"/>
        </w:rPr>
        <w:t>Units (5)..............................................</w:t>
      </w:r>
    </w:p>
    <w:p>
      <w:pPr>
        <w:spacing w:after="0" w:line="238" w:lineRule="auto"/>
        <w:rPr>
          <w:sz w:val="20"/>
          <w:szCs w:val="20"/>
          <w:color w:val="auto"/>
        </w:rPr>
      </w:pPr>
      <w:r>
        <w:rPr>
          <w:rFonts w:ascii="Courier New" w:cs="Courier New" w:eastAsia="Courier New" w:hAnsi="Courier New"/>
          <w:sz w:val="15"/>
          <w:szCs w:val="15"/>
          <w:color w:val="auto"/>
        </w:rPr>
        <w:t>Guarantees of the Debt Securities, Warrants, Purchase</w:t>
      </w:r>
    </w:p>
    <w:p>
      <w:pPr>
        <w:ind w:left="280"/>
        <w:spacing w:after="0" w:line="237" w:lineRule="auto"/>
        <w:rPr>
          <w:sz w:val="20"/>
          <w:szCs w:val="20"/>
          <w:color w:val="auto"/>
        </w:rPr>
      </w:pPr>
      <w:r>
        <w:rPr>
          <w:rFonts w:ascii="Courier New" w:cs="Courier New" w:eastAsia="Courier New" w:hAnsi="Courier New"/>
          <w:sz w:val="15"/>
          <w:szCs w:val="15"/>
          <w:color w:val="auto"/>
        </w:rPr>
        <w:t>Contracts and Units (6).............................</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4"/>
          <w:szCs w:val="24"/>
          <w:color w:val="auto"/>
        </w:rPr>
      </w:pPr>
    </w:p>
    <w:tbl>
      <w:tblPr>
        <w:tblLayout w:type="fixed"/>
        <w:tblInd w:w="280" w:type="dxa"/>
        <w:tblCellMar>
          <w:top w:w="0" w:type="dxa"/>
          <w:left w:w="0" w:type="dxa"/>
          <w:bottom w:w="0" w:type="dxa"/>
          <w:right w:w="0" w:type="dxa"/>
        </w:tblCellMar>
      </w:tblPr>
      <w:tr>
        <w:trPr>
          <w:trHeight w:val="170"/>
        </w:trPr>
        <w:tc>
          <w:tcPr>
            <w:tcW w:w="4680" w:type="dxa"/>
            <w:vAlign w:val="bottom"/>
          </w:tcPr>
          <w:p>
            <w:pPr>
              <w:spacing w:after="0"/>
              <w:rPr>
                <w:sz w:val="20"/>
                <w:szCs w:val="20"/>
                <w:color w:val="auto"/>
              </w:rPr>
            </w:pPr>
            <w:r>
              <w:rPr>
                <w:rFonts w:ascii="Courier New" w:cs="Courier New" w:eastAsia="Courier New" w:hAnsi="Courier New"/>
                <w:sz w:val="15"/>
                <w:szCs w:val="15"/>
                <w:color w:val="auto"/>
                <w:w w:val="99"/>
              </w:rPr>
              <w:t>Total...............................................</w:t>
            </w:r>
          </w:p>
        </w:tc>
        <w:tc>
          <w:tcPr>
            <w:tcW w:w="17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$10,000,000,000</w:t>
            </w:r>
          </w:p>
        </w:tc>
        <w:tc>
          <w:tcPr>
            <w:tcW w:w="11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100%</w:t>
            </w:r>
          </w:p>
        </w:tc>
        <w:tc>
          <w:tcPr>
            <w:tcW w:w="21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$10,000,000,000</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$920,000</w:t>
            </w:r>
          </w:p>
        </w:tc>
      </w:tr>
    </w:tbl>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46" w:lineRule="exact"/>
        <w:rPr>
          <w:sz w:val="24"/>
          <w:szCs w:val="24"/>
          <w:color w:val="auto"/>
        </w:rPr>
      </w:pPr>
    </w:p>
    <w:p>
      <w:pPr>
        <w:ind w:left="440" w:right="4800" w:hanging="430"/>
        <w:spacing w:after="0" w:line="254" w:lineRule="auto"/>
        <w:tabs>
          <w:tab w:leader="none" w:pos="44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amount in U.S. dollars as shall result in an aggregate initial offering price for all securities of $10,000,000,000. In addition, this Registration Statement includes such presently indeterminate number of Securities (as defined herein) as may be issuable from time to time upon conversion or exchange of the Securities being registered hereunder.</w:t>
      </w:r>
    </w:p>
    <w:p>
      <w:pPr>
        <w:ind w:left="440" w:hanging="430"/>
        <w:spacing w:after="0" w:line="237" w:lineRule="auto"/>
        <w:tabs>
          <w:tab w:leader="none" w:pos="44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Estimated solely for the purpose of calculating the registration fee.</w:t>
      </w:r>
    </w:p>
    <w:p>
      <w:pPr>
        <w:sectPr>
          <w:pgSz w:w="11900" w:h="16910" w:orient="portrait"/>
          <w:cols w:equalWidth="0" w:num="1">
            <w:col w:w="11540"/>
          </w:cols>
          <w:pgMar w:left="220" w:top="393" w:right="139" w:bottom="0" w:gutter="0" w:footer="0" w:header="0"/>
          <w:type w:val="continuous"/>
        </w:sectPr>
      </w:pPr>
    </w:p>
    <w:bookmarkStart w:id="1" w:name="page2"/>
    <w:bookmarkEnd w:id="1"/>
    <w:p>
      <w:pPr>
        <w:ind w:left="440" w:right="3399" w:hanging="430"/>
        <w:spacing w:after="0" w:line="235" w:lineRule="auto"/>
        <w:tabs>
          <w:tab w:leader="none" w:pos="44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registration fee has been calculated in accordance with Rule 457(o) under the Securities Act of 1933, as amended, and reflects the offering price rather than the principal amount of any Debt Securities issued at a discount or the liquidation value of any Preferred Stock.</w:t>
      </w:r>
    </w:p>
    <w:p>
      <w:pPr>
        <w:spacing w:after="0" w:line="7" w:lineRule="exact"/>
        <w:rPr>
          <w:rFonts w:ascii="Courier New" w:cs="Courier New" w:eastAsia="Courier New" w:hAnsi="Courier New"/>
          <w:sz w:val="15"/>
          <w:szCs w:val="15"/>
          <w:color w:val="auto"/>
        </w:rPr>
      </w:pPr>
    </w:p>
    <w:p>
      <w:pPr>
        <w:ind w:left="440" w:right="3319" w:hanging="430"/>
        <w:spacing w:after="0" w:line="235" w:lineRule="auto"/>
        <w:tabs>
          <w:tab w:leader="none" w:pos="44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Comcast Cable Communications, Inc., Comcast Cable Communications Holdings, Inc., Comcast Cable Holdings, LLC and Comcast MO Group, Inc. (collectively, the "Cable Guarantors") will fully and unconditionally guarantee the Debt Securities.</w:t>
      </w:r>
    </w:p>
    <w:p>
      <w:pPr>
        <w:spacing w:after="0" w:line="7" w:lineRule="exact"/>
        <w:rPr>
          <w:rFonts w:ascii="Courier New" w:cs="Courier New" w:eastAsia="Courier New" w:hAnsi="Courier New"/>
          <w:sz w:val="15"/>
          <w:szCs w:val="15"/>
          <w:color w:val="auto"/>
        </w:rPr>
      </w:pPr>
    </w:p>
    <w:p>
      <w:pPr>
        <w:ind w:left="440" w:right="3319" w:hanging="430"/>
        <w:spacing w:after="0" w:line="235" w:lineRule="auto"/>
        <w:tabs>
          <w:tab w:leader="none" w:pos="44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indicated in the relevant prospectus supplement, the Warrants, Purchase Contracts and/or Units may be fully and unconditionally guaranteed by specified Cable Guarantors.</w:t>
      </w:r>
    </w:p>
    <w:p>
      <w:pPr>
        <w:spacing w:after="0" w:line="5" w:lineRule="exact"/>
        <w:rPr>
          <w:rFonts w:ascii="Courier New" w:cs="Courier New" w:eastAsia="Courier New" w:hAnsi="Courier New"/>
          <w:sz w:val="15"/>
          <w:szCs w:val="15"/>
          <w:color w:val="auto"/>
        </w:rPr>
      </w:pPr>
    </w:p>
    <w:p>
      <w:pPr>
        <w:ind w:left="440" w:right="3939" w:hanging="430"/>
        <w:spacing w:after="0" w:line="234" w:lineRule="auto"/>
        <w:tabs>
          <w:tab w:leader="none" w:pos="44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Pursuant to Rule 457(n), no separate registration fee is payable in connection with the Guarantees.</w:t>
      </w:r>
    </w:p>
    <w:p>
      <w:pPr>
        <w:spacing w:after="0" w:line="173"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ADDITIONAL REGISTRANTS</w:t>
      </w:r>
    </w:p>
    <w:p>
      <w:pPr>
        <w:jc w:val="center"/>
        <w:ind w:right="3219"/>
        <w:spacing w:after="0" w:line="237" w:lineRule="auto"/>
        <w:rPr>
          <w:sz w:val="20"/>
          <w:szCs w:val="20"/>
          <w:color w:val="auto"/>
        </w:rPr>
      </w:pPr>
      <w:r>
        <w:rPr>
          <w:rFonts w:ascii="Courier New" w:cs="Courier New" w:eastAsia="Courier New" w:hAnsi="Courier New"/>
          <w:sz w:val="15"/>
          <w:szCs w:val="15"/>
          <w:color w:val="auto"/>
        </w:rPr>
        <w:t>COMCAST CABLE COMMUNICATIONS, INC.</w:t>
      </w:r>
    </w:p>
    <w:p>
      <w:pPr>
        <w:jc w:val="center"/>
        <w:ind w:right="3219"/>
        <w:spacing w:after="0" w:line="238" w:lineRule="auto"/>
        <w:rPr>
          <w:sz w:val="20"/>
          <w:szCs w:val="20"/>
          <w:color w:val="auto"/>
        </w:rPr>
      </w:pPr>
      <w:r>
        <w:rPr>
          <w:rFonts w:ascii="Courier New" w:cs="Courier New" w:eastAsia="Courier New" w:hAnsi="Courier New"/>
          <w:sz w:val="15"/>
          <w:szCs w:val="15"/>
          <w:color w:val="auto"/>
        </w:rPr>
        <w:t>(Exact name of registrant as specified in its charter)</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980" w:type="dxa"/>
            <w:vAlign w:val="bottom"/>
          </w:tcPr>
          <w:p>
            <w:pPr>
              <w:jc w:val="center"/>
              <w:ind w:right="1247"/>
              <w:spacing w:after="0"/>
              <w:rPr>
                <w:sz w:val="20"/>
                <w:szCs w:val="20"/>
                <w:color w:val="auto"/>
              </w:rPr>
            </w:pPr>
            <w:r>
              <w:rPr>
                <w:rFonts w:ascii="Courier New" w:cs="Courier New" w:eastAsia="Courier New" w:hAnsi="Courier New"/>
                <w:sz w:val="15"/>
                <w:szCs w:val="15"/>
                <w:color w:val="auto"/>
                <w:w w:val="97"/>
              </w:rPr>
              <w:t>Delaware</w:t>
            </w:r>
          </w:p>
        </w:tc>
        <w:tc>
          <w:tcPr>
            <w:tcW w:w="2940" w:type="dxa"/>
            <w:vAlign w:val="bottom"/>
          </w:tcPr>
          <w:p>
            <w:pPr>
              <w:jc w:val="center"/>
              <w:ind w:left="1107"/>
              <w:spacing w:after="0"/>
              <w:rPr>
                <w:sz w:val="20"/>
                <w:szCs w:val="20"/>
                <w:color w:val="auto"/>
              </w:rPr>
            </w:pPr>
            <w:r>
              <w:rPr>
                <w:rFonts w:ascii="Courier New" w:cs="Courier New" w:eastAsia="Courier New" w:hAnsi="Courier New"/>
                <w:sz w:val="15"/>
                <w:szCs w:val="15"/>
                <w:color w:val="auto"/>
                <w:w w:val="97"/>
              </w:rPr>
              <w:t>23-2175755</w:t>
            </w:r>
          </w:p>
        </w:tc>
      </w:tr>
      <w:tr>
        <w:trPr>
          <w:trHeight w:val="168"/>
        </w:trPr>
        <w:tc>
          <w:tcPr>
            <w:tcW w:w="3980" w:type="dxa"/>
            <w:vAlign w:val="bottom"/>
          </w:tcPr>
          <w:p>
            <w:pPr>
              <w:jc w:val="center"/>
              <w:ind w:right="1247"/>
              <w:spacing w:after="0" w:line="168" w:lineRule="exact"/>
              <w:rPr>
                <w:sz w:val="20"/>
                <w:szCs w:val="20"/>
                <w:color w:val="auto"/>
              </w:rPr>
            </w:pPr>
            <w:r>
              <w:rPr>
                <w:rFonts w:ascii="Courier New" w:cs="Courier New" w:eastAsia="Courier New" w:hAnsi="Courier New"/>
                <w:sz w:val="15"/>
                <w:szCs w:val="15"/>
                <w:color w:val="auto"/>
                <w:w w:val="97"/>
              </w:rPr>
              <w:t>--------</w:t>
            </w:r>
          </w:p>
        </w:tc>
        <w:tc>
          <w:tcPr>
            <w:tcW w:w="2940" w:type="dxa"/>
            <w:vAlign w:val="bottom"/>
          </w:tcPr>
          <w:p>
            <w:pPr>
              <w:jc w:val="center"/>
              <w:ind w:left="1107"/>
              <w:spacing w:after="0" w:line="168" w:lineRule="exact"/>
              <w:rPr>
                <w:sz w:val="20"/>
                <w:szCs w:val="20"/>
                <w:color w:val="auto"/>
              </w:rPr>
            </w:pPr>
            <w:r>
              <w:rPr>
                <w:rFonts w:ascii="Courier New" w:cs="Courier New" w:eastAsia="Courier New" w:hAnsi="Courier New"/>
                <w:sz w:val="15"/>
                <w:szCs w:val="15"/>
                <w:color w:val="auto"/>
                <w:w w:val="97"/>
              </w:rPr>
              <w:t>----------</w:t>
            </w:r>
          </w:p>
        </w:tc>
      </w:tr>
      <w:tr>
        <w:trPr>
          <w:trHeight w:val="168"/>
        </w:trPr>
        <w:tc>
          <w:tcPr>
            <w:tcW w:w="3980" w:type="dxa"/>
            <w:vAlign w:val="bottom"/>
          </w:tcPr>
          <w:p>
            <w:pPr>
              <w:spacing w:after="0" w:line="168" w:lineRule="exact"/>
              <w:rPr>
                <w:sz w:val="20"/>
                <w:szCs w:val="20"/>
                <w:color w:val="auto"/>
              </w:rPr>
            </w:pPr>
            <w:r>
              <w:rPr>
                <w:rFonts w:ascii="Courier New" w:cs="Courier New" w:eastAsia="Courier New" w:hAnsi="Courier New"/>
                <w:sz w:val="15"/>
                <w:szCs w:val="15"/>
                <w:color w:val="auto"/>
              </w:rPr>
              <w:t>(State of other jurisdiction of</w:t>
            </w:r>
          </w:p>
        </w:tc>
        <w:tc>
          <w:tcPr>
            <w:tcW w:w="2940" w:type="dxa"/>
            <w:vAlign w:val="bottom"/>
          </w:tcPr>
          <w:p>
            <w:pPr>
              <w:jc w:val="center"/>
              <w:ind w:left="1107"/>
              <w:spacing w:after="0" w:line="168" w:lineRule="exact"/>
              <w:rPr>
                <w:sz w:val="20"/>
                <w:szCs w:val="20"/>
                <w:color w:val="auto"/>
              </w:rPr>
            </w:pPr>
            <w:r>
              <w:rPr>
                <w:rFonts w:ascii="Courier New" w:cs="Courier New" w:eastAsia="Courier New" w:hAnsi="Courier New"/>
                <w:sz w:val="15"/>
                <w:szCs w:val="15"/>
                <w:color w:val="auto"/>
                <w:w w:val="97"/>
              </w:rPr>
              <w:t>(I.R.S. Employer</w:t>
            </w:r>
          </w:p>
        </w:tc>
      </w:tr>
      <w:tr>
        <w:trPr>
          <w:trHeight w:val="168"/>
        </w:trPr>
        <w:tc>
          <w:tcPr>
            <w:tcW w:w="3980" w:type="dxa"/>
            <w:vAlign w:val="bottom"/>
          </w:tcPr>
          <w:p>
            <w:pPr>
              <w:jc w:val="center"/>
              <w:ind w:right="1267"/>
              <w:spacing w:after="0" w:line="168" w:lineRule="exact"/>
              <w:rPr>
                <w:sz w:val="20"/>
                <w:szCs w:val="20"/>
                <w:color w:val="auto"/>
              </w:rPr>
            </w:pPr>
            <w:r>
              <w:rPr>
                <w:rFonts w:ascii="Courier New" w:cs="Courier New" w:eastAsia="Courier New" w:hAnsi="Courier New"/>
                <w:sz w:val="15"/>
                <w:szCs w:val="15"/>
                <w:color w:val="auto"/>
                <w:w w:val="97"/>
              </w:rPr>
              <w:t>incorporation or organization)</w:t>
            </w:r>
          </w:p>
        </w:tc>
        <w:tc>
          <w:tcPr>
            <w:tcW w:w="2940" w:type="dxa"/>
            <w:vAlign w:val="bottom"/>
          </w:tcPr>
          <w:p>
            <w:pPr>
              <w:ind w:left="1280"/>
              <w:spacing w:after="0" w:line="168" w:lineRule="exact"/>
              <w:rPr>
                <w:sz w:val="20"/>
                <w:szCs w:val="20"/>
                <w:color w:val="auto"/>
              </w:rPr>
            </w:pPr>
            <w:r>
              <w:rPr>
                <w:rFonts w:ascii="Courier New" w:cs="Courier New" w:eastAsia="Courier New" w:hAnsi="Courier New"/>
                <w:sz w:val="15"/>
                <w:szCs w:val="15"/>
                <w:color w:val="auto"/>
                <w:w w:val="95"/>
              </w:rPr>
              <w:t>Identification No.)</w:t>
            </w:r>
          </w:p>
        </w:tc>
      </w:tr>
    </w:tbl>
    <w:p>
      <w:pPr>
        <w:spacing w:after="0" w:line="166"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1500 Market Street</w:t>
      </w:r>
    </w:p>
    <w:p>
      <w:pPr>
        <w:jc w:val="center"/>
        <w:ind w:right="3139"/>
        <w:spacing w:after="0" w:line="237" w:lineRule="auto"/>
        <w:rPr>
          <w:sz w:val="20"/>
          <w:szCs w:val="20"/>
          <w:color w:val="auto"/>
        </w:rPr>
      </w:pPr>
      <w:r>
        <w:rPr>
          <w:rFonts w:ascii="Courier New" w:cs="Courier New" w:eastAsia="Courier New" w:hAnsi="Courier New"/>
          <w:sz w:val="15"/>
          <w:szCs w:val="15"/>
          <w:color w:val="auto"/>
        </w:rPr>
        <w:t>Philadelphia, Pennsylvania 19102-2148</w:t>
      </w:r>
    </w:p>
    <w:p>
      <w:pPr>
        <w:jc w:val="center"/>
        <w:ind w:right="3219"/>
        <w:spacing w:after="0" w:line="238" w:lineRule="auto"/>
        <w:rPr>
          <w:sz w:val="20"/>
          <w:szCs w:val="20"/>
          <w:color w:val="auto"/>
        </w:rPr>
      </w:pPr>
      <w:r>
        <w:rPr>
          <w:rFonts w:ascii="Courier New" w:cs="Courier New" w:eastAsia="Courier New" w:hAnsi="Courier New"/>
          <w:sz w:val="15"/>
          <w:szCs w:val="15"/>
          <w:color w:val="auto"/>
        </w:rPr>
        <w:t>(215) 665-1700</w:t>
      </w:r>
    </w:p>
    <w:p>
      <w:pPr>
        <w:jc w:val="center"/>
        <w:ind w:right="3139"/>
        <w:spacing w:after="0" w:line="237" w:lineRule="auto"/>
        <w:rPr>
          <w:sz w:val="20"/>
          <w:szCs w:val="20"/>
          <w:color w:val="auto"/>
        </w:rPr>
      </w:pPr>
      <w:r>
        <w:rPr>
          <w:rFonts w:ascii="Courier New" w:cs="Courier New" w:eastAsia="Courier New" w:hAnsi="Courier New"/>
          <w:sz w:val="15"/>
          <w:szCs w:val="15"/>
          <w:color w:val="auto"/>
        </w:rPr>
        <w:t>(Address, including zip code, and telephone number including area code,</w:t>
      </w:r>
    </w:p>
    <w:p>
      <w:pPr>
        <w:jc w:val="center"/>
        <w:ind w:right="3219"/>
        <w:spacing w:after="0" w:line="238" w:lineRule="auto"/>
        <w:rPr>
          <w:sz w:val="20"/>
          <w:szCs w:val="20"/>
          <w:color w:val="auto"/>
        </w:rPr>
      </w:pPr>
      <w:r>
        <w:rPr>
          <w:rFonts w:ascii="Courier New" w:cs="Courier New" w:eastAsia="Courier New" w:hAnsi="Courier New"/>
          <w:sz w:val="15"/>
          <w:szCs w:val="15"/>
          <w:color w:val="auto"/>
        </w:rPr>
        <w:t>of Registrant's principal executive offices)</w:t>
      </w:r>
    </w:p>
    <w:p>
      <w:pPr>
        <w:spacing w:after="0" w:line="167"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Arthur R. Block, Esq.</w:t>
      </w:r>
    </w:p>
    <w:p>
      <w:pPr>
        <w:jc w:val="center"/>
        <w:ind w:right="3139"/>
        <w:spacing w:after="0" w:line="237" w:lineRule="auto"/>
        <w:rPr>
          <w:sz w:val="20"/>
          <w:szCs w:val="20"/>
          <w:color w:val="auto"/>
        </w:rPr>
      </w:pPr>
      <w:r>
        <w:rPr>
          <w:rFonts w:ascii="Courier New" w:cs="Courier New" w:eastAsia="Courier New" w:hAnsi="Courier New"/>
          <w:sz w:val="15"/>
          <w:szCs w:val="15"/>
          <w:color w:val="auto"/>
        </w:rPr>
        <w:t>Senior Vice President</w:t>
      </w:r>
    </w:p>
    <w:p>
      <w:pPr>
        <w:jc w:val="center"/>
        <w:ind w:right="3139"/>
        <w:spacing w:after="0" w:line="238" w:lineRule="auto"/>
        <w:rPr>
          <w:sz w:val="20"/>
          <w:szCs w:val="20"/>
          <w:color w:val="auto"/>
        </w:rPr>
      </w:pPr>
      <w:r>
        <w:rPr>
          <w:rFonts w:ascii="Courier New" w:cs="Courier New" w:eastAsia="Courier New" w:hAnsi="Courier New"/>
          <w:sz w:val="15"/>
          <w:szCs w:val="15"/>
          <w:color w:val="auto"/>
        </w:rPr>
        <w:t>Comcast Corporation</w:t>
      </w:r>
    </w:p>
    <w:p>
      <w:pPr>
        <w:jc w:val="center"/>
        <w:ind w:right="3139"/>
        <w:spacing w:after="0" w:line="237" w:lineRule="auto"/>
        <w:rPr>
          <w:sz w:val="20"/>
          <w:szCs w:val="20"/>
          <w:color w:val="auto"/>
        </w:rPr>
      </w:pPr>
      <w:r>
        <w:rPr>
          <w:rFonts w:ascii="Courier New" w:cs="Courier New" w:eastAsia="Courier New" w:hAnsi="Courier New"/>
          <w:sz w:val="15"/>
          <w:szCs w:val="15"/>
          <w:color w:val="auto"/>
        </w:rPr>
        <w:t>Philadelphia, Pennsylvania 19102-2148</w:t>
      </w:r>
    </w:p>
    <w:p>
      <w:pPr>
        <w:jc w:val="center"/>
        <w:ind w:right="3219"/>
        <w:spacing w:after="0" w:line="238" w:lineRule="auto"/>
        <w:rPr>
          <w:sz w:val="20"/>
          <w:szCs w:val="20"/>
          <w:color w:val="auto"/>
        </w:rPr>
      </w:pPr>
      <w:r>
        <w:rPr>
          <w:rFonts w:ascii="Courier New" w:cs="Courier New" w:eastAsia="Courier New" w:hAnsi="Courier New"/>
          <w:sz w:val="15"/>
          <w:szCs w:val="15"/>
          <w:color w:val="auto"/>
        </w:rPr>
        <w:t>(215) 665-1700</w:t>
      </w:r>
    </w:p>
    <w:p>
      <w:pPr>
        <w:spacing w:after="0" w:line="5" w:lineRule="exact"/>
        <w:rPr>
          <w:sz w:val="20"/>
          <w:szCs w:val="20"/>
          <w:color w:val="auto"/>
        </w:rPr>
      </w:pPr>
    </w:p>
    <w:p>
      <w:pPr>
        <w:jc w:val="center"/>
        <w:ind w:right="3399"/>
        <w:spacing w:after="0"/>
        <w:rPr>
          <w:sz w:val="20"/>
          <w:szCs w:val="20"/>
          <w:color w:val="auto"/>
        </w:rPr>
      </w:pPr>
      <w:r>
        <w:rPr>
          <w:rFonts w:ascii="Courier New" w:cs="Courier New" w:eastAsia="Courier New" w:hAnsi="Courier New"/>
          <w:sz w:val="14"/>
          <w:szCs w:val="14"/>
          <w:color w:val="auto"/>
        </w:rPr>
        <w:t>(Name, address, including zip code, and telephone number, including area code,</w:t>
      </w:r>
    </w:p>
    <w:p>
      <w:pPr>
        <w:spacing w:after="0" w:line="3"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of agent for service)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1"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COMCAST CABLE COMMUNICATIONS HOLDINGS, INC.</w:t>
      </w:r>
    </w:p>
    <w:p>
      <w:pPr>
        <w:jc w:val="center"/>
        <w:ind w:right="3139"/>
        <w:spacing w:after="0" w:line="237" w:lineRule="auto"/>
        <w:rPr>
          <w:sz w:val="20"/>
          <w:szCs w:val="20"/>
          <w:color w:val="auto"/>
        </w:rPr>
      </w:pPr>
      <w:r>
        <w:rPr>
          <w:rFonts w:ascii="Courier New" w:cs="Courier New" w:eastAsia="Courier New" w:hAnsi="Courier New"/>
          <w:sz w:val="15"/>
          <w:szCs w:val="15"/>
          <w:color w:val="auto"/>
        </w:rPr>
        <w:t>(formerly AT&amp;T Broadband Corp.)</w:t>
      </w:r>
    </w:p>
    <w:p>
      <w:pPr>
        <w:jc w:val="center"/>
        <w:ind w:right="3219"/>
        <w:spacing w:after="0" w:line="238" w:lineRule="auto"/>
        <w:rPr>
          <w:sz w:val="20"/>
          <w:szCs w:val="20"/>
          <w:color w:val="auto"/>
        </w:rPr>
      </w:pPr>
      <w:r>
        <w:rPr>
          <w:rFonts w:ascii="Courier New" w:cs="Courier New" w:eastAsia="Courier New" w:hAnsi="Courier New"/>
          <w:sz w:val="15"/>
          <w:szCs w:val="15"/>
          <w:color w:val="auto"/>
        </w:rPr>
        <w:t>(Exact name of registrant as specified in its charter)</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220" w:type="dxa"/>
            <w:vAlign w:val="bottom"/>
          </w:tcPr>
          <w:p>
            <w:pPr>
              <w:jc w:val="center"/>
              <w:ind w:right="2487"/>
              <w:spacing w:after="0"/>
              <w:rPr>
                <w:sz w:val="20"/>
                <w:szCs w:val="20"/>
                <w:color w:val="auto"/>
              </w:rPr>
            </w:pPr>
            <w:r>
              <w:rPr>
                <w:rFonts w:ascii="Courier New" w:cs="Courier New" w:eastAsia="Courier New" w:hAnsi="Courier New"/>
                <w:sz w:val="15"/>
                <w:szCs w:val="15"/>
                <w:color w:val="auto"/>
                <w:w w:val="97"/>
              </w:rPr>
              <w:t>Delaware</w:t>
            </w:r>
          </w:p>
        </w:tc>
        <w:tc>
          <w:tcPr>
            <w:tcW w:w="1700" w:type="dxa"/>
            <w:vAlign w:val="bottom"/>
          </w:tcPr>
          <w:p>
            <w:pPr>
              <w:jc w:val="center"/>
              <w:spacing w:after="0"/>
              <w:rPr>
                <w:sz w:val="20"/>
                <w:szCs w:val="20"/>
                <w:color w:val="auto"/>
              </w:rPr>
            </w:pPr>
            <w:r>
              <w:rPr>
                <w:rFonts w:ascii="Courier New" w:cs="Courier New" w:eastAsia="Courier New" w:hAnsi="Courier New"/>
                <w:sz w:val="15"/>
                <w:szCs w:val="15"/>
                <w:color w:val="auto"/>
                <w:w w:val="97"/>
              </w:rPr>
              <w:t>04-3592397</w:t>
            </w:r>
          </w:p>
        </w:tc>
      </w:tr>
      <w:tr>
        <w:trPr>
          <w:trHeight w:val="168"/>
        </w:trPr>
        <w:tc>
          <w:tcPr>
            <w:tcW w:w="5220" w:type="dxa"/>
            <w:vAlign w:val="bottom"/>
          </w:tcPr>
          <w:p>
            <w:pPr>
              <w:jc w:val="center"/>
              <w:ind w:right="2487"/>
              <w:spacing w:after="0" w:line="168" w:lineRule="exact"/>
              <w:rPr>
                <w:sz w:val="20"/>
                <w:szCs w:val="20"/>
                <w:color w:val="auto"/>
              </w:rPr>
            </w:pPr>
            <w:r>
              <w:rPr>
                <w:rFonts w:ascii="Courier New" w:cs="Courier New" w:eastAsia="Courier New" w:hAnsi="Courier New"/>
                <w:sz w:val="15"/>
                <w:szCs w:val="15"/>
                <w:color w:val="auto"/>
                <w:w w:val="97"/>
              </w:rPr>
              <w:t>--------</w:t>
            </w:r>
          </w:p>
        </w:tc>
        <w:tc>
          <w:tcPr>
            <w:tcW w:w="170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w:t>
            </w:r>
          </w:p>
        </w:tc>
      </w:tr>
      <w:tr>
        <w:trPr>
          <w:trHeight w:val="168"/>
        </w:trPr>
        <w:tc>
          <w:tcPr>
            <w:tcW w:w="5220" w:type="dxa"/>
            <w:vAlign w:val="bottom"/>
          </w:tcPr>
          <w:p>
            <w:pPr>
              <w:spacing w:after="0" w:line="168" w:lineRule="exact"/>
              <w:rPr>
                <w:sz w:val="20"/>
                <w:szCs w:val="20"/>
                <w:color w:val="auto"/>
              </w:rPr>
            </w:pPr>
            <w:r>
              <w:rPr>
                <w:rFonts w:ascii="Courier New" w:cs="Courier New" w:eastAsia="Courier New" w:hAnsi="Courier New"/>
                <w:sz w:val="15"/>
                <w:szCs w:val="15"/>
                <w:color w:val="auto"/>
              </w:rPr>
              <w:t>(State of other jurisdiction of</w:t>
            </w:r>
          </w:p>
        </w:tc>
        <w:tc>
          <w:tcPr>
            <w:tcW w:w="170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(I.R.S. Employer</w:t>
            </w:r>
          </w:p>
        </w:tc>
      </w:tr>
      <w:tr>
        <w:trPr>
          <w:trHeight w:val="168"/>
        </w:trPr>
        <w:tc>
          <w:tcPr>
            <w:tcW w:w="5220" w:type="dxa"/>
            <w:vAlign w:val="bottom"/>
          </w:tcPr>
          <w:p>
            <w:pPr>
              <w:jc w:val="center"/>
              <w:ind w:right="2507"/>
              <w:spacing w:after="0" w:line="168" w:lineRule="exact"/>
              <w:rPr>
                <w:sz w:val="20"/>
                <w:szCs w:val="20"/>
                <w:color w:val="auto"/>
              </w:rPr>
            </w:pPr>
            <w:r>
              <w:rPr>
                <w:rFonts w:ascii="Courier New" w:cs="Courier New" w:eastAsia="Courier New" w:hAnsi="Courier New"/>
                <w:sz w:val="15"/>
                <w:szCs w:val="15"/>
                <w:color w:val="auto"/>
                <w:w w:val="97"/>
              </w:rPr>
              <w:t>incorporation or organization)</w:t>
            </w:r>
          </w:p>
        </w:tc>
        <w:tc>
          <w:tcPr>
            <w:tcW w:w="17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5"/>
              </w:rPr>
              <w:t>Identification No.)</w:t>
            </w:r>
          </w:p>
        </w:tc>
      </w:tr>
      <w:tr>
        <w:trPr>
          <w:trHeight w:val="336"/>
        </w:trPr>
        <w:tc>
          <w:tcPr>
            <w:tcW w:w="5220" w:type="dxa"/>
            <w:vAlign w:val="bottom"/>
          </w:tcPr>
          <w:p>
            <w:pPr>
              <w:jc w:val="center"/>
              <w:ind w:left="1727"/>
              <w:spacing w:after="0"/>
              <w:rPr>
                <w:sz w:val="20"/>
                <w:szCs w:val="20"/>
                <w:color w:val="auto"/>
              </w:rPr>
            </w:pPr>
            <w:r>
              <w:rPr>
                <w:rFonts w:ascii="Courier New" w:cs="Courier New" w:eastAsia="Courier New" w:hAnsi="Courier New"/>
                <w:sz w:val="15"/>
                <w:szCs w:val="15"/>
                <w:color w:val="auto"/>
                <w:w w:val="97"/>
              </w:rPr>
              <w:t>1500 Market Street</w:t>
            </w:r>
          </w:p>
        </w:tc>
        <w:tc>
          <w:tcPr>
            <w:tcW w:w="1700" w:type="dxa"/>
            <w:vAlign w:val="bottom"/>
          </w:tcPr>
          <w:p>
            <w:pPr>
              <w:spacing w:after="0"/>
              <w:rPr>
                <w:sz w:val="24"/>
                <w:szCs w:val="24"/>
                <w:color w:val="auto"/>
              </w:rPr>
            </w:pPr>
          </w:p>
        </w:tc>
      </w:tr>
      <w:tr>
        <w:trPr>
          <w:trHeight w:val="168"/>
        </w:trPr>
        <w:tc>
          <w:tcPr>
            <w:tcW w:w="5220" w:type="dxa"/>
            <w:vAlign w:val="bottom"/>
          </w:tcPr>
          <w:p>
            <w:pPr>
              <w:ind w:left="1940"/>
              <w:spacing w:after="0" w:line="168" w:lineRule="exact"/>
              <w:rPr>
                <w:sz w:val="20"/>
                <w:szCs w:val="20"/>
                <w:color w:val="auto"/>
              </w:rPr>
            </w:pPr>
            <w:r>
              <w:rPr>
                <w:rFonts w:ascii="Courier New" w:cs="Courier New" w:eastAsia="Courier New" w:hAnsi="Courier New"/>
                <w:sz w:val="15"/>
                <w:szCs w:val="15"/>
                <w:color w:val="auto"/>
                <w:w w:val="97"/>
              </w:rPr>
              <w:t>Philadelphia, Pennsylvania 19102-2148</w:t>
            </w:r>
          </w:p>
        </w:tc>
        <w:tc>
          <w:tcPr>
            <w:tcW w:w="1700" w:type="dxa"/>
            <w:vAlign w:val="bottom"/>
          </w:tcPr>
          <w:p>
            <w:pPr>
              <w:spacing w:after="0"/>
              <w:rPr>
                <w:sz w:val="14"/>
                <w:szCs w:val="14"/>
                <w:color w:val="auto"/>
              </w:rPr>
            </w:pPr>
          </w:p>
        </w:tc>
      </w:tr>
      <w:tr>
        <w:trPr>
          <w:trHeight w:val="168"/>
        </w:trPr>
        <w:tc>
          <w:tcPr>
            <w:tcW w:w="5220" w:type="dxa"/>
            <w:vAlign w:val="bottom"/>
          </w:tcPr>
          <w:p>
            <w:pPr>
              <w:jc w:val="right"/>
              <w:ind w:right="1027"/>
              <w:spacing w:after="0" w:line="168" w:lineRule="exact"/>
              <w:rPr>
                <w:sz w:val="20"/>
                <w:szCs w:val="20"/>
                <w:color w:val="auto"/>
              </w:rPr>
            </w:pPr>
            <w:r>
              <w:rPr>
                <w:rFonts w:ascii="Courier New" w:cs="Courier New" w:eastAsia="Courier New" w:hAnsi="Courier New"/>
                <w:sz w:val="15"/>
                <w:szCs w:val="15"/>
                <w:color w:val="auto"/>
              </w:rPr>
              <w:t>(215) 665-1700</w:t>
            </w:r>
          </w:p>
        </w:tc>
        <w:tc>
          <w:tcPr>
            <w:tcW w:w="1700" w:type="dxa"/>
            <w:vAlign w:val="bottom"/>
          </w:tcPr>
          <w:p>
            <w:pPr>
              <w:spacing w:after="0"/>
              <w:rPr>
                <w:sz w:val="14"/>
                <w:szCs w:val="14"/>
                <w:color w:val="auto"/>
              </w:rPr>
            </w:pPr>
          </w:p>
        </w:tc>
      </w:tr>
    </w:tbl>
    <w:p>
      <w:pPr>
        <w:jc w:val="center"/>
        <w:ind w:right="3139"/>
        <w:spacing w:after="0" w:line="237" w:lineRule="auto"/>
        <w:rPr>
          <w:sz w:val="20"/>
          <w:szCs w:val="20"/>
          <w:color w:val="auto"/>
        </w:rPr>
      </w:pPr>
      <w:r>
        <w:rPr>
          <w:rFonts w:ascii="Courier New" w:cs="Courier New" w:eastAsia="Courier New" w:hAnsi="Courier New"/>
          <w:sz w:val="15"/>
          <w:szCs w:val="15"/>
          <w:color w:val="auto"/>
        </w:rPr>
        <w:t>(Address, including zip code, and telephone number including area code,</w:t>
      </w:r>
    </w:p>
    <w:p>
      <w:pPr>
        <w:jc w:val="center"/>
        <w:ind w:right="3219"/>
        <w:spacing w:after="0" w:line="238" w:lineRule="auto"/>
        <w:rPr>
          <w:sz w:val="20"/>
          <w:szCs w:val="20"/>
          <w:color w:val="auto"/>
        </w:rPr>
      </w:pPr>
      <w:r>
        <w:rPr>
          <w:rFonts w:ascii="Courier New" w:cs="Courier New" w:eastAsia="Courier New" w:hAnsi="Courier New"/>
          <w:sz w:val="15"/>
          <w:szCs w:val="15"/>
          <w:color w:val="auto"/>
        </w:rPr>
        <w:t>of Registrant's principal executive offices)</w:t>
      </w:r>
    </w:p>
    <w:p>
      <w:pPr>
        <w:spacing w:after="0" w:line="167"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Arthur R. Block, Esq.</w:t>
      </w:r>
    </w:p>
    <w:p>
      <w:pPr>
        <w:jc w:val="center"/>
        <w:ind w:right="3139"/>
        <w:spacing w:after="0" w:line="237" w:lineRule="auto"/>
        <w:rPr>
          <w:sz w:val="20"/>
          <w:szCs w:val="20"/>
          <w:color w:val="auto"/>
        </w:rPr>
      </w:pPr>
      <w:r>
        <w:rPr>
          <w:rFonts w:ascii="Courier New" w:cs="Courier New" w:eastAsia="Courier New" w:hAnsi="Courier New"/>
          <w:sz w:val="15"/>
          <w:szCs w:val="15"/>
          <w:color w:val="auto"/>
        </w:rPr>
        <w:t>Senior Vice President</w:t>
      </w:r>
    </w:p>
    <w:p>
      <w:pPr>
        <w:jc w:val="center"/>
        <w:ind w:right="3139"/>
        <w:spacing w:after="0" w:line="238" w:lineRule="auto"/>
        <w:rPr>
          <w:sz w:val="20"/>
          <w:szCs w:val="20"/>
          <w:color w:val="auto"/>
        </w:rPr>
      </w:pPr>
      <w:r>
        <w:rPr>
          <w:rFonts w:ascii="Courier New" w:cs="Courier New" w:eastAsia="Courier New" w:hAnsi="Courier New"/>
          <w:sz w:val="15"/>
          <w:szCs w:val="15"/>
          <w:color w:val="auto"/>
        </w:rPr>
        <w:t>Comcast Corporation</w:t>
      </w:r>
    </w:p>
    <w:p>
      <w:pPr>
        <w:jc w:val="center"/>
        <w:ind w:right="3139"/>
        <w:spacing w:after="0" w:line="237" w:lineRule="auto"/>
        <w:rPr>
          <w:sz w:val="20"/>
          <w:szCs w:val="20"/>
          <w:color w:val="auto"/>
        </w:rPr>
      </w:pPr>
      <w:r>
        <w:rPr>
          <w:rFonts w:ascii="Courier New" w:cs="Courier New" w:eastAsia="Courier New" w:hAnsi="Courier New"/>
          <w:sz w:val="15"/>
          <w:szCs w:val="15"/>
          <w:color w:val="auto"/>
        </w:rPr>
        <w:t>Philadelphia, Pennsylvania 19102-2148</w:t>
      </w:r>
    </w:p>
    <w:p>
      <w:pPr>
        <w:jc w:val="center"/>
        <w:ind w:right="3219"/>
        <w:spacing w:after="0" w:line="238" w:lineRule="auto"/>
        <w:rPr>
          <w:sz w:val="20"/>
          <w:szCs w:val="20"/>
          <w:color w:val="auto"/>
        </w:rPr>
      </w:pPr>
      <w:r>
        <w:rPr>
          <w:rFonts w:ascii="Courier New" w:cs="Courier New" w:eastAsia="Courier New" w:hAnsi="Courier New"/>
          <w:sz w:val="15"/>
          <w:szCs w:val="15"/>
          <w:color w:val="auto"/>
        </w:rPr>
        <w:t>(215) 665-1700</w:t>
      </w:r>
    </w:p>
    <w:p>
      <w:pPr>
        <w:spacing w:after="0" w:line="5" w:lineRule="exact"/>
        <w:rPr>
          <w:sz w:val="20"/>
          <w:szCs w:val="20"/>
          <w:color w:val="auto"/>
        </w:rPr>
      </w:pPr>
    </w:p>
    <w:p>
      <w:pPr>
        <w:jc w:val="center"/>
        <w:ind w:right="3399"/>
        <w:spacing w:after="0"/>
        <w:rPr>
          <w:sz w:val="20"/>
          <w:szCs w:val="20"/>
          <w:color w:val="auto"/>
        </w:rPr>
      </w:pPr>
      <w:r>
        <w:rPr>
          <w:rFonts w:ascii="Courier New" w:cs="Courier New" w:eastAsia="Courier New" w:hAnsi="Courier New"/>
          <w:sz w:val="14"/>
          <w:szCs w:val="14"/>
          <w:color w:val="auto"/>
        </w:rPr>
        <w:t>(Name, address, including zip code, and telephone number, including area code,</w:t>
      </w:r>
    </w:p>
    <w:p>
      <w:pPr>
        <w:spacing w:after="0" w:line="3"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of agent for service)</w:t>
      </w:r>
    </w:p>
    <w:p>
      <w:pPr>
        <w:spacing w:after="0" w:line="5" w:lineRule="exact"/>
        <w:rPr>
          <w:sz w:val="20"/>
          <w:szCs w:val="20"/>
          <w:color w:val="auto"/>
        </w:rPr>
      </w:pPr>
    </w:p>
    <w:p>
      <w:pPr>
        <w:ind w:left="180" w:hanging="170"/>
        <w:spacing w:after="0"/>
        <w:tabs>
          <w:tab w:leader="none" w:pos="18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rFonts w:ascii="Courier New" w:cs="Courier New" w:eastAsia="Courier New" w:hAnsi="Courier New"/>
          <w:sz w:val="14"/>
          <w:szCs w:val="14"/>
          <w:color w:val="auto"/>
        </w:rPr>
      </w:pPr>
    </w:p>
    <w:p>
      <w:pPr>
        <w:ind w:left="238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COMCAST CABLE HOLDINGS, LLC</w:t>
      </w:r>
    </w:p>
    <w:p>
      <w:pPr>
        <w:jc w:val="center"/>
        <w:ind w:right="3219"/>
        <w:spacing w:after="0" w:line="238" w:lineRule="auto"/>
        <w:rPr>
          <w:sz w:val="20"/>
          <w:szCs w:val="20"/>
          <w:color w:val="auto"/>
        </w:rPr>
      </w:pPr>
      <w:r>
        <w:rPr>
          <w:rFonts w:ascii="Courier New" w:cs="Courier New" w:eastAsia="Courier New" w:hAnsi="Courier New"/>
          <w:sz w:val="15"/>
          <w:szCs w:val="15"/>
          <w:color w:val="auto"/>
        </w:rPr>
        <w:t>(formerly AT&amp;T Broadband, LLC)</w:t>
      </w:r>
    </w:p>
    <w:p>
      <w:pPr>
        <w:jc w:val="center"/>
        <w:ind w:right="3219"/>
        <w:spacing w:after="0" w:line="237" w:lineRule="auto"/>
        <w:rPr>
          <w:sz w:val="20"/>
          <w:szCs w:val="20"/>
          <w:color w:val="auto"/>
        </w:rPr>
      </w:pPr>
      <w:r>
        <w:rPr>
          <w:rFonts w:ascii="Courier New" w:cs="Courier New" w:eastAsia="Courier New" w:hAnsi="Courier New"/>
          <w:sz w:val="15"/>
          <w:szCs w:val="15"/>
          <w:color w:val="auto"/>
        </w:rPr>
        <w:t>(Exact name of Registrant as specified in its charter)</w:t>
      </w:r>
    </w:p>
    <w:p>
      <w:pPr>
        <w:sectPr>
          <w:pgSz w:w="11900" w:h="16838" w:orient="portrait"/>
          <w:cols w:equalWidth="0" w:num="1">
            <w:col w:w="10239"/>
          </w:cols>
          <w:pgMar w:left="220" w:top="141" w:right="1440" w:bottom="0" w:gutter="0" w:footer="0" w:header="0"/>
        </w:sectPr>
      </w:pPr>
    </w:p>
    <w:p>
      <w:pPr>
        <w:spacing w:after="0" w:line="167"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Delaware</w:t>
      </w:r>
    </w:p>
    <w:p>
      <w:pPr>
        <w:ind w:left="158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(State of other jurisdiction of</w:t>
      </w:r>
    </w:p>
    <w:p>
      <w:pPr>
        <w:spacing w:after="0" w:line="3"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incorporation or organization)</w:t>
      </w:r>
    </w:p>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84-1260157</w:t>
      </w:r>
    </w:p>
    <w:p>
      <w:pPr>
        <w:ind w:left="340"/>
        <w:spacing w:after="0" w:line="237" w:lineRule="auto"/>
        <w:rPr>
          <w:sz w:val="20"/>
          <w:szCs w:val="20"/>
          <w:color w:val="auto"/>
        </w:rPr>
      </w:pPr>
      <w:r>
        <w:rPr>
          <w:rFonts w:ascii="Courier New" w:cs="Courier New" w:eastAsia="Courier New" w:hAnsi="Courier New"/>
          <w:sz w:val="15"/>
          <w:szCs w:val="15"/>
          <w:color w:val="auto"/>
        </w:rPr>
        <w:t>----------</w:t>
      </w:r>
    </w:p>
    <w:p>
      <w:pPr>
        <w:ind w:left="80"/>
        <w:spacing w:after="0" w:line="238" w:lineRule="auto"/>
        <w:rPr>
          <w:sz w:val="20"/>
          <w:szCs w:val="20"/>
          <w:color w:val="auto"/>
        </w:rPr>
      </w:pPr>
      <w:r>
        <w:rPr>
          <w:rFonts w:ascii="Courier New" w:cs="Courier New" w:eastAsia="Courier New" w:hAnsi="Courier New"/>
          <w:sz w:val="15"/>
          <w:szCs w:val="15"/>
          <w:color w:val="auto"/>
        </w:rPr>
        <w:t>(I.R.S. Employer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Identification No.)</w:t>
      </w:r>
    </w:p>
    <w:p>
      <w:pPr>
        <w:spacing w:after="0" w:line="170" w:lineRule="exact"/>
        <w:rPr>
          <w:sz w:val="20"/>
          <w:szCs w:val="20"/>
          <w:color w:val="auto"/>
        </w:rPr>
      </w:pPr>
    </w:p>
    <w:p>
      <w:pPr>
        <w:sectPr>
          <w:pgSz w:w="11900" w:h="16838" w:orient="portrait"/>
          <w:cols w:equalWidth="0" w:num="2">
            <w:col w:w="4540" w:space="720"/>
            <w:col w:w="4979"/>
          </w:cols>
          <w:pgMar w:left="220" w:top="141" w:right="1440" w:bottom="0" w:gutter="0" w:footer="0" w:header="0"/>
          <w:type w:val="continuous"/>
        </w:sectPr>
      </w:pPr>
    </w:p>
    <w:p>
      <w:pPr>
        <w:ind w:left="2720"/>
        <w:spacing w:after="0"/>
        <w:rPr>
          <w:sz w:val="20"/>
          <w:szCs w:val="20"/>
          <w:color w:val="auto"/>
        </w:rPr>
      </w:pPr>
      <w:r>
        <w:rPr>
          <w:rFonts w:ascii="Courier New" w:cs="Courier New" w:eastAsia="Courier New" w:hAnsi="Courier New"/>
          <w:sz w:val="15"/>
          <w:szCs w:val="15"/>
          <w:color w:val="auto"/>
        </w:rPr>
        <w:t>1500 Market Street</w:t>
      </w:r>
    </w:p>
    <w:p>
      <w:pPr>
        <w:spacing w:after="0" w:line="5" w:lineRule="exact"/>
        <w:rPr>
          <w:sz w:val="20"/>
          <w:szCs w:val="20"/>
          <w:color w:val="auto"/>
        </w:rPr>
      </w:pPr>
    </w:p>
    <w:p>
      <w:pPr>
        <w:ind w:left="1940"/>
        <w:spacing w:after="0"/>
        <w:rPr>
          <w:sz w:val="20"/>
          <w:szCs w:val="20"/>
          <w:color w:val="auto"/>
        </w:rPr>
      </w:pPr>
      <w:r>
        <w:rPr>
          <w:rFonts w:ascii="Courier New" w:cs="Courier New" w:eastAsia="Courier New" w:hAnsi="Courier New"/>
          <w:sz w:val="14"/>
          <w:szCs w:val="14"/>
          <w:color w:val="auto"/>
        </w:rPr>
        <w:t>Philadelphia, Pennsylvania 19102-2148</w:t>
      </w:r>
    </w:p>
    <w:p>
      <w:pPr>
        <w:spacing w:after="0" w:line="3"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(215) 665-1700</w:t>
      </w:r>
    </w:p>
    <w:p>
      <w:pPr>
        <w:sectPr>
          <w:pgSz w:w="11900" w:h="16838" w:orient="portrait"/>
          <w:cols w:equalWidth="0" w:num="1">
            <w:col w:w="10239"/>
          </w:cols>
          <w:pgMar w:left="220" w:top="141" w:right="1440" w:bottom="0" w:gutter="0" w:footer="0" w:header="0"/>
          <w:type w:val="continuous"/>
        </w:sectPr>
      </w:pPr>
    </w:p>
    <w:p>
      <w:pPr>
        <w:jc w:val="center"/>
        <w:ind w:right="3119"/>
        <w:spacing w:after="0" w:line="237" w:lineRule="auto"/>
        <w:rPr>
          <w:sz w:val="20"/>
          <w:szCs w:val="20"/>
          <w:color w:val="auto"/>
        </w:rPr>
      </w:pPr>
      <w:r>
        <w:rPr>
          <w:rFonts w:ascii="Courier New" w:cs="Courier New" w:eastAsia="Courier New" w:hAnsi="Courier New"/>
          <w:sz w:val="15"/>
          <w:szCs w:val="15"/>
          <w:color w:val="auto"/>
        </w:rPr>
        <w:t>(Address, including zip code, and telephone number including area code,</w:t>
      </w:r>
    </w:p>
    <w:p>
      <w:pPr>
        <w:jc w:val="center"/>
        <w:ind w:right="3219"/>
        <w:spacing w:after="0" w:line="238" w:lineRule="auto"/>
        <w:rPr>
          <w:sz w:val="20"/>
          <w:szCs w:val="20"/>
          <w:color w:val="auto"/>
        </w:rPr>
      </w:pPr>
      <w:r>
        <w:rPr>
          <w:rFonts w:ascii="Courier New" w:cs="Courier New" w:eastAsia="Courier New" w:hAnsi="Courier New"/>
          <w:sz w:val="15"/>
          <w:szCs w:val="15"/>
          <w:color w:val="auto"/>
        </w:rPr>
        <w:t>of registrant's principal executive offices)</w:t>
      </w:r>
    </w:p>
    <w:p>
      <w:pPr>
        <w:spacing w:after="0" w:line="167"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Arthur R. Block, Esq.</w:t>
      </w:r>
    </w:p>
    <w:p>
      <w:pPr>
        <w:jc w:val="center"/>
        <w:ind w:right="3119"/>
        <w:spacing w:after="0" w:line="237" w:lineRule="auto"/>
        <w:rPr>
          <w:sz w:val="20"/>
          <w:szCs w:val="20"/>
          <w:color w:val="auto"/>
        </w:rPr>
      </w:pPr>
      <w:r>
        <w:rPr>
          <w:rFonts w:ascii="Courier New" w:cs="Courier New" w:eastAsia="Courier New" w:hAnsi="Courier New"/>
          <w:sz w:val="15"/>
          <w:szCs w:val="15"/>
          <w:color w:val="auto"/>
        </w:rPr>
        <w:t>Senior Vice President</w:t>
      </w:r>
    </w:p>
    <w:p>
      <w:pPr>
        <w:jc w:val="center"/>
        <w:ind w:right="3119"/>
        <w:spacing w:after="0" w:line="238" w:lineRule="auto"/>
        <w:rPr>
          <w:sz w:val="20"/>
          <w:szCs w:val="20"/>
          <w:color w:val="auto"/>
        </w:rPr>
      </w:pPr>
      <w:r>
        <w:rPr>
          <w:rFonts w:ascii="Courier New" w:cs="Courier New" w:eastAsia="Courier New" w:hAnsi="Courier New"/>
          <w:sz w:val="15"/>
          <w:szCs w:val="15"/>
          <w:color w:val="auto"/>
        </w:rPr>
        <w:t>Comcast Corporation</w:t>
      </w:r>
    </w:p>
    <w:p>
      <w:pPr>
        <w:jc w:val="center"/>
        <w:ind w:right="3119"/>
        <w:spacing w:after="0" w:line="237" w:lineRule="auto"/>
        <w:rPr>
          <w:sz w:val="20"/>
          <w:szCs w:val="20"/>
          <w:color w:val="auto"/>
        </w:rPr>
      </w:pPr>
      <w:r>
        <w:rPr>
          <w:rFonts w:ascii="Courier New" w:cs="Courier New" w:eastAsia="Courier New" w:hAnsi="Courier New"/>
          <w:sz w:val="15"/>
          <w:szCs w:val="15"/>
          <w:color w:val="auto"/>
        </w:rPr>
        <w:t>Philadelphia, Pennsylvania 19102-2148</w:t>
      </w:r>
    </w:p>
    <w:p>
      <w:pPr>
        <w:jc w:val="center"/>
        <w:ind w:right="3219"/>
        <w:spacing w:after="0" w:line="238" w:lineRule="auto"/>
        <w:rPr>
          <w:sz w:val="20"/>
          <w:szCs w:val="20"/>
          <w:color w:val="auto"/>
        </w:rPr>
      </w:pPr>
      <w:r>
        <w:rPr>
          <w:rFonts w:ascii="Courier New" w:cs="Courier New" w:eastAsia="Courier New" w:hAnsi="Courier New"/>
          <w:sz w:val="15"/>
          <w:szCs w:val="15"/>
          <w:color w:val="auto"/>
        </w:rPr>
        <w:t>(215) 665-1700</w:t>
      </w:r>
    </w:p>
    <w:p>
      <w:pPr>
        <w:spacing w:after="0" w:line="5" w:lineRule="exact"/>
        <w:rPr>
          <w:sz w:val="20"/>
          <w:szCs w:val="20"/>
          <w:color w:val="auto"/>
        </w:rPr>
      </w:pPr>
    </w:p>
    <w:p>
      <w:pPr>
        <w:jc w:val="center"/>
        <w:ind w:right="3399"/>
        <w:spacing w:after="0"/>
        <w:rPr>
          <w:sz w:val="20"/>
          <w:szCs w:val="20"/>
          <w:color w:val="auto"/>
        </w:rPr>
      </w:pPr>
      <w:r>
        <w:rPr>
          <w:rFonts w:ascii="Courier New" w:cs="Courier New" w:eastAsia="Courier New" w:hAnsi="Courier New"/>
          <w:sz w:val="14"/>
          <w:szCs w:val="14"/>
          <w:color w:val="auto"/>
        </w:rPr>
        <w:t>(Name, address, including zip code, and telephone number, including area code,</w:t>
      </w:r>
    </w:p>
    <w:p>
      <w:pPr>
        <w:spacing w:after="0" w:line="3" w:lineRule="exact"/>
        <w:rPr>
          <w:sz w:val="20"/>
          <w:szCs w:val="20"/>
          <w:color w:val="auto"/>
        </w:rPr>
      </w:pPr>
    </w:p>
    <w:p>
      <w:pPr>
        <w:jc w:val="center"/>
        <w:ind w:right="3299"/>
        <w:spacing w:after="0"/>
        <w:rPr>
          <w:sz w:val="20"/>
          <w:szCs w:val="20"/>
          <w:color w:val="auto"/>
        </w:rPr>
      </w:pPr>
      <w:r>
        <w:rPr>
          <w:rFonts w:ascii="Courier New" w:cs="Courier New" w:eastAsia="Courier New" w:hAnsi="Courier New"/>
          <w:sz w:val="15"/>
          <w:szCs w:val="15"/>
          <w:color w:val="auto"/>
        </w:rPr>
        <w:t>of agent for service)</w:t>
      </w:r>
    </w:p>
    <w:p>
      <w:pPr>
        <w:sectPr>
          <w:pgSz w:w="11900" w:h="16838" w:orient="portrait"/>
          <w:cols w:equalWidth="0" w:num="1">
            <w:col w:w="10239"/>
          </w:cols>
          <w:pgMar w:left="220" w:top="141" w:right="1440" w:bottom="0" w:gutter="0" w:footer="0" w:header="0"/>
          <w:type w:val="continuous"/>
        </w:sectPr>
      </w:pPr>
    </w:p>
    <w:bookmarkStart w:id="2" w:name="page3"/>
    <w:bookmarkEnd w:id="2"/>
    <w:p>
      <w:pPr>
        <w:ind w:left="180" w:hanging="170"/>
        <w:spacing w:after="0"/>
        <w:tabs>
          <w:tab w:leader="none" w:pos="18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rFonts w:ascii="Courier New" w:cs="Courier New" w:eastAsia="Courier New" w:hAnsi="Courier New"/>
          <w:sz w:val="14"/>
          <w:szCs w:val="14"/>
          <w:color w:val="auto"/>
        </w:rPr>
      </w:pPr>
    </w:p>
    <w:p>
      <w:pPr>
        <w:ind w:left="254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COMCAST MO GROUP, INC.</w:t>
      </w:r>
    </w:p>
    <w:p>
      <w:pPr>
        <w:jc w:val="center"/>
        <w:ind w:right="3139"/>
        <w:spacing w:after="0" w:line="238" w:lineRule="auto"/>
        <w:rPr>
          <w:sz w:val="20"/>
          <w:szCs w:val="20"/>
          <w:color w:val="auto"/>
        </w:rPr>
      </w:pPr>
      <w:r>
        <w:rPr>
          <w:rFonts w:ascii="Courier New" w:cs="Courier New" w:eastAsia="Courier New" w:hAnsi="Courier New"/>
          <w:sz w:val="15"/>
          <w:szCs w:val="15"/>
          <w:color w:val="auto"/>
        </w:rPr>
        <w:t>(formerly MediaOne Group, Inc.)</w:t>
      </w:r>
    </w:p>
    <w:p>
      <w:pPr>
        <w:jc w:val="center"/>
        <w:ind w:right="3239"/>
        <w:spacing w:after="0" w:line="237" w:lineRule="auto"/>
        <w:rPr>
          <w:sz w:val="20"/>
          <w:szCs w:val="20"/>
          <w:color w:val="auto"/>
        </w:rPr>
      </w:pPr>
      <w:r>
        <w:rPr>
          <w:rFonts w:ascii="Courier New" w:cs="Courier New" w:eastAsia="Courier New" w:hAnsi="Courier New"/>
          <w:sz w:val="15"/>
          <w:szCs w:val="15"/>
          <w:color w:val="auto"/>
        </w:rPr>
        <w:t>(Exact name of registrant as specified in its charter)</w:t>
      </w:r>
    </w:p>
    <w:p>
      <w:pPr>
        <w:spacing w:after="0" w:line="167" w:lineRule="exact"/>
        <w:rPr>
          <w:sz w:val="20"/>
          <w:szCs w:val="20"/>
          <w:color w:val="auto"/>
        </w:rPr>
      </w:pPr>
    </w:p>
    <w:tbl>
      <w:tblPr>
        <w:tblLayout w:type="fixed"/>
        <w:tblInd w:w="620" w:type="dxa"/>
        <w:tblCellMar>
          <w:top w:w="0" w:type="dxa"/>
          <w:left w:w="0" w:type="dxa"/>
          <w:bottom w:w="0" w:type="dxa"/>
          <w:right w:w="0" w:type="dxa"/>
        </w:tblCellMar>
      </w:tblPr>
      <w:tr>
        <w:trPr>
          <w:trHeight w:val="170"/>
        </w:trPr>
        <w:tc>
          <w:tcPr>
            <w:tcW w:w="3680" w:type="dxa"/>
            <w:vAlign w:val="bottom"/>
          </w:tcPr>
          <w:p>
            <w:pPr>
              <w:jc w:val="center"/>
              <w:ind w:right="987"/>
              <w:spacing w:after="0"/>
              <w:rPr>
                <w:sz w:val="20"/>
                <w:szCs w:val="20"/>
                <w:color w:val="auto"/>
              </w:rPr>
            </w:pPr>
            <w:r>
              <w:rPr>
                <w:rFonts w:ascii="Courier New" w:cs="Courier New" w:eastAsia="Courier New" w:hAnsi="Courier New"/>
                <w:sz w:val="15"/>
                <w:szCs w:val="15"/>
                <w:color w:val="auto"/>
                <w:w w:val="97"/>
              </w:rPr>
              <w:t>Delaware</w:t>
            </w:r>
          </w:p>
        </w:tc>
        <w:tc>
          <w:tcPr>
            <w:tcW w:w="2620" w:type="dxa"/>
            <w:vAlign w:val="bottom"/>
          </w:tcPr>
          <w:p>
            <w:pPr>
              <w:jc w:val="center"/>
              <w:ind w:left="787"/>
              <w:spacing w:after="0"/>
              <w:rPr>
                <w:sz w:val="20"/>
                <w:szCs w:val="20"/>
                <w:color w:val="auto"/>
              </w:rPr>
            </w:pPr>
            <w:r>
              <w:rPr>
                <w:rFonts w:ascii="Courier New" w:cs="Courier New" w:eastAsia="Courier New" w:hAnsi="Courier New"/>
                <w:sz w:val="15"/>
                <w:szCs w:val="15"/>
                <w:color w:val="auto"/>
                <w:w w:val="97"/>
              </w:rPr>
              <w:t>84-0926774</w:t>
            </w:r>
          </w:p>
        </w:tc>
      </w:tr>
      <w:tr>
        <w:trPr>
          <w:trHeight w:val="168"/>
        </w:trPr>
        <w:tc>
          <w:tcPr>
            <w:tcW w:w="3680" w:type="dxa"/>
            <w:vAlign w:val="bottom"/>
          </w:tcPr>
          <w:p>
            <w:pPr>
              <w:jc w:val="center"/>
              <w:ind w:right="987"/>
              <w:spacing w:after="0" w:line="168" w:lineRule="exact"/>
              <w:rPr>
                <w:sz w:val="20"/>
                <w:szCs w:val="20"/>
                <w:color w:val="auto"/>
              </w:rPr>
            </w:pPr>
            <w:r>
              <w:rPr>
                <w:rFonts w:ascii="Courier New" w:cs="Courier New" w:eastAsia="Courier New" w:hAnsi="Courier New"/>
                <w:sz w:val="15"/>
                <w:szCs w:val="15"/>
                <w:color w:val="auto"/>
                <w:w w:val="97"/>
              </w:rPr>
              <w:t>--------</w:t>
            </w:r>
          </w:p>
        </w:tc>
        <w:tc>
          <w:tcPr>
            <w:tcW w:w="2620" w:type="dxa"/>
            <w:vAlign w:val="bottom"/>
          </w:tcPr>
          <w:p>
            <w:pPr>
              <w:jc w:val="center"/>
              <w:ind w:left="787"/>
              <w:spacing w:after="0" w:line="168" w:lineRule="exact"/>
              <w:rPr>
                <w:sz w:val="20"/>
                <w:szCs w:val="20"/>
                <w:color w:val="auto"/>
              </w:rPr>
            </w:pPr>
            <w:r>
              <w:rPr>
                <w:rFonts w:ascii="Courier New" w:cs="Courier New" w:eastAsia="Courier New" w:hAnsi="Courier New"/>
                <w:sz w:val="15"/>
                <w:szCs w:val="15"/>
                <w:color w:val="auto"/>
                <w:w w:val="97"/>
              </w:rPr>
              <w:t>----------</w:t>
            </w:r>
          </w:p>
        </w:tc>
      </w:tr>
      <w:tr>
        <w:trPr>
          <w:trHeight w:val="168"/>
        </w:trPr>
        <w:tc>
          <w:tcPr>
            <w:tcW w:w="3680" w:type="dxa"/>
            <w:vAlign w:val="bottom"/>
          </w:tcPr>
          <w:p>
            <w:pPr>
              <w:spacing w:after="0" w:line="168" w:lineRule="exact"/>
              <w:rPr>
                <w:sz w:val="20"/>
                <w:szCs w:val="20"/>
                <w:color w:val="auto"/>
              </w:rPr>
            </w:pPr>
            <w:r>
              <w:rPr>
                <w:rFonts w:ascii="Courier New" w:cs="Courier New" w:eastAsia="Courier New" w:hAnsi="Courier New"/>
                <w:sz w:val="15"/>
                <w:szCs w:val="15"/>
                <w:color w:val="auto"/>
              </w:rPr>
              <w:t>(State of other jurisdiction of</w:t>
            </w:r>
          </w:p>
        </w:tc>
        <w:tc>
          <w:tcPr>
            <w:tcW w:w="2620" w:type="dxa"/>
            <w:vAlign w:val="bottom"/>
          </w:tcPr>
          <w:p>
            <w:pPr>
              <w:jc w:val="center"/>
              <w:ind w:left="787"/>
              <w:spacing w:after="0" w:line="168" w:lineRule="exact"/>
              <w:rPr>
                <w:sz w:val="20"/>
                <w:szCs w:val="20"/>
                <w:color w:val="auto"/>
              </w:rPr>
            </w:pPr>
            <w:r>
              <w:rPr>
                <w:rFonts w:ascii="Courier New" w:cs="Courier New" w:eastAsia="Courier New" w:hAnsi="Courier New"/>
                <w:sz w:val="15"/>
                <w:szCs w:val="15"/>
                <w:color w:val="auto"/>
                <w:w w:val="97"/>
              </w:rPr>
              <w:t>(I.R.S. Employer</w:t>
            </w:r>
          </w:p>
        </w:tc>
      </w:tr>
      <w:tr>
        <w:trPr>
          <w:trHeight w:val="168"/>
        </w:trPr>
        <w:tc>
          <w:tcPr>
            <w:tcW w:w="3680" w:type="dxa"/>
            <w:vAlign w:val="bottom"/>
          </w:tcPr>
          <w:p>
            <w:pPr>
              <w:jc w:val="center"/>
              <w:ind w:right="987"/>
              <w:spacing w:after="0" w:line="168" w:lineRule="exact"/>
              <w:rPr>
                <w:sz w:val="20"/>
                <w:szCs w:val="20"/>
                <w:color w:val="auto"/>
              </w:rPr>
            </w:pPr>
            <w:r>
              <w:rPr>
                <w:rFonts w:ascii="Courier New" w:cs="Courier New" w:eastAsia="Courier New" w:hAnsi="Courier New"/>
                <w:sz w:val="15"/>
                <w:szCs w:val="15"/>
                <w:color w:val="auto"/>
                <w:w w:val="97"/>
              </w:rPr>
              <w:t>incorporation or organization)</w:t>
            </w:r>
          </w:p>
        </w:tc>
        <w:tc>
          <w:tcPr>
            <w:tcW w:w="2620" w:type="dxa"/>
            <w:vAlign w:val="bottom"/>
          </w:tcPr>
          <w:p>
            <w:pPr>
              <w:ind w:left="960"/>
              <w:spacing w:after="0" w:line="168" w:lineRule="exact"/>
              <w:rPr>
                <w:sz w:val="20"/>
                <w:szCs w:val="20"/>
                <w:color w:val="auto"/>
              </w:rPr>
            </w:pPr>
            <w:r>
              <w:rPr>
                <w:rFonts w:ascii="Courier New" w:cs="Courier New" w:eastAsia="Courier New" w:hAnsi="Courier New"/>
                <w:sz w:val="15"/>
                <w:szCs w:val="15"/>
                <w:color w:val="auto"/>
                <w:w w:val="95"/>
              </w:rPr>
              <w:t>Identification No.)</w:t>
            </w:r>
          </w:p>
        </w:tc>
      </w:tr>
    </w:tbl>
    <w:p>
      <w:pPr>
        <w:spacing w:after="0" w:line="166"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1500 Market Street</w:t>
      </w:r>
    </w:p>
    <w:p>
      <w:pPr>
        <w:jc w:val="center"/>
        <w:ind w:right="3139"/>
        <w:spacing w:after="0" w:line="237" w:lineRule="auto"/>
        <w:rPr>
          <w:sz w:val="20"/>
          <w:szCs w:val="20"/>
          <w:color w:val="auto"/>
        </w:rPr>
      </w:pPr>
      <w:r>
        <w:rPr>
          <w:rFonts w:ascii="Courier New" w:cs="Courier New" w:eastAsia="Courier New" w:hAnsi="Courier New"/>
          <w:sz w:val="15"/>
          <w:szCs w:val="15"/>
          <w:color w:val="auto"/>
        </w:rPr>
        <w:t>Philadelphia, Pennsylvania 19102-2148</w:t>
      </w:r>
    </w:p>
    <w:p>
      <w:pPr>
        <w:jc w:val="center"/>
        <w:ind w:right="3239"/>
        <w:spacing w:after="0" w:line="238" w:lineRule="auto"/>
        <w:rPr>
          <w:sz w:val="20"/>
          <w:szCs w:val="20"/>
          <w:color w:val="auto"/>
        </w:rPr>
      </w:pPr>
      <w:r>
        <w:rPr>
          <w:rFonts w:ascii="Courier New" w:cs="Courier New" w:eastAsia="Courier New" w:hAnsi="Courier New"/>
          <w:sz w:val="15"/>
          <w:szCs w:val="15"/>
          <w:color w:val="auto"/>
        </w:rPr>
        <w:t>(215) 665-1700</w:t>
      </w:r>
    </w:p>
    <w:p>
      <w:pPr>
        <w:jc w:val="center"/>
        <w:ind w:right="3139"/>
        <w:spacing w:after="0" w:line="237" w:lineRule="auto"/>
        <w:rPr>
          <w:sz w:val="20"/>
          <w:szCs w:val="20"/>
          <w:color w:val="auto"/>
        </w:rPr>
      </w:pPr>
      <w:r>
        <w:rPr>
          <w:rFonts w:ascii="Courier New" w:cs="Courier New" w:eastAsia="Courier New" w:hAnsi="Courier New"/>
          <w:sz w:val="15"/>
          <w:szCs w:val="15"/>
          <w:color w:val="auto"/>
        </w:rPr>
        <w:t>(Address, including zip code, and telephone number including area code,</w:t>
      </w:r>
    </w:p>
    <w:p>
      <w:pPr>
        <w:jc w:val="center"/>
        <w:ind w:right="3239"/>
        <w:spacing w:after="0" w:line="238" w:lineRule="auto"/>
        <w:rPr>
          <w:sz w:val="20"/>
          <w:szCs w:val="20"/>
          <w:color w:val="auto"/>
        </w:rPr>
      </w:pPr>
      <w:r>
        <w:rPr>
          <w:rFonts w:ascii="Courier New" w:cs="Courier New" w:eastAsia="Courier New" w:hAnsi="Courier New"/>
          <w:sz w:val="15"/>
          <w:szCs w:val="15"/>
          <w:color w:val="auto"/>
        </w:rPr>
        <w:t>of Registrant's principal executive offices)</w:t>
      </w:r>
    </w:p>
    <w:p>
      <w:pPr>
        <w:spacing w:after="0" w:line="167"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Arthur R. Block, Esq.</w:t>
      </w:r>
    </w:p>
    <w:p>
      <w:pPr>
        <w:jc w:val="center"/>
        <w:ind w:right="3139"/>
        <w:spacing w:after="0" w:line="237" w:lineRule="auto"/>
        <w:rPr>
          <w:sz w:val="20"/>
          <w:szCs w:val="20"/>
          <w:color w:val="auto"/>
        </w:rPr>
      </w:pPr>
      <w:r>
        <w:rPr>
          <w:rFonts w:ascii="Courier New" w:cs="Courier New" w:eastAsia="Courier New" w:hAnsi="Courier New"/>
          <w:sz w:val="15"/>
          <w:szCs w:val="15"/>
          <w:color w:val="auto"/>
        </w:rPr>
        <w:t>Senior Vice President</w:t>
      </w:r>
    </w:p>
    <w:p>
      <w:pPr>
        <w:jc w:val="center"/>
        <w:ind w:right="3139"/>
        <w:spacing w:after="0" w:line="238" w:lineRule="auto"/>
        <w:rPr>
          <w:sz w:val="20"/>
          <w:szCs w:val="20"/>
          <w:color w:val="auto"/>
        </w:rPr>
      </w:pPr>
      <w:r>
        <w:rPr>
          <w:rFonts w:ascii="Courier New" w:cs="Courier New" w:eastAsia="Courier New" w:hAnsi="Courier New"/>
          <w:sz w:val="15"/>
          <w:szCs w:val="15"/>
          <w:color w:val="auto"/>
        </w:rPr>
        <w:t>Comcast Corporation</w:t>
      </w:r>
    </w:p>
    <w:p>
      <w:pPr>
        <w:jc w:val="center"/>
        <w:ind w:right="3139"/>
        <w:spacing w:after="0" w:line="237" w:lineRule="auto"/>
        <w:rPr>
          <w:sz w:val="20"/>
          <w:szCs w:val="20"/>
          <w:color w:val="auto"/>
        </w:rPr>
      </w:pPr>
      <w:r>
        <w:rPr>
          <w:rFonts w:ascii="Courier New" w:cs="Courier New" w:eastAsia="Courier New" w:hAnsi="Courier New"/>
          <w:sz w:val="15"/>
          <w:szCs w:val="15"/>
          <w:color w:val="auto"/>
        </w:rPr>
        <w:t>Philadelphia, Pennsylvania 19102-2148</w:t>
      </w:r>
    </w:p>
    <w:p>
      <w:pPr>
        <w:jc w:val="center"/>
        <w:ind w:right="3239"/>
        <w:spacing w:after="0" w:line="238" w:lineRule="auto"/>
        <w:rPr>
          <w:sz w:val="20"/>
          <w:szCs w:val="20"/>
          <w:color w:val="auto"/>
        </w:rPr>
      </w:pPr>
      <w:r>
        <w:rPr>
          <w:rFonts w:ascii="Courier New" w:cs="Courier New" w:eastAsia="Courier New" w:hAnsi="Courier New"/>
          <w:sz w:val="15"/>
          <w:szCs w:val="15"/>
          <w:color w:val="auto"/>
        </w:rPr>
        <w:t>(215) 665-1700</w:t>
      </w:r>
    </w:p>
    <w:p>
      <w:pPr>
        <w:spacing w:after="0" w:line="5" w:lineRule="exact"/>
        <w:rPr>
          <w:sz w:val="20"/>
          <w:szCs w:val="20"/>
          <w:color w:val="auto"/>
        </w:rPr>
      </w:pPr>
    </w:p>
    <w:p>
      <w:pPr>
        <w:jc w:val="center"/>
        <w:ind w:right="3399"/>
        <w:spacing w:after="0"/>
        <w:rPr>
          <w:sz w:val="20"/>
          <w:szCs w:val="20"/>
          <w:color w:val="auto"/>
        </w:rPr>
      </w:pPr>
      <w:r>
        <w:rPr>
          <w:rFonts w:ascii="Courier New" w:cs="Courier New" w:eastAsia="Courier New" w:hAnsi="Courier New"/>
          <w:sz w:val="14"/>
          <w:szCs w:val="14"/>
          <w:color w:val="auto"/>
        </w:rPr>
        <w:t>(Name, address, including zip code, and telephone number, including area code,</w:t>
      </w:r>
    </w:p>
    <w:p>
      <w:pPr>
        <w:spacing w:after="0" w:line="3"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of agent for service)</w:t>
      </w:r>
    </w:p>
    <w:p>
      <w:pPr>
        <w:sectPr>
          <w:pgSz w:w="11900" w:h="16838" w:orient="portrait"/>
          <w:cols w:equalWidth="0" w:num="1">
            <w:col w:w="10239"/>
          </w:cols>
          <w:pgMar w:left="220" w:top="141" w:right="1440" w:bottom="1440" w:gutter="0" w:footer="0" w:header="0"/>
        </w:sectPr>
      </w:pPr>
    </w:p>
    <w:bookmarkStart w:id="3" w:name="page4"/>
    <w:bookmarkEnd w:id="3"/>
    <w:p>
      <w:pPr>
        <w:ind w:right="3399"/>
        <w:spacing w:after="0" w:line="236" w:lineRule="auto"/>
        <w:rPr>
          <w:sz w:val="20"/>
          <w:szCs w:val="20"/>
          <w:color w:val="auto"/>
        </w:rPr>
      </w:pPr>
      <w:r>
        <w:rPr>
          <w:rFonts w:ascii="Courier New" w:cs="Courier New" w:eastAsia="Courier New" w:hAnsi="Courier New"/>
          <w:sz w:val="15"/>
          <w:szCs w:val="15"/>
          <w:color w:val="auto"/>
        </w:rPr>
        <w:t>The information in this prospectus is not complete and may be changed. We may not sell these securities until the registration statement filed with the Securities and Exchange Commission is effective. This prospectus is not an offer to sell these securities and we are not soliciting offers to buy these securities in any state where the offer or sale is not permitted.</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PROSPECTUS Subject to Completion</w:t>
      </w:r>
    </w:p>
    <w:p>
      <w:pPr>
        <w:spacing w:after="0" w:line="237" w:lineRule="auto"/>
        <w:rPr>
          <w:sz w:val="20"/>
          <w:szCs w:val="20"/>
          <w:color w:val="auto"/>
        </w:rPr>
      </w:pPr>
      <w:r>
        <w:rPr>
          <w:rFonts w:ascii="Courier New" w:cs="Courier New" w:eastAsia="Courier New" w:hAnsi="Courier New"/>
          <w:sz w:val="15"/>
          <w:szCs w:val="15"/>
          <w:color w:val="auto"/>
        </w:rPr>
        <w:t>Issued December 16, 2002</w:t>
      </w:r>
    </w:p>
    <w:p>
      <w:pPr>
        <w:sectPr>
          <w:pgSz w:w="11900" w:h="16838" w:orient="portrait"/>
          <w:cols w:equalWidth="0" w:num="1">
            <w:col w:w="10239"/>
          </w:cols>
          <w:pgMar w:left="220" w:top="792" w:right="1440" w:bottom="1440" w:gutter="0" w:footer="0" w:header="0"/>
        </w:sectPr>
      </w:pP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$10,000,000,000</w:t>
      </w:r>
    </w:p>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Corporation</w:t>
      </w:r>
    </w:p>
    <w:p>
      <w:pPr>
        <w:spacing w:after="0" w:line="237" w:lineRule="auto"/>
        <w:rPr>
          <w:sz w:val="20"/>
          <w:szCs w:val="20"/>
          <w:color w:val="auto"/>
        </w:rPr>
      </w:pPr>
      <w:r>
        <w:rPr>
          <w:rFonts w:ascii="Courier New" w:cs="Courier New" w:eastAsia="Courier New" w:hAnsi="Courier New"/>
          <w:sz w:val="15"/>
          <w:szCs w:val="15"/>
          <w:color w:val="auto"/>
        </w:rPr>
        <w:t>1500 Market Street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Philadelphia, Pennsylvania 19102-2148</w:t>
      </w:r>
    </w:p>
    <w:p>
      <w:pPr>
        <w:spacing w:after="0" w:line="3" w:lineRule="exact"/>
        <w:rPr>
          <w:sz w:val="20"/>
          <w:szCs w:val="20"/>
          <w:color w:val="auto"/>
        </w:rPr>
      </w:pPr>
    </w:p>
    <w:p>
      <w:pPr>
        <w:sectPr>
          <w:pgSz w:w="11900" w:h="16838" w:orient="portrait"/>
          <w:cols w:equalWidth="0" w:num="2">
            <w:col w:w="1920" w:space="720"/>
            <w:col w:w="7599"/>
          </w:cols>
          <w:pgMar w:left="220" w:top="792" w:right="1440" w:bottom="1440" w:gutter="0" w:footer="0" w:header="0"/>
          <w:type w:val="continuous"/>
        </w:sectPr>
      </w:pPr>
    </w:p>
    <w:p>
      <w:pPr>
        <w:ind w:left="3160" w:hanging="526"/>
        <w:spacing w:after="0"/>
        <w:tabs>
          <w:tab w:leader="none" w:pos="3160" w:val="left"/>
        </w:tabs>
        <w:numPr>
          <w:ilvl w:val="1"/>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665-1700</w:t>
      </w:r>
    </w:p>
    <w:p>
      <w:pPr>
        <w:spacing w:after="0" w:line="172" w:lineRule="exact"/>
        <w:rPr>
          <w:rFonts w:ascii="Courier New" w:cs="Courier New" w:eastAsia="Courier New" w:hAnsi="Courier New"/>
          <w:sz w:val="15"/>
          <w:szCs w:val="15"/>
          <w:color w:val="auto"/>
        </w:rPr>
      </w:pPr>
    </w:p>
    <w:p>
      <w:pPr>
        <w:ind w:left="180" w:hanging="170"/>
        <w:spacing w:after="0"/>
        <w:tabs>
          <w:tab w:leader="none" w:pos="18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8" w:lineRule="exact"/>
        <w:rPr>
          <w:sz w:val="20"/>
          <w:szCs w:val="20"/>
          <w:color w:val="auto"/>
        </w:rPr>
      </w:pPr>
    </w:p>
    <w:p>
      <w:pPr>
        <w:ind w:right="3239" w:firstLine="437"/>
        <w:spacing w:after="0" w:line="234" w:lineRule="auto"/>
        <w:rPr>
          <w:sz w:val="20"/>
          <w:szCs w:val="20"/>
          <w:color w:val="auto"/>
        </w:rPr>
      </w:pPr>
      <w:r>
        <w:rPr>
          <w:rFonts w:ascii="Courier New" w:cs="Courier New" w:eastAsia="Courier New" w:hAnsi="Courier New"/>
          <w:sz w:val="15"/>
          <w:szCs w:val="15"/>
          <w:color w:val="auto"/>
        </w:rPr>
        <w:t>The following are types of securities that we may offer and sell under this prospectus:</w:t>
      </w:r>
    </w:p>
    <w:p>
      <w:pPr>
        <w:spacing w:after="0" w:line="167" w:lineRule="exact"/>
        <w:rPr>
          <w:sz w:val="20"/>
          <w:szCs w:val="20"/>
          <w:color w:val="auto"/>
        </w:rPr>
      </w:pPr>
    </w:p>
    <w:tbl>
      <w:tblPr>
        <w:tblLayout w:type="fixed"/>
        <w:tblInd w:w="180" w:type="dxa"/>
        <w:tblCellMar>
          <w:top w:w="0" w:type="dxa"/>
          <w:left w:w="0" w:type="dxa"/>
          <w:bottom w:w="0" w:type="dxa"/>
          <w:right w:w="0" w:type="dxa"/>
        </w:tblCellMar>
      </w:tblPr>
      <w:tr>
        <w:trPr>
          <w:trHeight w:val="170"/>
        </w:trPr>
        <w:tc>
          <w:tcPr>
            <w:tcW w:w="3800" w:type="dxa"/>
            <w:vAlign w:val="bottom"/>
            <w:gridSpan w:val="2"/>
          </w:tcPr>
          <w:p>
            <w:pPr>
              <w:spacing w:after="0"/>
              <w:rPr>
                <w:sz w:val="20"/>
                <w:szCs w:val="20"/>
                <w:color w:val="auto"/>
              </w:rPr>
            </w:pPr>
            <w:r>
              <w:rPr>
                <w:rFonts w:ascii="Courier New" w:cs="Courier New" w:eastAsia="Courier New" w:hAnsi="Courier New"/>
                <w:sz w:val="15"/>
                <w:szCs w:val="15"/>
                <w:color w:val="auto"/>
              </w:rPr>
              <w:t>o  Unsecured senior debt securities</w:t>
            </w:r>
          </w:p>
        </w:tc>
        <w:tc>
          <w:tcPr>
            <w:tcW w:w="400" w:type="dxa"/>
            <w:vAlign w:val="bottom"/>
          </w:tcPr>
          <w:p>
            <w:pPr>
              <w:ind w:left="220"/>
              <w:spacing w:after="0"/>
              <w:rPr>
                <w:sz w:val="20"/>
                <w:szCs w:val="20"/>
                <w:color w:val="auto"/>
              </w:rPr>
            </w:pPr>
            <w:r>
              <w:rPr>
                <w:rFonts w:ascii="Courier New" w:cs="Courier New" w:eastAsia="Courier New" w:hAnsi="Courier New"/>
                <w:sz w:val="15"/>
                <w:szCs w:val="15"/>
                <w:color w:val="auto"/>
              </w:rPr>
              <w:t>o</w:t>
            </w:r>
          </w:p>
        </w:tc>
        <w:tc>
          <w:tcPr>
            <w:tcW w:w="2540" w:type="dxa"/>
            <w:vAlign w:val="bottom"/>
          </w:tcPr>
          <w:p>
            <w:pPr>
              <w:ind w:left="100"/>
              <w:spacing w:after="0"/>
              <w:rPr>
                <w:sz w:val="20"/>
                <w:szCs w:val="20"/>
                <w:color w:val="auto"/>
              </w:rPr>
            </w:pPr>
            <w:r>
              <w:rPr>
                <w:rFonts w:ascii="Courier New" w:cs="Courier New" w:eastAsia="Courier New" w:hAnsi="Courier New"/>
                <w:sz w:val="15"/>
                <w:szCs w:val="15"/>
                <w:color w:val="auto"/>
              </w:rPr>
              <w:t>Preferred Stock</w:t>
            </w:r>
          </w:p>
        </w:tc>
      </w:tr>
      <w:tr>
        <w:trPr>
          <w:trHeight w:val="168"/>
        </w:trPr>
        <w:tc>
          <w:tcPr>
            <w:tcW w:w="180" w:type="dxa"/>
            <w:vAlign w:val="bottom"/>
          </w:tcPr>
          <w:p>
            <w:pPr>
              <w:spacing w:after="0" w:line="168" w:lineRule="exact"/>
              <w:rPr>
                <w:sz w:val="20"/>
                <w:szCs w:val="20"/>
                <w:color w:val="auto"/>
              </w:rPr>
            </w:pPr>
            <w:r>
              <w:rPr>
                <w:rFonts w:ascii="Courier New" w:cs="Courier New" w:eastAsia="Courier New" w:hAnsi="Courier New"/>
                <w:sz w:val="15"/>
                <w:szCs w:val="15"/>
                <w:color w:val="auto"/>
              </w:rPr>
              <w:t>o</w:t>
            </w:r>
          </w:p>
        </w:tc>
        <w:tc>
          <w:tcPr>
            <w:tcW w:w="36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Unsecured subordinated debt securities</w:t>
            </w:r>
          </w:p>
        </w:tc>
        <w:tc>
          <w:tcPr>
            <w:tcW w:w="40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o</w:t>
            </w:r>
          </w:p>
        </w:tc>
        <w:tc>
          <w:tcPr>
            <w:tcW w:w="25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Depositary shares</w:t>
            </w:r>
          </w:p>
        </w:tc>
      </w:tr>
      <w:tr>
        <w:trPr>
          <w:trHeight w:val="168"/>
        </w:trPr>
        <w:tc>
          <w:tcPr>
            <w:tcW w:w="180" w:type="dxa"/>
            <w:vAlign w:val="bottom"/>
          </w:tcPr>
          <w:p>
            <w:pPr>
              <w:spacing w:after="0" w:line="168" w:lineRule="exact"/>
              <w:rPr>
                <w:sz w:val="20"/>
                <w:szCs w:val="20"/>
                <w:color w:val="auto"/>
              </w:rPr>
            </w:pPr>
            <w:r>
              <w:rPr>
                <w:rFonts w:ascii="Courier New" w:cs="Courier New" w:eastAsia="Courier New" w:hAnsi="Courier New"/>
                <w:sz w:val="15"/>
                <w:szCs w:val="15"/>
                <w:color w:val="auto"/>
              </w:rPr>
              <w:t>o</w:t>
            </w:r>
          </w:p>
        </w:tc>
        <w:tc>
          <w:tcPr>
            <w:tcW w:w="36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Warrants</w:t>
            </w:r>
          </w:p>
        </w:tc>
        <w:tc>
          <w:tcPr>
            <w:tcW w:w="40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o</w:t>
            </w:r>
          </w:p>
        </w:tc>
        <w:tc>
          <w:tcPr>
            <w:tcW w:w="25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Class A Common Stock</w:t>
            </w:r>
          </w:p>
        </w:tc>
      </w:tr>
      <w:tr>
        <w:trPr>
          <w:trHeight w:val="168"/>
        </w:trPr>
        <w:tc>
          <w:tcPr>
            <w:tcW w:w="180" w:type="dxa"/>
            <w:vAlign w:val="bottom"/>
          </w:tcPr>
          <w:p>
            <w:pPr>
              <w:spacing w:after="0" w:line="168" w:lineRule="exact"/>
              <w:rPr>
                <w:sz w:val="20"/>
                <w:szCs w:val="20"/>
                <w:color w:val="auto"/>
              </w:rPr>
            </w:pPr>
            <w:r>
              <w:rPr>
                <w:rFonts w:ascii="Courier New" w:cs="Courier New" w:eastAsia="Courier New" w:hAnsi="Courier New"/>
                <w:sz w:val="15"/>
                <w:szCs w:val="15"/>
                <w:color w:val="auto"/>
              </w:rPr>
              <w:t>o</w:t>
            </w:r>
          </w:p>
        </w:tc>
        <w:tc>
          <w:tcPr>
            <w:tcW w:w="36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Purchase contracts</w:t>
            </w:r>
          </w:p>
        </w:tc>
        <w:tc>
          <w:tcPr>
            <w:tcW w:w="40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o</w:t>
            </w:r>
          </w:p>
        </w:tc>
        <w:tc>
          <w:tcPr>
            <w:tcW w:w="25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6"/>
              </w:rPr>
              <w:t>Class A Special Common Stock</w:t>
            </w:r>
          </w:p>
        </w:tc>
      </w:tr>
    </w:tbl>
    <w:p>
      <w:pPr>
        <w:ind w:left="440" w:hanging="255"/>
        <w:spacing w:after="0" w:line="237" w:lineRule="auto"/>
        <w:tabs>
          <w:tab w:leader="none" w:pos="44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Units</w:t>
      </w:r>
    </w:p>
    <w:p>
      <w:pPr>
        <w:spacing w:after="0" w:line="173" w:lineRule="exact"/>
        <w:rPr>
          <w:sz w:val="20"/>
          <w:szCs w:val="20"/>
          <w:color w:val="auto"/>
        </w:rPr>
      </w:pPr>
    </w:p>
    <w:p>
      <w:pPr>
        <w:ind w:right="3399" w:firstLine="437"/>
        <w:spacing w:after="0" w:line="235" w:lineRule="auto"/>
        <w:rPr>
          <w:sz w:val="20"/>
          <w:szCs w:val="20"/>
          <w:color w:val="auto"/>
        </w:rPr>
      </w:pPr>
      <w:r>
        <w:rPr>
          <w:rFonts w:ascii="Courier New" w:cs="Courier New" w:eastAsia="Courier New" w:hAnsi="Courier New"/>
          <w:sz w:val="15"/>
          <w:szCs w:val="15"/>
          <w:color w:val="auto"/>
        </w:rPr>
        <w:t>If indicated in the relevant prospectus supplement, the securities may be fully and unconditionally guaranteed by a number of our wholly-owned cable subsidiaries named in this prospectus.</w:t>
      </w:r>
    </w:p>
    <w:p>
      <w:pPr>
        <w:spacing w:after="0" w:line="174"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Our Class A Special Common Stock and Class A Common Stock are quoted on The Nasdaq National Market System under the ticker symbols "CMCSK" and "CMCSA". On December 13, 2002, the reported last sale prices on The Nasdaq National Market System for our Class A Special Common Stock and our Class A Common Stock were $22.04 and $22.84.</w:t>
      </w:r>
    </w:p>
    <w:p>
      <w:pPr>
        <w:spacing w:after="0" w:line="174"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We will describe in a prospectus supplement, which must accompany this prospectus, the securities we are offering and selling, as well as the specific terms of the securities. Those terms may include:</w:t>
      </w:r>
    </w:p>
    <w:p>
      <w:pPr>
        <w:spacing w:after="0" w:line="167" w:lineRule="exact"/>
        <w:rPr>
          <w:sz w:val="20"/>
          <w:szCs w:val="20"/>
          <w:color w:val="auto"/>
        </w:rPr>
      </w:pPr>
    </w:p>
    <w:tbl>
      <w:tblPr>
        <w:tblLayout w:type="fixed"/>
        <w:tblInd w:w="440" w:type="dxa"/>
        <w:tblCellMar>
          <w:top w:w="0" w:type="dxa"/>
          <w:left w:w="0" w:type="dxa"/>
          <w:bottom w:w="0" w:type="dxa"/>
          <w:right w:w="0" w:type="dxa"/>
        </w:tblCellMar>
      </w:tblPr>
      <w:tr>
        <w:trPr>
          <w:trHeight w:val="170"/>
        </w:trPr>
        <w:tc>
          <w:tcPr>
            <w:tcW w:w="180" w:type="dxa"/>
            <w:vAlign w:val="bottom"/>
          </w:tcPr>
          <w:p>
            <w:pPr>
              <w:spacing w:after="0"/>
              <w:rPr>
                <w:sz w:val="20"/>
                <w:szCs w:val="20"/>
                <w:color w:val="auto"/>
              </w:rPr>
            </w:pPr>
            <w:r>
              <w:rPr>
                <w:rFonts w:ascii="Courier New" w:cs="Courier New" w:eastAsia="Courier New" w:hAnsi="Courier New"/>
                <w:sz w:val="15"/>
                <w:szCs w:val="15"/>
                <w:color w:val="auto"/>
              </w:rPr>
              <w:t>o</w:t>
            </w:r>
          </w:p>
        </w:tc>
        <w:tc>
          <w:tcPr>
            <w:tcW w:w="2180" w:type="dxa"/>
            <w:vAlign w:val="bottom"/>
          </w:tcPr>
          <w:p>
            <w:pPr>
              <w:ind w:left="80"/>
              <w:spacing w:after="0"/>
              <w:rPr>
                <w:sz w:val="20"/>
                <w:szCs w:val="20"/>
                <w:color w:val="auto"/>
              </w:rPr>
            </w:pPr>
            <w:r>
              <w:rPr>
                <w:rFonts w:ascii="Courier New" w:cs="Courier New" w:eastAsia="Courier New" w:hAnsi="Courier New"/>
                <w:sz w:val="15"/>
                <w:szCs w:val="15"/>
                <w:color w:val="auto"/>
              </w:rPr>
              <w:t>Maturity</w:t>
            </w:r>
          </w:p>
        </w:tc>
        <w:tc>
          <w:tcPr>
            <w:tcW w:w="540" w:type="dxa"/>
            <w:vAlign w:val="bottom"/>
          </w:tcPr>
          <w:p>
            <w:pPr>
              <w:ind w:left="360"/>
              <w:spacing w:after="0"/>
              <w:rPr>
                <w:sz w:val="20"/>
                <w:szCs w:val="20"/>
                <w:color w:val="auto"/>
              </w:rPr>
            </w:pPr>
            <w:r>
              <w:rPr>
                <w:rFonts w:ascii="Courier New" w:cs="Courier New" w:eastAsia="Courier New" w:hAnsi="Courier New"/>
                <w:sz w:val="15"/>
                <w:szCs w:val="15"/>
                <w:color w:val="auto"/>
              </w:rPr>
              <w:t>o</w:t>
            </w:r>
          </w:p>
        </w:tc>
        <w:tc>
          <w:tcPr>
            <w:tcW w:w="2880" w:type="dxa"/>
            <w:vAlign w:val="bottom"/>
          </w:tcPr>
          <w:p>
            <w:pPr>
              <w:ind w:left="80"/>
              <w:spacing w:after="0"/>
              <w:rPr>
                <w:sz w:val="20"/>
                <w:szCs w:val="20"/>
                <w:color w:val="auto"/>
              </w:rPr>
            </w:pPr>
            <w:r>
              <w:rPr>
                <w:rFonts w:ascii="Courier New" w:cs="Courier New" w:eastAsia="Courier New" w:hAnsi="Courier New"/>
                <w:sz w:val="15"/>
                <w:szCs w:val="15"/>
                <w:color w:val="auto"/>
                <w:w w:val="96"/>
              </w:rPr>
              <w:t>Listing on a securities exchange</w:t>
            </w:r>
          </w:p>
        </w:tc>
      </w:tr>
      <w:tr>
        <w:trPr>
          <w:trHeight w:val="168"/>
        </w:trPr>
        <w:tc>
          <w:tcPr>
            <w:tcW w:w="180" w:type="dxa"/>
            <w:vAlign w:val="bottom"/>
          </w:tcPr>
          <w:p>
            <w:pPr>
              <w:spacing w:after="0" w:line="168" w:lineRule="exact"/>
              <w:rPr>
                <w:sz w:val="20"/>
                <w:szCs w:val="20"/>
                <w:color w:val="auto"/>
              </w:rPr>
            </w:pPr>
            <w:r>
              <w:rPr>
                <w:rFonts w:ascii="Courier New" w:cs="Courier New" w:eastAsia="Courier New" w:hAnsi="Courier New"/>
                <w:sz w:val="15"/>
                <w:szCs w:val="15"/>
                <w:color w:val="auto"/>
              </w:rPr>
              <w:t>o</w:t>
            </w:r>
          </w:p>
        </w:tc>
        <w:tc>
          <w:tcPr>
            <w:tcW w:w="21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Interest rate</w:t>
            </w:r>
          </w:p>
        </w:tc>
        <w:tc>
          <w:tcPr>
            <w:tcW w:w="3420" w:type="dxa"/>
            <w:vAlign w:val="bottom"/>
            <w:gridSpan w:val="2"/>
          </w:tcPr>
          <w:p>
            <w:pPr>
              <w:ind w:left="360"/>
              <w:spacing w:after="0" w:line="168" w:lineRule="exact"/>
              <w:rPr>
                <w:sz w:val="20"/>
                <w:szCs w:val="20"/>
                <w:color w:val="auto"/>
              </w:rPr>
            </w:pPr>
            <w:r>
              <w:rPr>
                <w:rFonts w:ascii="Courier New" w:cs="Courier New" w:eastAsia="Courier New" w:hAnsi="Courier New"/>
                <w:sz w:val="15"/>
                <w:szCs w:val="15"/>
                <w:color w:val="auto"/>
              </w:rPr>
              <w:t>o  Amount payable at maturity</w:t>
            </w:r>
          </w:p>
        </w:tc>
      </w:tr>
      <w:tr>
        <w:trPr>
          <w:trHeight w:val="168"/>
        </w:trPr>
        <w:tc>
          <w:tcPr>
            <w:tcW w:w="180" w:type="dxa"/>
            <w:vAlign w:val="bottom"/>
          </w:tcPr>
          <w:p>
            <w:pPr>
              <w:spacing w:after="0" w:line="168" w:lineRule="exact"/>
              <w:rPr>
                <w:sz w:val="20"/>
                <w:szCs w:val="20"/>
                <w:color w:val="auto"/>
              </w:rPr>
            </w:pPr>
            <w:r>
              <w:rPr>
                <w:rFonts w:ascii="Courier New" w:cs="Courier New" w:eastAsia="Courier New" w:hAnsi="Courier New"/>
                <w:sz w:val="15"/>
                <w:szCs w:val="15"/>
                <w:color w:val="auto"/>
              </w:rPr>
              <w:t>o</w:t>
            </w:r>
          </w:p>
        </w:tc>
        <w:tc>
          <w:tcPr>
            <w:tcW w:w="21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Sinking fund terms</w:t>
            </w:r>
          </w:p>
        </w:tc>
        <w:tc>
          <w:tcPr>
            <w:tcW w:w="3420" w:type="dxa"/>
            <w:vAlign w:val="bottom"/>
            <w:gridSpan w:val="2"/>
          </w:tcPr>
          <w:p>
            <w:pPr>
              <w:ind w:left="360"/>
              <w:spacing w:after="0" w:line="168" w:lineRule="exact"/>
              <w:rPr>
                <w:sz w:val="20"/>
                <w:szCs w:val="20"/>
                <w:color w:val="auto"/>
              </w:rPr>
            </w:pPr>
            <w:r>
              <w:rPr>
                <w:rFonts w:ascii="Courier New" w:cs="Courier New" w:eastAsia="Courier New" w:hAnsi="Courier New"/>
                <w:sz w:val="15"/>
                <w:szCs w:val="15"/>
                <w:color w:val="auto"/>
              </w:rPr>
              <w:t>o  Conversion or exchange rights</w:t>
            </w:r>
          </w:p>
        </w:tc>
      </w:tr>
      <w:tr>
        <w:trPr>
          <w:trHeight w:val="168"/>
        </w:trPr>
        <w:tc>
          <w:tcPr>
            <w:tcW w:w="180" w:type="dxa"/>
            <w:vAlign w:val="bottom"/>
          </w:tcPr>
          <w:p>
            <w:pPr>
              <w:spacing w:after="0" w:line="168" w:lineRule="exact"/>
              <w:rPr>
                <w:sz w:val="20"/>
                <w:szCs w:val="20"/>
                <w:color w:val="auto"/>
              </w:rPr>
            </w:pPr>
            <w:r>
              <w:rPr>
                <w:rFonts w:ascii="Courier New" w:cs="Courier New" w:eastAsia="Courier New" w:hAnsi="Courier New"/>
                <w:sz w:val="15"/>
                <w:szCs w:val="15"/>
                <w:color w:val="auto"/>
              </w:rPr>
              <w:t>o</w:t>
            </w:r>
          </w:p>
        </w:tc>
        <w:tc>
          <w:tcPr>
            <w:tcW w:w="21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Currency of payments</w:t>
            </w:r>
          </w:p>
        </w:tc>
        <w:tc>
          <w:tcPr>
            <w:tcW w:w="5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o</w:t>
            </w:r>
          </w:p>
        </w:tc>
        <w:tc>
          <w:tcPr>
            <w:tcW w:w="28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Liquidation amount</w:t>
            </w:r>
          </w:p>
        </w:tc>
      </w:tr>
      <w:tr>
        <w:trPr>
          <w:trHeight w:val="168"/>
        </w:trPr>
        <w:tc>
          <w:tcPr>
            <w:tcW w:w="180" w:type="dxa"/>
            <w:vAlign w:val="bottom"/>
          </w:tcPr>
          <w:p>
            <w:pPr>
              <w:spacing w:after="0" w:line="168" w:lineRule="exact"/>
              <w:rPr>
                <w:sz w:val="20"/>
                <w:szCs w:val="20"/>
                <w:color w:val="auto"/>
              </w:rPr>
            </w:pPr>
            <w:r>
              <w:rPr>
                <w:rFonts w:ascii="Courier New" w:cs="Courier New" w:eastAsia="Courier New" w:hAnsi="Courier New"/>
                <w:sz w:val="15"/>
                <w:szCs w:val="15"/>
                <w:color w:val="auto"/>
              </w:rPr>
              <w:t>o</w:t>
            </w:r>
          </w:p>
        </w:tc>
        <w:tc>
          <w:tcPr>
            <w:tcW w:w="21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Dividends</w:t>
            </w:r>
          </w:p>
        </w:tc>
        <w:tc>
          <w:tcPr>
            <w:tcW w:w="5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o</w:t>
            </w:r>
          </w:p>
        </w:tc>
        <w:tc>
          <w:tcPr>
            <w:tcW w:w="28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Subsidiary guarantees</w:t>
            </w:r>
          </w:p>
        </w:tc>
      </w:tr>
    </w:tbl>
    <w:p>
      <w:pPr>
        <w:ind w:left="700" w:hanging="253"/>
        <w:spacing w:after="0" w:line="237" w:lineRule="auto"/>
        <w:tabs>
          <w:tab w:leader="none" w:pos="700" w:val="left"/>
        </w:tabs>
        <w:numPr>
          <w:ilvl w:val="1"/>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Redemption terms</w:t>
      </w:r>
    </w:p>
    <w:p>
      <w:pPr>
        <w:spacing w:after="0" w:line="173" w:lineRule="exact"/>
        <w:rPr>
          <w:rFonts w:ascii="Courier New" w:cs="Courier New" w:eastAsia="Courier New" w:hAnsi="Courier New"/>
          <w:sz w:val="15"/>
          <w:szCs w:val="15"/>
          <w:color w:val="auto"/>
        </w:rPr>
      </w:pPr>
    </w:p>
    <w:p>
      <w:pPr>
        <w:ind w:left="180" w:hanging="170"/>
        <w:spacing w:after="0"/>
        <w:tabs>
          <w:tab w:leader="none" w:pos="18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8" w:lineRule="exact"/>
        <w:rPr>
          <w:sz w:val="20"/>
          <w:szCs w:val="20"/>
          <w:color w:val="auto"/>
        </w:rPr>
      </w:pPr>
    </w:p>
    <w:p>
      <w:pPr>
        <w:ind w:right="3579" w:firstLine="437"/>
        <w:spacing w:after="0" w:line="234" w:lineRule="auto"/>
        <w:rPr>
          <w:sz w:val="20"/>
          <w:szCs w:val="20"/>
          <w:color w:val="auto"/>
        </w:rPr>
      </w:pPr>
      <w:r>
        <w:rPr>
          <w:rFonts w:ascii="Courier New" w:cs="Courier New" w:eastAsia="Courier New" w:hAnsi="Courier New"/>
          <w:sz w:val="15"/>
          <w:szCs w:val="15"/>
          <w:color w:val="auto"/>
        </w:rPr>
        <w:t>Investing in the securities involves risks that are described under the caption "Risk Factors" beginning on page 3.</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8"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The Securities and Exchange Commission and state securities regulators have not approved or disapproved of these securities, or determined if this prospectus is truthful or complete. Any representation to the contrary is a criminal offense.</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8" w:lineRule="exact"/>
        <w:rPr>
          <w:sz w:val="20"/>
          <w:szCs w:val="20"/>
          <w:color w:val="auto"/>
        </w:rPr>
      </w:pPr>
    </w:p>
    <w:p>
      <w:pPr>
        <w:ind w:right="3399" w:firstLine="437"/>
        <w:spacing w:after="0" w:line="256" w:lineRule="auto"/>
        <w:rPr>
          <w:sz w:val="20"/>
          <w:szCs w:val="20"/>
          <w:color w:val="auto"/>
        </w:rPr>
      </w:pPr>
      <w:r>
        <w:rPr>
          <w:rFonts w:ascii="Courier New" w:cs="Courier New" w:eastAsia="Courier New" w:hAnsi="Courier New"/>
          <w:sz w:val="14"/>
          <w:szCs w:val="14"/>
          <w:color w:val="auto"/>
        </w:rPr>
        <w:t>We may offer the securities in amounts, at prices and on terms determined at the time of offering. We may sell the securities directly to you, through agents we select, or through underwriters and dealers we select. If we use agents, underwriters or dealers to sell the securities, we will name them and describe their compensation in a prospectus supplement.</w:t>
      </w:r>
    </w:p>
    <w:p>
      <w:pPr>
        <w:spacing w:after="0" w:line="157" w:lineRule="exact"/>
        <w:rPr>
          <w:sz w:val="20"/>
          <w:szCs w:val="20"/>
          <w:color w:val="auto"/>
        </w:rPr>
      </w:pPr>
    </w:p>
    <w:p>
      <w:pPr>
        <w:spacing w:after="0"/>
        <w:tabs>
          <w:tab w:leader="none" w:pos="960" w:val="left"/>
        </w:tabs>
        <w:rPr>
          <w:sz w:val="20"/>
          <w:szCs w:val="20"/>
          <w:color w:val="auto"/>
        </w:rPr>
      </w:pPr>
      <w:r>
        <w:rPr>
          <w:rFonts w:ascii="Courier New" w:cs="Courier New" w:eastAsia="Courier New" w:hAnsi="Courier New"/>
          <w:sz w:val="15"/>
          <w:szCs w:val="15"/>
          <w:color w:val="auto"/>
        </w:rPr>
        <w:t>December</w:t>
      </w:r>
      <w:r>
        <w:rPr>
          <w:sz w:val="20"/>
          <w:szCs w:val="20"/>
          <w:color w:val="auto"/>
        </w:rPr>
        <w:tab/>
      </w:r>
      <w:r>
        <w:rPr>
          <w:rFonts w:ascii="Courier New" w:cs="Courier New" w:eastAsia="Courier New" w:hAnsi="Courier New"/>
          <w:sz w:val="15"/>
          <w:szCs w:val="15"/>
          <w:color w:val="auto"/>
        </w:rPr>
        <w:t>, 2002</w:t>
      </w:r>
    </w:p>
    <w:p>
      <w:pPr>
        <w:sectPr>
          <w:pgSz w:w="11900" w:h="16838" w:orient="portrait"/>
          <w:cols w:equalWidth="0" w:num="1">
            <w:col w:w="10239"/>
          </w:cols>
          <w:pgMar w:left="220" w:top="792" w:right="1440" w:bottom="1440" w:gutter="0" w:footer="0" w:header="0"/>
          <w:type w:val="continuous"/>
        </w:sectPr>
      </w:pPr>
    </w:p>
    <w:bookmarkStart w:id="4" w:name="page5"/>
    <w:bookmarkEnd w:id="4"/>
    <w:p>
      <w:pPr>
        <w:jc w:val="center"/>
        <w:ind w:right="3139"/>
        <w:spacing w:after="0"/>
        <w:rPr>
          <w:sz w:val="20"/>
          <w:szCs w:val="20"/>
          <w:color w:val="auto"/>
        </w:rPr>
      </w:pPr>
      <w:r>
        <w:rPr>
          <w:rFonts w:ascii="Courier New" w:cs="Courier New" w:eastAsia="Courier New" w:hAnsi="Courier New"/>
          <w:sz w:val="15"/>
          <w:szCs w:val="15"/>
          <w:color w:val="auto"/>
        </w:rPr>
        <w:t>Table of Contents</w:t>
      </w:r>
    </w:p>
    <w:p>
      <w:pPr>
        <w:ind w:left="2900"/>
        <w:spacing w:after="0" w:line="237" w:lineRule="auto"/>
        <w:rPr>
          <w:sz w:val="20"/>
          <w:szCs w:val="20"/>
          <w:color w:val="auto"/>
        </w:rPr>
      </w:pPr>
      <w:r>
        <w:rPr>
          <w:rFonts w:ascii="Courier New" w:cs="Courier New" w:eastAsia="Courier New" w:hAnsi="Courier New"/>
          <w:sz w:val="15"/>
          <w:szCs w:val="15"/>
          <w:color w:val="auto"/>
        </w:rPr>
        <w:t>---------------</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30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w w:val="94"/>
              </w:rPr>
              <w:t>PAGE</w:t>
            </w:r>
          </w:p>
        </w:tc>
      </w:tr>
      <w:tr>
        <w:trPr>
          <w:trHeight w:val="168"/>
        </w:trPr>
        <w:tc>
          <w:tcPr>
            <w:tcW w:w="6300" w:type="dxa"/>
            <w:vAlign w:val="bottom"/>
          </w:tcPr>
          <w:p>
            <w:pPr>
              <w:spacing w:after="0"/>
              <w:rPr>
                <w:sz w:val="14"/>
                <w:szCs w:val="14"/>
                <w:color w:val="auto"/>
              </w:rPr>
            </w:pPr>
          </w:p>
        </w:tc>
        <w:tc>
          <w:tcPr>
            <w:tcW w:w="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4"/>
              </w:rPr>
              <w:t>----</w:t>
            </w:r>
          </w:p>
        </w:tc>
      </w:tr>
      <w:tr>
        <w:trPr>
          <w:trHeight w:val="336"/>
        </w:trPr>
        <w:tc>
          <w:tcPr>
            <w:tcW w:w="6300" w:type="dxa"/>
            <w:vAlign w:val="bottom"/>
          </w:tcPr>
          <w:p>
            <w:pPr>
              <w:spacing w:after="0"/>
              <w:rPr>
                <w:sz w:val="20"/>
                <w:szCs w:val="20"/>
                <w:color w:val="auto"/>
              </w:rPr>
            </w:pPr>
            <w:r>
              <w:rPr>
                <w:rFonts w:ascii="Courier New" w:cs="Courier New" w:eastAsia="Courier New" w:hAnsi="Courier New"/>
                <w:sz w:val="15"/>
                <w:szCs w:val="15"/>
                <w:color w:val="auto"/>
                <w:w w:val="94"/>
              </w:rPr>
              <w:t>Summary...................................................................</w:t>
            </w:r>
          </w:p>
        </w:tc>
        <w:tc>
          <w:tcPr>
            <w:tcW w:w="3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w:t>
            </w:r>
          </w:p>
        </w:tc>
      </w:tr>
      <w:tr>
        <w:trPr>
          <w:trHeight w:val="168"/>
        </w:trPr>
        <w:tc>
          <w:tcPr>
            <w:tcW w:w="6300" w:type="dxa"/>
            <w:vAlign w:val="bottom"/>
          </w:tcPr>
          <w:p>
            <w:pPr>
              <w:spacing w:after="0" w:line="168" w:lineRule="exact"/>
              <w:rPr>
                <w:sz w:val="20"/>
                <w:szCs w:val="20"/>
                <w:color w:val="auto"/>
              </w:rPr>
            </w:pPr>
            <w:r>
              <w:rPr>
                <w:rFonts w:ascii="Courier New" w:cs="Courier New" w:eastAsia="Courier New" w:hAnsi="Courier New"/>
                <w:sz w:val="15"/>
                <w:szCs w:val="15"/>
                <w:color w:val="auto"/>
                <w:w w:val="94"/>
              </w:rPr>
              <w:t>Risk Factors..............................................................</w:t>
            </w:r>
          </w:p>
        </w:tc>
        <w:tc>
          <w:tcPr>
            <w:tcW w:w="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w:t>
            </w:r>
          </w:p>
        </w:tc>
      </w:tr>
      <w:tr>
        <w:trPr>
          <w:trHeight w:val="168"/>
        </w:trPr>
        <w:tc>
          <w:tcPr>
            <w:tcW w:w="6300" w:type="dxa"/>
            <w:vAlign w:val="bottom"/>
          </w:tcPr>
          <w:p>
            <w:pPr>
              <w:spacing w:after="0" w:line="168" w:lineRule="exact"/>
              <w:rPr>
                <w:sz w:val="20"/>
                <w:szCs w:val="20"/>
                <w:color w:val="auto"/>
              </w:rPr>
            </w:pPr>
            <w:r>
              <w:rPr>
                <w:rFonts w:ascii="Courier New" w:cs="Courier New" w:eastAsia="Courier New" w:hAnsi="Courier New"/>
                <w:sz w:val="15"/>
                <w:szCs w:val="15"/>
                <w:color w:val="auto"/>
                <w:w w:val="95"/>
              </w:rPr>
              <w:t>Special Note Regarding Forward-Looking Statements........................</w:t>
            </w:r>
          </w:p>
        </w:tc>
        <w:tc>
          <w:tcPr>
            <w:tcW w:w="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10</w:t>
            </w:r>
          </w:p>
        </w:tc>
      </w:tr>
      <w:tr>
        <w:trPr>
          <w:trHeight w:val="168"/>
        </w:trPr>
        <w:tc>
          <w:tcPr>
            <w:tcW w:w="6300" w:type="dxa"/>
            <w:vAlign w:val="bottom"/>
          </w:tcPr>
          <w:p>
            <w:pPr>
              <w:spacing w:after="0" w:line="168" w:lineRule="exact"/>
              <w:rPr>
                <w:sz w:val="20"/>
                <w:szCs w:val="20"/>
                <w:color w:val="auto"/>
              </w:rPr>
            </w:pPr>
            <w:r>
              <w:rPr>
                <w:rFonts w:ascii="Courier New" w:cs="Courier New" w:eastAsia="Courier New" w:hAnsi="Courier New"/>
                <w:sz w:val="15"/>
                <w:szCs w:val="15"/>
                <w:color w:val="auto"/>
                <w:w w:val="95"/>
              </w:rPr>
              <w:t>Use of Proceeds..........................................................</w:t>
            </w:r>
          </w:p>
        </w:tc>
        <w:tc>
          <w:tcPr>
            <w:tcW w:w="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11</w:t>
            </w:r>
          </w:p>
        </w:tc>
      </w:tr>
      <w:tr>
        <w:trPr>
          <w:trHeight w:val="168"/>
        </w:trPr>
        <w:tc>
          <w:tcPr>
            <w:tcW w:w="6300" w:type="dxa"/>
            <w:vAlign w:val="bottom"/>
          </w:tcPr>
          <w:p>
            <w:pPr>
              <w:spacing w:after="0" w:line="168" w:lineRule="exact"/>
              <w:rPr>
                <w:sz w:val="20"/>
                <w:szCs w:val="20"/>
                <w:color w:val="auto"/>
              </w:rPr>
            </w:pPr>
            <w:r>
              <w:rPr>
                <w:rFonts w:ascii="Courier New" w:cs="Courier New" w:eastAsia="Courier New" w:hAnsi="Courier New"/>
                <w:sz w:val="15"/>
                <w:szCs w:val="15"/>
                <w:color w:val="auto"/>
                <w:w w:val="95"/>
              </w:rPr>
              <w:t>Dividend Policy..........................................................</w:t>
            </w:r>
          </w:p>
        </w:tc>
        <w:tc>
          <w:tcPr>
            <w:tcW w:w="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11</w:t>
            </w:r>
          </w:p>
        </w:tc>
      </w:tr>
      <w:tr>
        <w:trPr>
          <w:trHeight w:val="168"/>
        </w:trPr>
        <w:tc>
          <w:tcPr>
            <w:tcW w:w="6300" w:type="dxa"/>
            <w:vAlign w:val="bottom"/>
          </w:tcPr>
          <w:p>
            <w:pPr>
              <w:spacing w:after="0" w:line="168" w:lineRule="exact"/>
              <w:rPr>
                <w:sz w:val="20"/>
                <w:szCs w:val="20"/>
                <w:color w:val="auto"/>
              </w:rPr>
            </w:pPr>
            <w:r>
              <w:rPr>
                <w:rFonts w:ascii="Courier New" w:cs="Courier New" w:eastAsia="Courier New" w:hAnsi="Courier New"/>
                <w:sz w:val="15"/>
                <w:szCs w:val="15"/>
                <w:color w:val="auto"/>
                <w:w w:val="95"/>
              </w:rPr>
              <w:t>Ratios of Earnings to Fixed Charges......................................</w:t>
            </w:r>
          </w:p>
        </w:tc>
        <w:tc>
          <w:tcPr>
            <w:tcW w:w="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11</w:t>
            </w:r>
          </w:p>
        </w:tc>
      </w:tr>
      <w:tr>
        <w:trPr>
          <w:trHeight w:val="168"/>
        </w:trPr>
        <w:tc>
          <w:tcPr>
            <w:tcW w:w="6300" w:type="dxa"/>
            <w:vAlign w:val="bottom"/>
          </w:tcPr>
          <w:p>
            <w:pPr>
              <w:spacing w:after="0" w:line="168" w:lineRule="exact"/>
              <w:rPr>
                <w:sz w:val="20"/>
                <w:szCs w:val="20"/>
                <w:color w:val="auto"/>
              </w:rPr>
            </w:pPr>
            <w:r>
              <w:rPr>
                <w:rFonts w:ascii="Courier New" w:cs="Courier New" w:eastAsia="Courier New" w:hAnsi="Courier New"/>
                <w:sz w:val="15"/>
                <w:szCs w:val="15"/>
                <w:color w:val="auto"/>
                <w:w w:val="95"/>
              </w:rPr>
              <w:t>Pro Forma Ratio of Earnings to Fixed Charges.............................</w:t>
            </w:r>
          </w:p>
        </w:tc>
        <w:tc>
          <w:tcPr>
            <w:tcW w:w="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13</w:t>
            </w:r>
          </w:p>
        </w:tc>
      </w:tr>
      <w:tr>
        <w:trPr>
          <w:trHeight w:val="168"/>
        </w:trPr>
        <w:tc>
          <w:tcPr>
            <w:tcW w:w="6300" w:type="dxa"/>
            <w:vAlign w:val="bottom"/>
          </w:tcPr>
          <w:p>
            <w:pPr>
              <w:spacing w:after="0" w:line="168" w:lineRule="exact"/>
              <w:rPr>
                <w:sz w:val="20"/>
                <w:szCs w:val="20"/>
                <w:color w:val="auto"/>
              </w:rPr>
            </w:pPr>
            <w:r>
              <w:rPr>
                <w:rFonts w:ascii="Courier New" w:cs="Courier New" w:eastAsia="Courier New" w:hAnsi="Courier New"/>
                <w:sz w:val="15"/>
                <w:szCs w:val="15"/>
                <w:color w:val="auto"/>
              </w:rPr>
              <w:t>Ratio of Earnings to Combined Fixed Charges and</w:t>
            </w:r>
          </w:p>
        </w:tc>
        <w:tc>
          <w:tcPr>
            <w:tcW w:w="360" w:type="dxa"/>
            <w:vAlign w:val="bottom"/>
          </w:tcPr>
          <w:p>
            <w:pPr>
              <w:spacing w:after="0"/>
              <w:rPr>
                <w:sz w:val="14"/>
                <w:szCs w:val="14"/>
                <w:color w:val="auto"/>
              </w:rPr>
            </w:pPr>
          </w:p>
        </w:tc>
      </w:tr>
      <w:tr>
        <w:trPr>
          <w:trHeight w:val="168"/>
        </w:trPr>
        <w:tc>
          <w:tcPr>
            <w:tcW w:w="63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w w:val="95"/>
              </w:rPr>
              <w:t>Preferred Dividends.................................................</w:t>
            </w:r>
          </w:p>
        </w:tc>
        <w:tc>
          <w:tcPr>
            <w:tcW w:w="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13</w:t>
            </w:r>
          </w:p>
        </w:tc>
      </w:tr>
      <w:tr>
        <w:trPr>
          <w:trHeight w:val="168"/>
        </w:trPr>
        <w:tc>
          <w:tcPr>
            <w:tcW w:w="6300" w:type="dxa"/>
            <w:vAlign w:val="bottom"/>
          </w:tcPr>
          <w:p>
            <w:pPr>
              <w:spacing w:after="0" w:line="168" w:lineRule="exact"/>
              <w:rPr>
                <w:sz w:val="20"/>
                <w:szCs w:val="20"/>
                <w:color w:val="auto"/>
              </w:rPr>
            </w:pPr>
            <w:r>
              <w:rPr>
                <w:rFonts w:ascii="Courier New" w:cs="Courier New" w:eastAsia="Courier New" w:hAnsi="Courier New"/>
                <w:sz w:val="15"/>
                <w:szCs w:val="15"/>
                <w:color w:val="auto"/>
              </w:rPr>
              <w:t>Description of the Senior Debt Securities, Subordinated</w:t>
            </w:r>
          </w:p>
        </w:tc>
        <w:tc>
          <w:tcPr>
            <w:tcW w:w="360" w:type="dxa"/>
            <w:vAlign w:val="bottom"/>
          </w:tcPr>
          <w:p>
            <w:pPr>
              <w:spacing w:after="0"/>
              <w:rPr>
                <w:sz w:val="14"/>
                <w:szCs w:val="14"/>
                <w:color w:val="auto"/>
              </w:rPr>
            </w:pPr>
          </w:p>
        </w:tc>
      </w:tr>
      <w:tr>
        <w:trPr>
          <w:trHeight w:val="168"/>
        </w:trPr>
        <w:tc>
          <w:tcPr>
            <w:tcW w:w="63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w w:val="95"/>
              </w:rPr>
              <w:t>Debt Securities and Cable Guarantees................................</w:t>
            </w:r>
          </w:p>
        </w:tc>
        <w:tc>
          <w:tcPr>
            <w:tcW w:w="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13</w:t>
            </w:r>
          </w:p>
        </w:tc>
      </w:tr>
      <w:tr>
        <w:trPr>
          <w:trHeight w:val="168"/>
        </w:trPr>
        <w:tc>
          <w:tcPr>
            <w:tcW w:w="6300" w:type="dxa"/>
            <w:vAlign w:val="bottom"/>
          </w:tcPr>
          <w:p>
            <w:pPr>
              <w:spacing w:after="0" w:line="168" w:lineRule="exact"/>
              <w:rPr>
                <w:sz w:val="20"/>
                <w:szCs w:val="20"/>
                <w:color w:val="auto"/>
              </w:rPr>
            </w:pPr>
            <w:r>
              <w:rPr>
                <w:rFonts w:ascii="Courier New" w:cs="Courier New" w:eastAsia="Courier New" w:hAnsi="Courier New"/>
                <w:sz w:val="15"/>
                <w:szCs w:val="15"/>
                <w:color w:val="auto"/>
                <w:w w:val="95"/>
              </w:rPr>
              <w:t>Description of Warrants..................................................</w:t>
            </w:r>
          </w:p>
        </w:tc>
        <w:tc>
          <w:tcPr>
            <w:tcW w:w="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27</w:t>
            </w:r>
          </w:p>
        </w:tc>
      </w:tr>
      <w:tr>
        <w:trPr>
          <w:trHeight w:val="168"/>
        </w:trPr>
        <w:tc>
          <w:tcPr>
            <w:tcW w:w="6300" w:type="dxa"/>
            <w:vAlign w:val="bottom"/>
          </w:tcPr>
          <w:p>
            <w:pPr>
              <w:spacing w:after="0" w:line="168" w:lineRule="exact"/>
              <w:rPr>
                <w:sz w:val="20"/>
                <w:szCs w:val="20"/>
                <w:color w:val="auto"/>
              </w:rPr>
            </w:pPr>
            <w:r>
              <w:rPr>
                <w:rFonts w:ascii="Courier New" w:cs="Courier New" w:eastAsia="Courier New" w:hAnsi="Courier New"/>
                <w:sz w:val="15"/>
                <w:szCs w:val="15"/>
                <w:color w:val="auto"/>
                <w:w w:val="95"/>
              </w:rPr>
              <w:t>Description of Purchase Contracts........................................</w:t>
            </w:r>
          </w:p>
        </w:tc>
        <w:tc>
          <w:tcPr>
            <w:tcW w:w="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28</w:t>
            </w:r>
          </w:p>
        </w:tc>
      </w:tr>
      <w:tr>
        <w:trPr>
          <w:trHeight w:val="168"/>
        </w:trPr>
        <w:tc>
          <w:tcPr>
            <w:tcW w:w="6300" w:type="dxa"/>
            <w:vAlign w:val="bottom"/>
          </w:tcPr>
          <w:p>
            <w:pPr>
              <w:spacing w:after="0" w:line="168" w:lineRule="exact"/>
              <w:rPr>
                <w:sz w:val="20"/>
                <w:szCs w:val="20"/>
                <w:color w:val="auto"/>
              </w:rPr>
            </w:pPr>
            <w:r>
              <w:rPr>
                <w:rFonts w:ascii="Courier New" w:cs="Courier New" w:eastAsia="Courier New" w:hAnsi="Courier New"/>
                <w:sz w:val="15"/>
                <w:szCs w:val="15"/>
                <w:color w:val="auto"/>
                <w:w w:val="95"/>
              </w:rPr>
              <w:t>Description of Units.....................................................</w:t>
            </w:r>
          </w:p>
        </w:tc>
        <w:tc>
          <w:tcPr>
            <w:tcW w:w="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28</w:t>
            </w:r>
          </w:p>
        </w:tc>
      </w:tr>
      <w:tr>
        <w:trPr>
          <w:trHeight w:val="168"/>
        </w:trPr>
        <w:tc>
          <w:tcPr>
            <w:tcW w:w="6300" w:type="dxa"/>
            <w:vAlign w:val="bottom"/>
          </w:tcPr>
          <w:p>
            <w:pPr>
              <w:spacing w:after="0" w:line="168" w:lineRule="exact"/>
              <w:rPr>
                <w:sz w:val="20"/>
                <w:szCs w:val="20"/>
                <w:color w:val="auto"/>
              </w:rPr>
            </w:pPr>
            <w:r>
              <w:rPr>
                <w:rFonts w:ascii="Courier New" w:cs="Courier New" w:eastAsia="Courier New" w:hAnsi="Courier New"/>
                <w:sz w:val="15"/>
                <w:szCs w:val="15"/>
                <w:color w:val="auto"/>
                <w:w w:val="95"/>
              </w:rPr>
              <w:t>Global Securities........................................................</w:t>
            </w:r>
          </w:p>
        </w:tc>
        <w:tc>
          <w:tcPr>
            <w:tcW w:w="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29</w:t>
            </w:r>
          </w:p>
        </w:tc>
      </w:tr>
      <w:tr>
        <w:trPr>
          <w:trHeight w:val="168"/>
        </w:trPr>
        <w:tc>
          <w:tcPr>
            <w:tcW w:w="6300" w:type="dxa"/>
            <w:vAlign w:val="bottom"/>
          </w:tcPr>
          <w:p>
            <w:pPr>
              <w:spacing w:after="0" w:line="168" w:lineRule="exact"/>
              <w:rPr>
                <w:sz w:val="20"/>
                <w:szCs w:val="20"/>
                <w:color w:val="auto"/>
              </w:rPr>
            </w:pPr>
            <w:r>
              <w:rPr>
                <w:rFonts w:ascii="Courier New" w:cs="Courier New" w:eastAsia="Courier New" w:hAnsi="Courier New"/>
                <w:sz w:val="15"/>
                <w:szCs w:val="15"/>
                <w:color w:val="auto"/>
                <w:w w:val="95"/>
              </w:rPr>
              <w:t>Description of Preferred Stock...........................................</w:t>
            </w:r>
          </w:p>
        </w:tc>
        <w:tc>
          <w:tcPr>
            <w:tcW w:w="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30</w:t>
            </w:r>
          </w:p>
        </w:tc>
      </w:tr>
      <w:tr>
        <w:trPr>
          <w:trHeight w:val="168"/>
        </w:trPr>
        <w:tc>
          <w:tcPr>
            <w:tcW w:w="6300" w:type="dxa"/>
            <w:vAlign w:val="bottom"/>
          </w:tcPr>
          <w:p>
            <w:pPr>
              <w:spacing w:after="0" w:line="168" w:lineRule="exact"/>
              <w:rPr>
                <w:sz w:val="20"/>
                <w:szCs w:val="20"/>
                <w:color w:val="auto"/>
              </w:rPr>
            </w:pPr>
            <w:r>
              <w:rPr>
                <w:rFonts w:ascii="Courier New" w:cs="Courier New" w:eastAsia="Courier New" w:hAnsi="Courier New"/>
                <w:sz w:val="15"/>
                <w:szCs w:val="15"/>
                <w:color w:val="auto"/>
                <w:w w:val="95"/>
              </w:rPr>
              <w:t>Description of Depositary Shares.........................................</w:t>
            </w:r>
          </w:p>
        </w:tc>
        <w:tc>
          <w:tcPr>
            <w:tcW w:w="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31</w:t>
            </w:r>
          </w:p>
        </w:tc>
      </w:tr>
      <w:tr>
        <w:trPr>
          <w:trHeight w:val="168"/>
        </w:trPr>
        <w:tc>
          <w:tcPr>
            <w:tcW w:w="6300" w:type="dxa"/>
            <w:vAlign w:val="bottom"/>
          </w:tcPr>
          <w:p>
            <w:pPr>
              <w:spacing w:after="0" w:line="168" w:lineRule="exact"/>
              <w:rPr>
                <w:sz w:val="20"/>
                <w:szCs w:val="20"/>
                <w:color w:val="auto"/>
              </w:rPr>
            </w:pPr>
            <w:r>
              <w:rPr>
                <w:rFonts w:ascii="Courier New" w:cs="Courier New" w:eastAsia="Courier New" w:hAnsi="Courier New"/>
                <w:sz w:val="15"/>
                <w:szCs w:val="15"/>
                <w:color w:val="auto"/>
                <w:w w:val="95"/>
              </w:rPr>
              <w:t>Description of Common Stock..............................................</w:t>
            </w:r>
          </w:p>
        </w:tc>
        <w:tc>
          <w:tcPr>
            <w:tcW w:w="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33</w:t>
            </w:r>
          </w:p>
        </w:tc>
      </w:tr>
      <w:tr>
        <w:trPr>
          <w:trHeight w:val="168"/>
        </w:trPr>
        <w:tc>
          <w:tcPr>
            <w:tcW w:w="6300" w:type="dxa"/>
            <w:vAlign w:val="bottom"/>
          </w:tcPr>
          <w:p>
            <w:pPr>
              <w:spacing w:after="0" w:line="168" w:lineRule="exact"/>
              <w:rPr>
                <w:sz w:val="20"/>
                <w:szCs w:val="20"/>
                <w:color w:val="auto"/>
              </w:rPr>
            </w:pPr>
            <w:r>
              <w:rPr>
                <w:rFonts w:ascii="Courier New" w:cs="Courier New" w:eastAsia="Courier New" w:hAnsi="Courier New"/>
                <w:sz w:val="15"/>
                <w:szCs w:val="15"/>
                <w:color w:val="auto"/>
                <w:w w:val="95"/>
              </w:rPr>
              <w:t>Description of Shareholder Rights Plan...................................</w:t>
            </w:r>
          </w:p>
        </w:tc>
        <w:tc>
          <w:tcPr>
            <w:tcW w:w="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36</w:t>
            </w:r>
          </w:p>
        </w:tc>
      </w:tr>
      <w:tr>
        <w:trPr>
          <w:trHeight w:val="168"/>
        </w:trPr>
        <w:tc>
          <w:tcPr>
            <w:tcW w:w="6300" w:type="dxa"/>
            <w:vAlign w:val="bottom"/>
          </w:tcPr>
          <w:p>
            <w:pPr>
              <w:spacing w:after="0" w:line="168" w:lineRule="exact"/>
              <w:rPr>
                <w:sz w:val="20"/>
                <w:szCs w:val="20"/>
                <w:color w:val="auto"/>
              </w:rPr>
            </w:pPr>
            <w:r>
              <w:rPr>
                <w:rFonts w:ascii="Courier New" w:cs="Courier New" w:eastAsia="Courier New" w:hAnsi="Courier New"/>
                <w:sz w:val="15"/>
                <w:szCs w:val="15"/>
                <w:color w:val="auto"/>
                <w:w w:val="95"/>
              </w:rPr>
              <w:t>Description of AT&amp;T Comcast Transaction..................................</w:t>
            </w:r>
          </w:p>
        </w:tc>
        <w:tc>
          <w:tcPr>
            <w:tcW w:w="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38</w:t>
            </w:r>
          </w:p>
        </w:tc>
      </w:tr>
      <w:tr>
        <w:trPr>
          <w:trHeight w:val="168"/>
        </w:trPr>
        <w:tc>
          <w:tcPr>
            <w:tcW w:w="6300" w:type="dxa"/>
            <w:vAlign w:val="bottom"/>
          </w:tcPr>
          <w:p>
            <w:pPr>
              <w:spacing w:after="0" w:line="168" w:lineRule="exact"/>
              <w:rPr>
                <w:sz w:val="20"/>
                <w:szCs w:val="20"/>
                <w:color w:val="auto"/>
              </w:rPr>
            </w:pPr>
            <w:r>
              <w:rPr>
                <w:rFonts w:ascii="Courier New" w:cs="Courier New" w:eastAsia="Courier New" w:hAnsi="Courier New"/>
                <w:sz w:val="15"/>
                <w:szCs w:val="15"/>
                <w:color w:val="auto"/>
                <w:w w:val="95"/>
              </w:rPr>
              <w:t>Plan of Distribution.....................................................</w:t>
            </w:r>
          </w:p>
        </w:tc>
        <w:tc>
          <w:tcPr>
            <w:tcW w:w="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48</w:t>
            </w:r>
          </w:p>
        </w:tc>
      </w:tr>
      <w:tr>
        <w:trPr>
          <w:trHeight w:val="168"/>
        </w:trPr>
        <w:tc>
          <w:tcPr>
            <w:tcW w:w="6300" w:type="dxa"/>
            <w:vAlign w:val="bottom"/>
          </w:tcPr>
          <w:p>
            <w:pPr>
              <w:spacing w:after="0" w:line="168" w:lineRule="exact"/>
              <w:rPr>
                <w:sz w:val="20"/>
                <w:szCs w:val="20"/>
                <w:color w:val="auto"/>
              </w:rPr>
            </w:pPr>
            <w:r>
              <w:rPr>
                <w:rFonts w:ascii="Courier New" w:cs="Courier New" w:eastAsia="Courier New" w:hAnsi="Courier New"/>
                <w:sz w:val="15"/>
                <w:szCs w:val="15"/>
                <w:color w:val="auto"/>
                <w:w w:val="95"/>
              </w:rPr>
              <w:t>Legal Matters............................................................</w:t>
            </w:r>
          </w:p>
        </w:tc>
        <w:tc>
          <w:tcPr>
            <w:tcW w:w="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48</w:t>
            </w:r>
          </w:p>
        </w:tc>
      </w:tr>
      <w:tr>
        <w:trPr>
          <w:trHeight w:val="168"/>
        </w:trPr>
        <w:tc>
          <w:tcPr>
            <w:tcW w:w="6300" w:type="dxa"/>
            <w:vAlign w:val="bottom"/>
          </w:tcPr>
          <w:p>
            <w:pPr>
              <w:spacing w:after="0" w:line="168" w:lineRule="exact"/>
              <w:rPr>
                <w:sz w:val="20"/>
                <w:szCs w:val="20"/>
                <w:color w:val="auto"/>
              </w:rPr>
            </w:pPr>
            <w:r>
              <w:rPr>
                <w:rFonts w:ascii="Courier New" w:cs="Courier New" w:eastAsia="Courier New" w:hAnsi="Courier New"/>
                <w:sz w:val="15"/>
                <w:szCs w:val="15"/>
                <w:color w:val="auto"/>
                <w:w w:val="95"/>
              </w:rPr>
              <w:t>Experts..................................................................</w:t>
            </w:r>
          </w:p>
        </w:tc>
        <w:tc>
          <w:tcPr>
            <w:tcW w:w="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49</w:t>
            </w:r>
          </w:p>
        </w:tc>
      </w:tr>
      <w:tr>
        <w:trPr>
          <w:trHeight w:val="168"/>
        </w:trPr>
        <w:tc>
          <w:tcPr>
            <w:tcW w:w="6300" w:type="dxa"/>
            <w:vAlign w:val="bottom"/>
          </w:tcPr>
          <w:p>
            <w:pPr>
              <w:spacing w:after="0" w:line="168" w:lineRule="exact"/>
              <w:rPr>
                <w:sz w:val="20"/>
                <w:szCs w:val="20"/>
                <w:color w:val="auto"/>
              </w:rPr>
            </w:pPr>
            <w:r>
              <w:rPr>
                <w:rFonts w:ascii="Courier New" w:cs="Courier New" w:eastAsia="Courier New" w:hAnsi="Courier New"/>
                <w:sz w:val="15"/>
                <w:szCs w:val="15"/>
                <w:color w:val="auto"/>
                <w:w w:val="95"/>
              </w:rPr>
              <w:t>Available Information....................................................</w:t>
            </w:r>
          </w:p>
        </w:tc>
        <w:tc>
          <w:tcPr>
            <w:tcW w:w="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49</w:t>
            </w:r>
          </w:p>
        </w:tc>
      </w:tr>
      <w:tr>
        <w:trPr>
          <w:trHeight w:val="168"/>
        </w:trPr>
        <w:tc>
          <w:tcPr>
            <w:tcW w:w="6300" w:type="dxa"/>
            <w:vAlign w:val="bottom"/>
          </w:tcPr>
          <w:p>
            <w:pPr>
              <w:spacing w:after="0" w:line="168" w:lineRule="exact"/>
              <w:rPr>
                <w:sz w:val="20"/>
                <w:szCs w:val="20"/>
                <w:color w:val="auto"/>
              </w:rPr>
            </w:pPr>
            <w:r>
              <w:rPr>
                <w:rFonts w:ascii="Courier New" w:cs="Courier New" w:eastAsia="Courier New" w:hAnsi="Courier New"/>
                <w:sz w:val="15"/>
                <w:szCs w:val="15"/>
                <w:color w:val="auto"/>
                <w:w w:val="95"/>
              </w:rPr>
              <w:t>Incorporation of Certain Documents by Reference..........................</w:t>
            </w:r>
          </w:p>
        </w:tc>
        <w:tc>
          <w:tcPr>
            <w:tcW w:w="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50</w:t>
            </w:r>
          </w:p>
        </w:tc>
      </w:tr>
    </w:tbl>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We refer to Comcast Corporation (formerly known as AT&amp;T Comcast Corporation) in this prospectus as "Comcast" or "we," "us," "our" or comparable terms and to Comcast Holdings Corporation (formerly known as Comcast Corporation) as "Comcast Holdings." We refer to Comcast Cable Communications, Inc., Comcast Cable Communications Holdings, Inc. (formerly known as AT&amp;T Broadband Corp.), Comcast Cable Holdings, LLC (formerly known as AT&amp;T Broadband, LLC, which was formerly known as Tele-Communications, Inc.) and Comcast MO Group, Inc. (formerly known as MediaOne Group, Inc.) collectively as the "Cable Guarantors."</w:t>
      </w:r>
    </w:p>
    <w:p>
      <w:pPr>
        <w:spacing w:after="0" w:line="200" w:lineRule="exact"/>
        <w:rPr>
          <w:sz w:val="20"/>
          <w:szCs w:val="20"/>
          <w:color w:val="auto"/>
        </w:rPr>
      </w:pPr>
    </w:p>
    <w:p>
      <w:pPr>
        <w:spacing w:after="0" w:line="30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i</w:t>
      </w:r>
    </w:p>
    <w:p>
      <w:pPr>
        <w:sectPr>
          <w:pgSz w:w="11900" w:h="16838" w:orient="portrait"/>
          <w:cols w:equalWidth="0" w:num="1">
            <w:col w:w="10239"/>
          </w:cols>
          <w:pgMar w:left="220" w:top="785" w:right="1440" w:bottom="1440" w:gutter="0" w:footer="0" w:header="0"/>
        </w:sectPr>
      </w:pPr>
    </w:p>
    <w:bookmarkStart w:id="5" w:name="page6"/>
    <w:bookmarkEnd w:id="5"/>
    <w:p>
      <w:pPr>
        <w:jc w:val="center"/>
        <w:ind w:right="3139"/>
        <w:spacing w:after="0"/>
        <w:rPr>
          <w:sz w:val="20"/>
          <w:szCs w:val="20"/>
          <w:color w:val="auto"/>
        </w:rPr>
      </w:pPr>
      <w:r>
        <w:rPr>
          <w:rFonts w:ascii="Courier New" w:cs="Courier New" w:eastAsia="Courier New" w:hAnsi="Courier New"/>
          <w:sz w:val="15"/>
          <w:szCs w:val="15"/>
          <w:color w:val="auto"/>
        </w:rPr>
        <w:t>SUMMARY</w:t>
      </w:r>
    </w:p>
    <w:p>
      <w:pPr>
        <w:spacing w:after="0" w:line="166"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THE COMPANIES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Corporation</w:t>
      </w:r>
    </w:p>
    <w:p>
      <w:pPr>
        <w:spacing w:after="0" w:line="173"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We were formed through the merger of Comcast Holdings Corporation (formerly known as Comcast Corporation) and the broadband business of AT&amp;T Corp. in the belief that combining the strengths of these businesses would create the world's premier broadband company.</w:t>
      </w:r>
    </w:p>
    <w:p>
      <w:pPr>
        <w:spacing w:after="0" w:line="175" w:lineRule="exact"/>
        <w:rPr>
          <w:sz w:val="20"/>
          <w:szCs w:val="20"/>
          <w:color w:val="auto"/>
        </w:rPr>
      </w:pPr>
    </w:p>
    <w:p>
      <w:pPr>
        <w:ind w:right="3679" w:firstLine="437"/>
        <w:spacing w:after="0" w:line="235" w:lineRule="auto"/>
        <w:rPr>
          <w:sz w:val="20"/>
          <w:szCs w:val="20"/>
          <w:color w:val="auto"/>
        </w:rPr>
      </w:pPr>
      <w:r>
        <w:rPr>
          <w:rFonts w:ascii="Courier New" w:cs="Courier New" w:eastAsia="Courier New" w:hAnsi="Courier New"/>
          <w:sz w:val="15"/>
          <w:szCs w:val="15"/>
          <w:color w:val="auto"/>
        </w:rPr>
        <w:t>We are principally involved in three lines of business through our wholly-owned subsidiaries Comcast Holdings and Comcast Cable Communications Holdings:</w:t>
      </w:r>
    </w:p>
    <w:p>
      <w:pPr>
        <w:spacing w:after="0" w:line="174" w:lineRule="exact"/>
        <w:rPr>
          <w:sz w:val="20"/>
          <w:szCs w:val="20"/>
          <w:color w:val="auto"/>
        </w:rPr>
      </w:pPr>
    </w:p>
    <w:p>
      <w:pPr>
        <w:ind w:left="800" w:right="3399" w:hanging="353"/>
        <w:spacing w:after="0" w:line="261" w:lineRule="auto"/>
        <w:tabs>
          <w:tab w:leader="none" w:pos="80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Cable--through the development, management and operation of broadband communications networks and regional sports programming networks,</w:t>
      </w:r>
    </w:p>
    <w:p>
      <w:pPr>
        <w:spacing w:after="0" w:line="153" w:lineRule="exact"/>
        <w:rPr>
          <w:rFonts w:ascii="Courier New" w:cs="Courier New" w:eastAsia="Courier New" w:hAnsi="Courier New"/>
          <w:sz w:val="14"/>
          <w:szCs w:val="14"/>
          <w:color w:val="auto"/>
        </w:rPr>
      </w:pPr>
    </w:p>
    <w:p>
      <w:pPr>
        <w:ind w:left="800" w:hanging="353"/>
        <w:spacing w:after="0"/>
        <w:tabs>
          <w:tab w:leader="none" w:pos="80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Commerce--through QVC, our electronic retailing subsidiary, and</w:t>
      </w:r>
    </w:p>
    <w:p>
      <w:pPr>
        <w:spacing w:after="0" w:line="172" w:lineRule="exact"/>
        <w:rPr>
          <w:rFonts w:ascii="Courier New" w:cs="Courier New" w:eastAsia="Courier New" w:hAnsi="Courier New"/>
          <w:sz w:val="15"/>
          <w:szCs w:val="15"/>
          <w:color w:val="auto"/>
        </w:rPr>
      </w:pPr>
    </w:p>
    <w:p>
      <w:pPr>
        <w:ind w:left="800" w:right="3399" w:hanging="353"/>
        <w:spacing w:after="0" w:line="235" w:lineRule="auto"/>
        <w:tabs>
          <w:tab w:leader="none" w:pos="80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Content--through our consolidated subsidiaries, Comcast-Spectacor, E! Entertainment Television, The Golf Channel, Outdoor Life Network and G4 Media, and through our other programming investments.</w:t>
      </w:r>
    </w:p>
    <w:p>
      <w:pPr>
        <w:spacing w:after="0" w:line="174"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The transactions which created Comcast were consummated on November 18, 2002 in several steps. First, AT&amp;T transferred to Comcast Cable Communications Holdings substantially all the assets, liabilities and businesses represented by AT&amp;T Broadband Group, which was the integrated broadband business of AT&amp;T. Second, AT&amp;T spun off Comcast Cable Communications Holdings to its shareholders. Third, Comcast Holdings and Comcast Cable Communications Holdings each merged with a different, wholly-owned subsidiary of ours, and Comcast Holdings and AT&amp;T shareholders received our shares.</w:t>
      </w:r>
    </w:p>
    <w:p>
      <w:pPr>
        <w:spacing w:after="0" w:line="166"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For a description of our business, financial condition, results of operations and other important information regarding us, see our and Comcast Holdings' filings with the SEC incorporated by reference in this prospectus. For a description of certain continuing obligations and risks related to the AT&amp;T Comcast transaction, see "Description of AT&amp;T Comcast Transaction," and "Risk Factors--Risks Relating to the AT&amp;T Comcast Transaction," as well as our and Comcast Holdings' filings with the SEC incorporated by reference in this prospectus. For instructions on how to find copies of these and our other filings incorporated by reference in this prospectus, see "Available Information."</w:t>
      </w:r>
    </w:p>
    <w:p>
      <w:pPr>
        <w:spacing w:after="0" w:line="179"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We are a Pennsylvania corporation incorporated in 2001. Our principal executive office is located at 1500 Market Street, Philadelphia, Pennsylvania 19102-2148. Our telephone number is (215) 665-1700. The address of our web site is www.comcast.com. The information on our web site is not part of this prospectus.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Cable Guarantors</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Our obligations, including the payment of principal, premium, if any, and interest, on the debt securities will be fully and unconditionally guaranteed by each of Comcast Cable, Comcast Cable Communications Holdings, Comcast Cable Holdings and Comcast MO Group. In this prospectus, we refer to these guarantors as the cable guarantors and to these guarantees as the cable guarantees. If indicated in the relevant prospectus supplement, our obligations under the other securities we are offering and selling may be fully and unconditionally guaranteed by specified cable guarantors.</w:t>
      </w:r>
    </w:p>
    <w:p>
      <w:pPr>
        <w:spacing w:after="0" w:line="177" w:lineRule="exact"/>
        <w:rPr>
          <w:sz w:val="20"/>
          <w:szCs w:val="20"/>
          <w:color w:val="auto"/>
        </w:rPr>
      </w:pPr>
    </w:p>
    <w:p>
      <w:pPr>
        <w:ind w:right="3499" w:firstLine="437"/>
        <w:spacing w:after="0" w:line="234" w:lineRule="auto"/>
        <w:rPr>
          <w:sz w:val="20"/>
          <w:szCs w:val="20"/>
          <w:color w:val="auto"/>
        </w:rPr>
      </w:pPr>
      <w:r>
        <w:rPr>
          <w:rFonts w:ascii="Courier New" w:cs="Courier New" w:eastAsia="Courier New" w:hAnsi="Courier New"/>
          <w:sz w:val="15"/>
          <w:szCs w:val="15"/>
          <w:color w:val="auto"/>
        </w:rPr>
        <w:t>The cable guarantees will not contain any restrictions on the ability of any cable guarantor to:</w:t>
      </w:r>
    </w:p>
    <w:p>
      <w:pPr>
        <w:spacing w:after="0" w:line="173" w:lineRule="exact"/>
        <w:rPr>
          <w:sz w:val="20"/>
          <w:szCs w:val="20"/>
          <w:color w:val="auto"/>
        </w:rPr>
      </w:pPr>
    </w:p>
    <w:p>
      <w:pPr>
        <w:ind w:left="800" w:right="3579" w:hanging="353"/>
        <w:spacing w:after="0" w:line="235" w:lineRule="auto"/>
        <w:tabs>
          <w:tab w:leader="none" w:pos="80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pay dividends or distributions on, or redeem, purchase, acquire, or make a liquidation payment with respect to, any of that cable guarantor's capital stock; or</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w:t>
      </w:r>
    </w:p>
    <w:p>
      <w:pPr>
        <w:sectPr>
          <w:pgSz w:w="11900" w:h="16838" w:orient="portrait"/>
          <w:cols w:equalWidth="0" w:num="1">
            <w:col w:w="10239"/>
          </w:cols>
          <w:pgMar w:left="220" w:top="785" w:right="1440" w:bottom="1440" w:gutter="0" w:footer="0" w:header="0"/>
        </w:sectPr>
      </w:pPr>
    </w:p>
    <w:bookmarkStart w:id="6" w:name="page7"/>
    <w:bookmarkEnd w:id="6"/>
    <w:p>
      <w:pPr>
        <w:ind w:left="800" w:right="3759" w:hanging="353"/>
        <w:spacing w:after="0" w:line="235" w:lineRule="auto"/>
        <w:tabs>
          <w:tab w:leader="none" w:pos="80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make any payment of principal, interest or premium, if any, on or repay, repurchase or redeem any debt securities of that cable guarantor.</w:t>
      </w:r>
    </w:p>
    <w:p>
      <w:pPr>
        <w:spacing w:after="0" w:line="167" w:lineRule="exact"/>
        <w:rPr>
          <w:sz w:val="20"/>
          <w:szCs w:val="20"/>
          <w:color w:val="auto"/>
        </w:rPr>
      </w:pPr>
    </w:p>
    <w:p>
      <w:pPr>
        <w:ind w:left="280"/>
        <w:spacing w:after="0"/>
        <w:rPr>
          <w:sz w:val="20"/>
          <w:szCs w:val="20"/>
          <w:color w:val="auto"/>
        </w:rPr>
      </w:pPr>
      <w:r>
        <w:rPr>
          <w:rFonts w:ascii="Courier New" w:cs="Courier New" w:eastAsia="Courier New" w:hAnsi="Courier New"/>
          <w:sz w:val="15"/>
          <w:szCs w:val="15"/>
          <w:color w:val="auto"/>
        </w:rPr>
        <w:t>Comcast Cable Communications, Inc.</w:t>
      </w:r>
    </w:p>
    <w:p>
      <w:pPr>
        <w:spacing w:after="0" w:line="173" w:lineRule="exact"/>
        <w:rPr>
          <w:sz w:val="20"/>
          <w:szCs w:val="20"/>
          <w:color w:val="auto"/>
        </w:rPr>
      </w:pPr>
    </w:p>
    <w:p>
      <w:pPr>
        <w:ind w:right="3399" w:firstLine="437"/>
        <w:spacing w:after="0" w:line="236" w:lineRule="auto"/>
        <w:rPr>
          <w:sz w:val="20"/>
          <w:szCs w:val="20"/>
          <w:color w:val="auto"/>
        </w:rPr>
      </w:pPr>
      <w:r>
        <w:rPr>
          <w:rFonts w:ascii="Courier New" w:cs="Courier New" w:eastAsia="Courier New" w:hAnsi="Courier New"/>
          <w:sz w:val="15"/>
          <w:szCs w:val="15"/>
          <w:color w:val="auto"/>
        </w:rPr>
        <w:t>Comcast Cable is a Delaware corporation incorporated in 1981 and our indirect wholly-owned subsidiary. Comcast Cable currently serves approximately 8.5 million subscribers and has deployed digital cable applications and high-speed Internet access service to the vast majority of its cable communications systems to expand the products available on its broadband communications networks.</w:t>
      </w:r>
    </w:p>
    <w:p>
      <w:pPr>
        <w:spacing w:after="0" w:line="168" w:lineRule="exact"/>
        <w:rPr>
          <w:sz w:val="20"/>
          <w:szCs w:val="20"/>
          <w:color w:val="auto"/>
        </w:rPr>
      </w:pPr>
    </w:p>
    <w:p>
      <w:pPr>
        <w:ind w:left="280"/>
        <w:spacing w:after="0"/>
        <w:rPr>
          <w:sz w:val="20"/>
          <w:szCs w:val="20"/>
          <w:color w:val="auto"/>
        </w:rPr>
      </w:pPr>
      <w:r>
        <w:rPr>
          <w:rFonts w:ascii="Courier New" w:cs="Courier New" w:eastAsia="Courier New" w:hAnsi="Courier New"/>
          <w:sz w:val="15"/>
          <w:szCs w:val="15"/>
          <w:color w:val="auto"/>
        </w:rPr>
        <w:t>Comcast Cable Communications Holdings, Inc.</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Comcast Cable Communications Holdings is a Delaware corporation (formerly known as AT&amp;T Broadband Corp.) incorporated in 2001 and our wholly-owned subsidiary. As part of the AT&amp;T Comcast transaction, AT&amp;T transferred to Comcast Cable Communications Holdings substantially all of the assets, liabilities and businesses represented by AT&amp;T Broadband Group, the integrated broadband business of AT&amp;T.</w:t>
      </w:r>
    </w:p>
    <w:p>
      <w:pPr>
        <w:spacing w:after="0" w:line="168" w:lineRule="exact"/>
        <w:rPr>
          <w:sz w:val="20"/>
          <w:szCs w:val="20"/>
          <w:color w:val="auto"/>
        </w:rPr>
      </w:pPr>
    </w:p>
    <w:p>
      <w:pPr>
        <w:ind w:left="280"/>
        <w:spacing w:after="0"/>
        <w:rPr>
          <w:sz w:val="20"/>
          <w:szCs w:val="20"/>
          <w:color w:val="auto"/>
        </w:rPr>
      </w:pPr>
      <w:r>
        <w:rPr>
          <w:rFonts w:ascii="Courier New" w:cs="Courier New" w:eastAsia="Courier New" w:hAnsi="Courier New"/>
          <w:sz w:val="15"/>
          <w:szCs w:val="15"/>
          <w:color w:val="auto"/>
        </w:rPr>
        <w:t>Comcast Cable Holdings, LLC</w:t>
      </w:r>
    </w:p>
    <w:p>
      <w:pPr>
        <w:spacing w:after="0" w:line="173" w:lineRule="exact"/>
        <w:rPr>
          <w:sz w:val="20"/>
          <w:szCs w:val="20"/>
          <w:color w:val="auto"/>
        </w:rPr>
      </w:pPr>
    </w:p>
    <w:p>
      <w:pPr>
        <w:ind w:right="3499" w:firstLine="437"/>
        <w:spacing w:after="0" w:line="258" w:lineRule="auto"/>
        <w:rPr>
          <w:sz w:val="20"/>
          <w:szCs w:val="20"/>
          <w:color w:val="auto"/>
        </w:rPr>
      </w:pPr>
      <w:r>
        <w:rPr>
          <w:rFonts w:ascii="Courier New" w:cs="Courier New" w:eastAsia="Courier New" w:hAnsi="Courier New"/>
          <w:sz w:val="14"/>
          <w:szCs w:val="14"/>
          <w:color w:val="auto"/>
        </w:rPr>
        <w:t>Comcast Cable Holdings is a Delaware limited liability company (formerly known as AT&amp;T Broadband, LLC) formed in 1994. Comcast Cable Holdings is a wholly-owned subsidiary of Comcast Cable Communications Holdings.</w:t>
      </w:r>
    </w:p>
    <w:p>
      <w:pPr>
        <w:spacing w:after="0" w:line="155" w:lineRule="exact"/>
        <w:rPr>
          <w:sz w:val="20"/>
          <w:szCs w:val="20"/>
          <w:color w:val="auto"/>
        </w:rPr>
      </w:pPr>
    </w:p>
    <w:p>
      <w:pPr>
        <w:ind w:left="280"/>
        <w:spacing w:after="0"/>
        <w:rPr>
          <w:sz w:val="20"/>
          <w:szCs w:val="20"/>
          <w:color w:val="auto"/>
        </w:rPr>
      </w:pPr>
      <w:r>
        <w:rPr>
          <w:rFonts w:ascii="Courier New" w:cs="Courier New" w:eastAsia="Courier New" w:hAnsi="Courier New"/>
          <w:sz w:val="15"/>
          <w:szCs w:val="15"/>
          <w:color w:val="auto"/>
        </w:rPr>
        <w:t>Comcast MO Group, Inc.</w:t>
      </w:r>
    </w:p>
    <w:p>
      <w:pPr>
        <w:spacing w:after="0" w:line="173"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Comcast MO Group is a Delaware corporation (formerly known as MediaOne Group, Inc.) incorporated in 1999. Comcast MO Group is a wholly-owned subsidiary of Comcast Cable Communications Holdings.</w:t>
      </w:r>
    </w:p>
    <w:p>
      <w:pPr>
        <w:spacing w:after="0" w:line="174" w:lineRule="exact"/>
        <w:rPr>
          <w:sz w:val="20"/>
          <w:szCs w:val="20"/>
          <w:color w:val="auto"/>
        </w:rPr>
      </w:pPr>
    </w:p>
    <w:p>
      <w:pPr>
        <w:ind w:right="3399" w:firstLine="437"/>
        <w:spacing w:after="0" w:line="234" w:lineRule="auto"/>
        <w:rPr>
          <w:sz w:val="20"/>
          <w:szCs w:val="20"/>
          <w:color w:val="auto"/>
        </w:rPr>
      </w:pPr>
      <w:r>
        <w:rPr>
          <w:rFonts w:ascii="Courier New" w:cs="Courier New" w:eastAsia="Courier New" w:hAnsi="Courier New"/>
          <w:sz w:val="15"/>
          <w:szCs w:val="15"/>
          <w:color w:val="auto"/>
        </w:rPr>
        <w:t>Each cable guarantor's principal place of business is 1500 Market Street, Philadelphia, Pennsylvania 19102-2148.</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39"/>
          </w:cols>
          <w:pgMar w:left="220" w:top="624" w:right="1440" w:bottom="1440" w:gutter="0" w:footer="0" w:header="0"/>
        </w:sectPr>
      </w:pPr>
    </w:p>
    <w:bookmarkStart w:id="7" w:name="page8"/>
    <w:bookmarkEnd w:id="7"/>
    <w:p>
      <w:pPr>
        <w:ind w:left="2980"/>
        <w:spacing w:after="0"/>
        <w:rPr>
          <w:sz w:val="20"/>
          <w:szCs w:val="20"/>
          <w:color w:val="auto"/>
        </w:rPr>
      </w:pPr>
      <w:r>
        <w:rPr>
          <w:rFonts w:ascii="Courier New" w:cs="Courier New" w:eastAsia="Courier New" w:hAnsi="Courier New"/>
          <w:sz w:val="15"/>
          <w:szCs w:val="15"/>
          <w:color w:val="auto"/>
        </w:rPr>
        <w:t>RISK FACTORS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Risks Relating to the AT&amp;T Comcast Transaction</w:t>
      </w:r>
    </w:p>
    <w:p>
      <w:pPr>
        <w:spacing w:after="0" w:line="173" w:lineRule="exact"/>
        <w:rPr>
          <w:sz w:val="20"/>
          <w:szCs w:val="20"/>
          <w:color w:val="auto"/>
        </w:rPr>
      </w:pPr>
    </w:p>
    <w:p>
      <w:pPr>
        <w:ind w:right="4099" w:firstLine="262"/>
        <w:spacing w:after="0" w:line="234" w:lineRule="auto"/>
        <w:rPr>
          <w:sz w:val="20"/>
          <w:szCs w:val="20"/>
          <w:color w:val="auto"/>
        </w:rPr>
      </w:pPr>
      <w:r>
        <w:rPr>
          <w:rFonts w:ascii="Courier New" w:cs="Courier New" w:eastAsia="Courier New" w:hAnsi="Courier New"/>
          <w:sz w:val="15"/>
          <w:szCs w:val="15"/>
          <w:color w:val="auto"/>
        </w:rPr>
        <w:t>We may fail to realize the anticipated benefits of the AT&amp;T Comcast transaction.</w:t>
      </w:r>
    </w:p>
    <w:p>
      <w:pPr>
        <w:spacing w:after="0" w:line="173"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The AT&amp;T Comcast transaction combined two companies that have previously operated separately. We expect to realize cost savings and other financial and operating benefits as a result of the AT&amp;T Comcast transaction. However, we cannot predict with certainty when these cost savings and benefits will occur, or the extent to which they actually will be achieved. There are a large number of systems that must be integrated, including management information, purchasing, accounting and finance, sales, billing, payroll and benefits, and regulatory compliance. The integration of Comcast Cable and Comcast Cable Communications Holdings will also require substantial attention from management. The diversion of management attention and any difficulties associated with integrating Comcast Cable and Comcast Cable Communications Holdings could have a material adverse effect on our operating results.</w:t>
      </w:r>
    </w:p>
    <w:p>
      <w:pPr>
        <w:spacing w:after="0" w:line="173" w:lineRule="exact"/>
        <w:rPr>
          <w:sz w:val="20"/>
          <w:szCs w:val="20"/>
          <w:color w:val="auto"/>
        </w:rPr>
      </w:pPr>
    </w:p>
    <w:p>
      <w:pPr>
        <w:ind w:right="3499" w:firstLine="262"/>
        <w:spacing w:after="0" w:line="234" w:lineRule="auto"/>
        <w:rPr>
          <w:sz w:val="20"/>
          <w:szCs w:val="20"/>
          <w:color w:val="auto"/>
        </w:rPr>
      </w:pPr>
      <w:r>
        <w:rPr>
          <w:rFonts w:ascii="Courier New" w:cs="Courier New" w:eastAsia="Courier New" w:hAnsi="Courier New"/>
          <w:sz w:val="15"/>
          <w:szCs w:val="15"/>
          <w:color w:val="auto"/>
        </w:rPr>
        <w:t>We will have to abide by restrictions to preserve the tax treatment of the AT&amp;T Comcast transaction.</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Because of the limitations imposed by Section 355(e) of the Internal</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Revenue Code of 1986, as amended, referred to as the "Code" in this prospectus,</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and by contractual agreements with AT&amp;T, our ability and the ability of Comcast</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Cable Communications Holdings to engage in specified acquisitions, redeem stock</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or issue equity securities will be limited until December 18, 2004. See</w:t>
      </w:r>
    </w:p>
    <w:p>
      <w:pPr>
        <w:spacing w:after="0" w:line="237" w:lineRule="auto"/>
        <w:rPr>
          <w:sz w:val="20"/>
          <w:szCs w:val="20"/>
          <w:color w:val="auto"/>
        </w:rPr>
      </w:pPr>
      <w:r>
        <w:rPr>
          <w:rFonts w:ascii="Courier New" w:cs="Courier New" w:eastAsia="Courier New" w:hAnsi="Courier New"/>
          <w:sz w:val="15"/>
          <w:szCs w:val="15"/>
          <w:color w:val="auto"/>
        </w:rPr>
        <w:t>"Description of AT&amp;T Comcast Transaction--Separation and Distribution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Agreement--Post-Spin-Off Transactions." These restrictions may limit our ability</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issue equity securities to satisfy our financing needs or to acquire</w:t>
      </w:r>
    </w:p>
    <w:p>
      <w:pPr>
        <w:spacing w:after="0" w:line="237" w:lineRule="auto"/>
        <w:rPr>
          <w:sz w:val="20"/>
          <w:szCs w:val="20"/>
          <w:color w:val="auto"/>
        </w:rPr>
      </w:pPr>
      <w:r>
        <w:rPr>
          <w:rFonts w:ascii="Courier New" w:cs="Courier New" w:eastAsia="Courier New" w:hAnsi="Courier New"/>
          <w:sz w:val="15"/>
          <w:szCs w:val="15"/>
          <w:color w:val="auto"/>
        </w:rPr>
        <w:t>businesses or assets.</w:t>
      </w:r>
    </w:p>
    <w:p>
      <w:pPr>
        <w:spacing w:after="0" w:line="173" w:lineRule="exact"/>
        <w:rPr>
          <w:sz w:val="20"/>
          <w:szCs w:val="20"/>
          <w:color w:val="auto"/>
        </w:rPr>
      </w:pPr>
    </w:p>
    <w:p>
      <w:pPr>
        <w:ind w:right="3399" w:firstLine="262"/>
        <w:spacing w:after="0" w:line="234" w:lineRule="auto"/>
        <w:rPr>
          <w:sz w:val="20"/>
          <w:szCs w:val="20"/>
          <w:color w:val="auto"/>
        </w:rPr>
      </w:pPr>
      <w:r>
        <w:rPr>
          <w:rFonts w:ascii="Courier New" w:cs="Courier New" w:eastAsia="Courier New" w:hAnsi="Courier New"/>
          <w:sz w:val="15"/>
          <w:szCs w:val="15"/>
          <w:color w:val="auto"/>
        </w:rPr>
        <w:t>We and our subsidiaries have significant debt and debt-like obligations and may not maintain investment-grade credit ratings.</w:t>
      </w:r>
    </w:p>
    <w:p>
      <w:pPr>
        <w:spacing w:after="0" w:line="173"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We and our subsidiaries have a significant amount of debt and debt-like obligations. Our credit rating and the credit ratings of our subsidiaries may in the future be lower than the current or historical credit ratings of Comcast Holdings, Comcast Cable Communications Holdings and their respective subsidiaries. In addition, it is possible that we or any of our subsidiaries that issue debt may not obtain or maintain an investment-grade credit rating. Differences in credit ratings would affect the interest rates charged on financings, as well as the amounts of indebtedness, types of financing structures and debt markets that may be available to us and our subsidiaries. The closing of the AT&amp;T Comcast transaction triggered put rights on the part of holders of approximately $1.0 billion of debt issued by Comcast Cable Holdings. In addition, the failure of certain of our subsidiaries to maintain certain credit ratings until at least February 16, 2003 could trigger put rights on the part of holders of up to approximately $3.8 billion of debt as of the date of this prospectus, which would require us to obtain additional financing. Accordingly, a downgrade in our or any of our subsidiaries' existing credit ratings or failure by us and our subsidiaries to maintain investment-grade credit ratings could have a material adverse effect on our operating results and on the value of our common stock.</w:t>
      </w:r>
    </w:p>
    <w:p>
      <w:pPr>
        <w:spacing w:after="0" w:line="176" w:lineRule="exact"/>
        <w:rPr>
          <w:sz w:val="20"/>
          <w:szCs w:val="20"/>
          <w:color w:val="auto"/>
        </w:rPr>
      </w:pPr>
    </w:p>
    <w:p>
      <w:pPr>
        <w:ind w:right="4099" w:firstLine="262"/>
        <w:spacing w:after="0" w:line="234" w:lineRule="auto"/>
        <w:rPr>
          <w:sz w:val="20"/>
          <w:szCs w:val="20"/>
          <w:color w:val="auto"/>
        </w:rPr>
      </w:pPr>
      <w:r>
        <w:rPr>
          <w:rFonts w:ascii="Courier New" w:cs="Courier New" w:eastAsia="Courier New" w:hAnsi="Courier New"/>
          <w:sz w:val="15"/>
          <w:szCs w:val="15"/>
          <w:color w:val="auto"/>
        </w:rPr>
        <w:t>Atypical governance arrangements may make it more difficult for our shareholders to act.</w:t>
      </w:r>
    </w:p>
    <w:p>
      <w:pPr>
        <w:spacing w:after="0" w:line="173"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In connection with the AT&amp;T Comcast transaction, we implemented a number of governance arrangements that are atypical for a large, publicly held corporation. A number of these arrangements relate to the election of our Board. The term of our Board will not expire until our 2004 annual meeting of shareholders. Since our shareholders will not have the right to call special meetings of shareholders or act by written consent and our directors may be removed only for cause, our shareholders will not be able to replace our initial Board members prior to that meeting. After our 2004 annual meeting of shareholders, our directors will be elected annually. Even then, however, it will be difficult for one of our shareholders, other than BRCC Holdings LLC, to elect a slate of directors of its own choosing to our Board. Brian L. Roberts, our President and Chief Executive Officer, through his control of BRCC Holdings LLC, holds a 33 1/3% nondilutable voting interest in our stock. In addition, we adopted a shareholder rights plan upon completion of the AT&amp;T Comcast transaction that prevents any holder of our stock, other than any</w:t>
      </w:r>
    </w:p>
    <w:p>
      <w:pPr>
        <w:spacing w:after="0" w:line="33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39"/>
          </w:cols>
          <w:pgMar w:left="220" w:top="953" w:right="1440" w:bottom="1440" w:gutter="0" w:footer="0" w:header="0"/>
        </w:sectPr>
      </w:pPr>
    </w:p>
    <w:bookmarkStart w:id="8" w:name="page9"/>
    <w:bookmarkEnd w:id="8"/>
    <w:p>
      <w:pPr>
        <w:ind w:right="3319"/>
        <w:spacing w:after="0" w:line="235" w:lineRule="auto"/>
        <w:rPr>
          <w:sz w:val="20"/>
          <w:szCs w:val="20"/>
          <w:color w:val="auto"/>
        </w:rPr>
      </w:pPr>
      <w:r>
        <w:rPr>
          <w:rFonts w:ascii="Courier New" w:cs="Courier New" w:eastAsia="Courier New" w:hAnsi="Courier New"/>
          <w:sz w:val="15"/>
          <w:szCs w:val="15"/>
          <w:color w:val="auto"/>
        </w:rPr>
        <w:t>holder of our Class B common stock or any of such holder's affiliates, from acquiring our stock representing more than 10% of the voting power with respect to us without the approval of our Board.</w:t>
      </w:r>
    </w:p>
    <w:p>
      <w:pPr>
        <w:spacing w:after="0" w:line="174" w:lineRule="exact"/>
        <w:rPr>
          <w:sz w:val="20"/>
          <w:szCs w:val="20"/>
          <w:color w:val="auto"/>
        </w:rPr>
      </w:pPr>
    </w:p>
    <w:p>
      <w:pPr>
        <w:ind w:right="3319" w:firstLine="437"/>
        <w:spacing w:after="0" w:line="237" w:lineRule="auto"/>
        <w:rPr>
          <w:sz w:val="20"/>
          <w:szCs w:val="20"/>
          <w:color w:val="auto"/>
        </w:rPr>
      </w:pPr>
      <w:r>
        <w:rPr>
          <w:rFonts w:ascii="Courier New" w:cs="Courier New" w:eastAsia="Courier New" w:hAnsi="Courier New"/>
          <w:sz w:val="15"/>
          <w:szCs w:val="15"/>
          <w:color w:val="auto"/>
        </w:rPr>
        <w:t>In addition to the governance arrangements relating to our Board, a number of governance arrangements will make it difficult to replace our senior management. Upon completion of the AT&amp;T Comcast transaction, C. Michael Armstrong, Chairman of the Board and CEO of AT&amp;T, became our Chairman of the Board and Brian L. Roberts, President of Comcast Holdings, became our CEO and President. After the 2005 annual meeting of our shareholders, Brian L. Roberts will also be our Chairman of the Board. Prior to the sixth anniversary of our 2004 annual meeting of shareholders, unless Brian L. Roberts ceases to be our Chairman of the Board or CEO prior to such time, our Chairman of the Board and CEO will be able to be removed only with the approval of at least 75% of our entire Board. This supermajority removal requirement makes it unlikely that C. Michael Armstrong or Brian L. Roberts will be removed from their management positions.</w:t>
      </w:r>
    </w:p>
    <w:p>
      <w:pPr>
        <w:spacing w:after="0" w:line="167" w:lineRule="exact"/>
        <w:rPr>
          <w:sz w:val="20"/>
          <w:szCs w:val="20"/>
          <w:color w:val="auto"/>
        </w:rPr>
      </w:pPr>
    </w:p>
    <w:p>
      <w:pPr>
        <w:ind w:left="280"/>
        <w:spacing w:after="0"/>
        <w:rPr>
          <w:sz w:val="20"/>
          <w:szCs w:val="20"/>
          <w:color w:val="auto"/>
        </w:rPr>
      </w:pPr>
      <w:r>
        <w:rPr>
          <w:rFonts w:ascii="Courier New" w:cs="Courier New" w:eastAsia="Courier New" w:hAnsi="Courier New"/>
          <w:sz w:val="15"/>
          <w:szCs w:val="15"/>
          <w:color w:val="auto"/>
        </w:rPr>
        <w:t>Our principal shareholder has considerable influence over our operations.</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Brian L. Roberts has significant control over our operations through his control of BRCC Holdings LLC, which as a result of its ownership of outstanding shares of our Class B common stock holds a nondilutable 33 1/3% of the combined voting power of our stock and also has separate approval rights over certain material transactions involving us. In addition, Brian L. Roberts is our CEO and President and will, together with our Chairman of the Board, comprise the Office of the Chairman, our principal executive deliberative body.</w:t>
      </w:r>
    </w:p>
    <w:p>
      <w:pPr>
        <w:spacing w:after="0" w:line="166" w:lineRule="exact"/>
        <w:rPr>
          <w:sz w:val="20"/>
          <w:szCs w:val="20"/>
          <w:color w:val="auto"/>
        </w:rPr>
      </w:pPr>
    </w:p>
    <w:p>
      <w:pPr>
        <w:ind w:right="3319" w:firstLine="262"/>
        <w:spacing w:after="0" w:line="235" w:lineRule="auto"/>
        <w:rPr>
          <w:sz w:val="20"/>
          <w:szCs w:val="20"/>
          <w:color w:val="auto"/>
        </w:rPr>
      </w:pPr>
      <w:r>
        <w:rPr>
          <w:rFonts w:ascii="Courier New" w:cs="Courier New" w:eastAsia="Courier New" w:hAnsi="Courier New"/>
          <w:sz w:val="15"/>
          <w:szCs w:val="15"/>
          <w:color w:val="auto"/>
        </w:rPr>
        <w:t>The performance of AT&amp;T Broadband Group prior to the AT&amp;T Broadband spin-off may not be representative of the results of Comcast Cable Communications Holdings without the other AT&amp;T businesses and therefore is not a reliable indicator of its future results.</w:t>
      </w:r>
    </w:p>
    <w:p>
      <w:pPr>
        <w:spacing w:after="0" w:line="175"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AT&amp;T Broadband Group was a fully integrated business unit of AT&amp;T, and as a result the financial information of AT&amp;T Broadband Group incorporated by reference in this prospectus was derived from the consolidated financial statements and accounting records of AT&amp;T and reflects certain assumptions and allocations. The financial position, results of operations and cash flows of Comcast Cable Communications Holdings without the other AT&amp;T businesses could differ from those that would have resulted had its business operated with the other AT&amp;T businesses.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Risks Relating to Our Business</w:t>
      </w:r>
    </w:p>
    <w:p>
      <w:pPr>
        <w:spacing w:after="0" w:line="173" w:lineRule="exact"/>
        <w:rPr>
          <w:sz w:val="20"/>
          <w:szCs w:val="20"/>
          <w:color w:val="auto"/>
        </w:rPr>
      </w:pPr>
    </w:p>
    <w:p>
      <w:pPr>
        <w:ind w:right="3239" w:firstLine="262"/>
        <w:spacing w:after="0" w:line="235" w:lineRule="auto"/>
        <w:rPr>
          <w:sz w:val="20"/>
          <w:szCs w:val="20"/>
          <w:color w:val="auto"/>
        </w:rPr>
      </w:pPr>
      <w:r>
        <w:rPr>
          <w:rFonts w:ascii="Courier New" w:cs="Courier New" w:eastAsia="Courier New" w:hAnsi="Courier New"/>
          <w:sz w:val="15"/>
          <w:szCs w:val="15"/>
          <w:color w:val="auto"/>
        </w:rPr>
        <w:t>Our actual financial position and results of operations may differ significantly and adversely from the pro forma amounts incorporated by reference in this prospectus.</w:t>
      </w:r>
    </w:p>
    <w:p>
      <w:pPr>
        <w:spacing w:after="0" w:line="174"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Our actual financial position and results of operations may differ, perhaps significantly and adversely, from the pro forma information incorporated by reference in this prospectus due to a variety of factors, including access to additional information, changes in value not currently identified and changes in operating results between the date of the pro forma financial data and the date on which the AT&amp;T Comcast transaction was completed.</w:t>
      </w:r>
    </w:p>
    <w:p>
      <w:pPr>
        <w:spacing w:after="0" w:line="166"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In addition, in many cases each of Comcast Holdings and AT&amp;T Broadband Group had long-term agreements, in some cases with the same counterparties, for the same services and products, such as programming, billing services and interactive programming guides. Comcast Holdings and AT&amp;T Broadband Group could not disclose the terms of many of these contracts to each other because of confidentiality provisions included in these contracts or other legal restrictions. For this and other reasons, it is not clear, in the case of certain services and products, whether after completion of the AT&amp;T Comcast transaction each of the existing agreements continues to apply only to the operations to which they have historically applied or whether instead one of the two contracts will apply to the operations of both companies and the other contract will be terminated. Since these contracts often differ significantly in their terms, resolution of these contractual issues could cause our actual financial position and results of operations to differ significantly and adversely from those reflected in the pro forma financial information incorporated by reference in this prospectus.</w:t>
      </w:r>
    </w:p>
    <w:p>
      <w:pPr>
        <w:spacing w:after="0" w:line="33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39"/>
          </w:cols>
          <w:pgMar w:left="220" w:top="960" w:right="1440" w:bottom="1440" w:gutter="0" w:footer="0" w:header="0"/>
        </w:sectPr>
      </w:pPr>
    </w:p>
    <w:bookmarkStart w:id="9" w:name="page10"/>
    <w:bookmarkEnd w:id="9"/>
    <w:p>
      <w:pPr>
        <w:ind w:right="3239" w:firstLine="262"/>
        <w:spacing w:after="0" w:line="235" w:lineRule="auto"/>
        <w:rPr>
          <w:sz w:val="20"/>
          <w:szCs w:val="20"/>
          <w:color w:val="auto"/>
        </w:rPr>
      </w:pPr>
      <w:r>
        <w:rPr>
          <w:rFonts w:ascii="Courier New" w:cs="Courier New" w:eastAsia="Courier New" w:hAnsi="Courier New"/>
          <w:sz w:val="15"/>
          <w:szCs w:val="15"/>
          <w:color w:val="auto"/>
        </w:rPr>
        <w:t>Programming costs are increasing and we may not have the ability to pass these increases on to our customers, which would materially adversely affect our cash flow and operating margins.</w:t>
      </w:r>
    </w:p>
    <w:p>
      <w:pPr>
        <w:spacing w:after="0" w:line="174"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Programming costs are expected to be our largest single expense item in the foreseeable future. In recent years, the cable and satellite video industries have experienced a rapid increase in the cost of programming, particularly sports programming. This increase is expected to continue, and we may not be able to pass programming cost increases on to our customers. The inability to pass these programming cost increases on to our customers would have a material adverse impact on our cash flow and operating margins. In addition, as we upgrade the channel capacity of our systems and add programming to our basic, expanded basic and digital programming tiers, we may face increased programming costs, which, in conjunction with the additional market constraints on our ability to pass programming costs on to our customers, may reduce operating margins.</w:t>
      </w:r>
    </w:p>
    <w:p>
      <w:pPr>
        <w:spacing w:after="0" w:line="173"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We also expect to be subject to increasing financial and other demands by broadcasters to obtain the required consent for the transmission of broadcast programming to our subscribers. We cannot predict the financial impact of these negotiations or the effect on our subscribers should we be required to stop offering this programming.</w:t>
      </w:r>
    </w:p>
    <w:p>
      <w:pPr>
        <w:spacing w:after="0" w:line="174" w:lineRule="exact"/>
        <w:rPr>
          <w:sz w:val="20"/>
          <w:szCs w:val="20"/>
          <w:color w:val="auto"/>
        </w:rPr>
      </w:pPr>
    </w:p>
    <w:p>
      <w:pPr>
        <w:ind w:right="3579" w:firstLine="262"/>
        <w:spacing w:after="0" w:line="234" w:lineRule="auto"/>
        <w:rPr>
          <w:sz w:val="20"/>
          <w:szCs w:val="20"/>
          <w:color w:val="auto"/>
        </w:rPr>
      </w:pPr>
      <w:r>
        <w:rPr>
          <w:rFonts w:ascii="Courier New" w:cs="Courier New" w:eastAsia="Courier New" w:hAnsi="Courier New"/>
          <w:sz w:val="15"/>
          <w:szCs w:val="15"/>
          <w:color w:val="auto"/>
        </w:rPr>
        <w:t>We face a wide range of competition in areas served by our cable systems, which could adversely affect our future results of operations.</w:t>
      </w:r>
    </w:p>
    <w:p>
      <w:pPr>
        <w:spacing w:after="0" w:line="173"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Our cable communications systems compete with a number of different sources which provide news, information and entertainment programming to consumers. We compete directly with program distributors and other companies that use satellites, build competing cable systems in the same communities we serve or otherwise provide programming and other communications services to our subscribers and potential subscribers. In addition, federal law now allows local telephone companies to provide directly to subscribers a wide variety of services that are competitive with cable communications services. Some local telephone companies provide, or have announced plans to provide, video services within and outside their telephone service areas through a variety of methods, including broadband cable networks. Additionally, we will be subject to competition from telecommunications providers and Internet service providers, known as ISPs, in connection with offerings of new and advanced services, including telecommunications and Internet services. This competition may materially adversely affect our business and operations in the future. In addition, any increase in vacancy rates in multi-dwelling units has historically adversely impacted subscriber levels and is expected to do so in the future. Subscriber levels also have historically demonstrated seasonal fluctuations, particularly in markets that include major universities. The failure of seasonal fourth quarter increases to offset decreases would adversely affect subscriber levels.</w:t>
      </w:r>
    </w:p>
    <w:p>
      <w:pPr>
        <w:spacing w:after="0" w:line="177" w:lineRule="exact"/>
        <w:rPr>
          <w:sz w:val="20"/>
          <w:szCs w:val="20"/>
          <w:color w:val="auto"/>
        </w:rPr>
      </w:pPr>
    </w:p>
    <w:p>
      <w:pPr>
        <w:ind w:right="3759" w:firstLine="262"/>
        <w:spacing w:after="0" w:line="234" w:lineRule="auto"/>
        <w:rPr>
          <w:sz w:val="20"/>
          <w:szCs w:val="20"/>
          <w:color w:val="auto"/>
        </w:rPr>
      </w:pPr>
      <w:r>
        <w:rPr>
          <w:rFonts w:ascii="Courier New" w:cs="Courier New" w:eastAsia="Courier New" w:hAnsi="Courier New"/>
          <w:sz w:val="15"/>
          <w:szCs w:val="15"/>
          <w:color w:val="auto"/>
        </w:rPr>
        <w:t>We have substantial capital requirements which may require us to obtain additional financing that may be difficult to obtain.</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We expect that for some period of time our capital expenditures will exceed, perhaps significantly, our net cash provided by operating activities. This may require us to obtain additional financing. We may not be able to obtain or to obtain on favorable terms the capital necessary to fund the substantial capital expenditures described below that are required by our strategy and business plan. A failure to obtain necessary capital or to obtain necessary capital on favorable terms could have a material adverse effect on us and result in the delay, change or abandonment of our development or expansion plans.</w:t>
      </w:r>
    </w:p>
    <w:p>
      <w:pPr>
        <w:spacing w:after="0" w:line="166"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Historically, AT&amp;T Broadband Group's capital expenditures significantly exceeded its net cash provided by operations. For the year ended December 31, 2001 and the nine months ended September 30, 2002, AT&amp;T Broadband Group's capital expenditures exceeded its net cash provided by operations by $3.5 billion and $1.5 billion, respectively. In addition, for the year ended December 31, 2001, Comcast Holdings' capital expenditures exceeded its net cash provided by operating activities by $952 million.</w:t>
      </w:r>
    </w:p>
    <w:p>
      <w:pPr>
        <w:spacing w:after="0" w:line="176"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We anticipate that we will upgrade a significant portion of our broadband systems over the coming years and make other capital investments, including with respect to our advanced services. In 2003, we anticipate that the combined Comcast Cable Communications Holdings and Comcast Cable cable systems will incur capital expenditures of approximately $4.2 billion to $4.5 billion. We are expected to incur substantial capital expenditures</w:t>
      </w:r>
    </w:p>
    <w:p>
      <w:pPr>
        <w:spacing w:after="0" w:line="33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39"/>
          </w:cols>
          <w:pgMar w:left="220" w:top="792" w:right="1440" w:bottom="1440" w:gutter="0" w:footer="0" w:header="0"/>
        </w:sectPr>
      </w:pPr>
    </w:p>
    <w:bookmarkStart w:id="10" w:name="page11"/>
    <w:bookmarkEnd w:id="10"/>
    <w:p>
      <w:pPr>
        <w:ind w:right="3319"/>
        <w:spacing w:after="0" w:line="255" w:lineRule="auto"/>
        <w:rPr>
          <w:sz w:val="20"/>
          <w:szCs w:val="20"/>
          <w:color w:val="auto"/>
        </w:rPr>
      </w:pPr>
      <w:r>
        <w:rPr>
          <w:rFonts w:ascii="Courier New" w:cs="Courier New" w:eastAsia="Courier New" w:hAnsi="Courier New"/>
          <w:sz w:val="14"/>
          <w:szCs w:val="14"/>
          <w:color w:val="auto"/>
        </w:rPr>
        <w:t>in the years subsequent to 2003. However, the actual amount of the funds required for capital expenditures cannot be determined with precision at this time. Capital is expected to be used to upgrade and rebuild network systems to expand bandwidth capacity and add two-way capability so that it may offer advanced services. In addition, capital expenditures are expected to be used to acquire equipment, such as set-top boxes, cable modems and telephone equipment, and to pay for installation costs for additional video and advanced services customers. There can be no assurance that these amounts will be sufficient to accomplish the planned system upgrades, equipment acquisitions and expansion.</w:t>
      </w:r>
    </w:p>
    <w:p>
      <w:pPr>
        <w:spacing w:after="0" w:line="165"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Comcast Cable Communications Holdings also have commitments under certain of their franchise agreements with local franchising authorities to upgrade and rebuild certain network systems. These commitments may require capital expenditures in order to avoid default and/or penalties.</w:t>
      </w:r>
    </w:p>
    <w:p>
      <w:pPr>
        <w:spacing w:after="0" w:line="175" w:lineRule="exact"/>
        <w:rPr>
          <w:sz w:val="20"/>
          <w:szCs w:val="20"/>
          <w:color w:val="auto"/>
        </w:rPr>
      </w:pPr>
    </w:p>
    <w:p>
      <w:pPr>
        <w:ind w:right="3239" w:firstLine="262"/>
        <w:spacing w:after="0" w:line="235" w:lineRule="auto"/>
        <w:rPr>
          <w:sz w:val="20"/>
          <w:szCs w:val="20"/>
          <w:color w:val="auto"/>
        </w:rPr>
      </w:pPr>
      <w:r>
        <w:rPr>
          <w:rFonts w:ascii="Courier New" w:cs="Courier New" w:eastAsia="Courier New" w:hAnsi="Courier New"/>
          <w:sz w:val="15"/>
          <w:szCs w:val="15"/>
          <w:color w:val="auto"/>
        </w:rPr>
        <w:t>Some of our subsidiaries are subject to long-term exclusive agreements that may limit their future operating flexibility and materially adversely affect our financial results.</w:t>
      </w:r>
    </w:p>
    <w:p>
      <w:pPr>
        <w:spacing w:after="0" w:line="174"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Some of the entities formerly attributed to AT&amp;T Broadband Group which are now our subsidiaries are subject to long-term agreements relating to significant aspects of their operations, including long-term agreements for video programming, audio programming, electronic program guides, billing and other services. For example, Comcast Cable Holdings (formerly known as AT&amp;T Broadband, LLC), and AT&amp;T Broadband Group's subsidiary, Satellite Services, Inc., are parties to an affiliation term sheet with Starz Encore Group LLC, an affiliate of Liberty Media, which extends to 2022 and provides for fixed price payments, subject to adjustment for various factors including inflation, and may require Comcast Cable Communications Holdings to pay two-thirds of Starz Encore Group's programming costs above levels designated in the term sheet. Satellite Services, Inc. also entered into a ten-year agreement with TV Guide in January 1999 for interactive program guide services, which designates TV Guide Interactive as the interactive programming guide for Comcast Cable Communications Holdings' systems. Furthermore, a subsidiary of Comcast Cable Communications Holdings is party to an agreement that does not expire until December 31, 2013 under which it purchases certain billing services from CSG Systems, Inc. The price, terms and conditions of the Starz Encore term sheet, the TV Guide agreement and the CSG agreement may not reflect the current market and if one or more of these arrangements continue to apply to Comcast Cable Communications Holdings after completion of the AT&amp;T Comcast transaction, they may materially adversely impact our financial performance.</w:t>
      </w:r>
    </w:p>
    <w:p>
      <w:pPr>
        <w:spacing w:after="0" w:line="344"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By letter dated May 29, 2001, AT&amp;T Broadband Group disputed the enforceability of the excess programming pass-through provisions of the Starz Encore term sheet and questioned the validity of the term sheet as a whole. AT&amp;T Broadband Group also has raised certain issues concerning the uncertainty of the provisions of the term sheet and the contractual interpretation and application of certain of its provisions to, among other things, the acquisition and disposition of cable systems. In July 2001, Starz Encore Group filed a lawsuit seeking payment of the 2001 excess programming costs and a declaration that the term sheet is a binding and enforceable contract. In October 2001, AT&amp;T Broadband Group and Starz Encore Group agreed to stay the litigation until August 31, 2002 to allow the parties time to continue negotiations toward a potential business resolution of this dispute. The court granted the stay on October 30, 2001. The terms of the stay order allow either party to petition the court to lift the stay after April 30, 2002 and to proceed with the litigation. AT&amp;T Broadband Group and Starz Encore Group agreed to extend the stay of the litigation and the court extended the stay to and including January 31, 2003, with a requirement that the parties attempt to mediate the dispute. The parties have now selected a mediator, with mediation scheduled to proceed in mid-January 2003.</w:t>
      </w:r>
    </w:p>
    <w:p>
      <w:pPr>
        <w:spacing w:after="0" w:line="176"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On November 18, 2002, Comcast and Comcast Holdings filed suit against Starz Encore Group in the United States District Court for the Eastern District of Pennsylvania. Comcast and Comcast Holdings seek a declaratory judgment that, pursuant to their rights under a March 17, 1999 contract with a predecessor of Starz Encore Group, upon the completion of the AT&amp;T Comcast transaction that contract now provides the terms under which Starz Encore Group programming is acquired and transmitted by the Comcast Cable Communications Holdings' systems. Starz Encore Group has until January 8, 2003 to file a response to this complaint.</w:t>
      </w:r>
    </w:p>
    <w:p>
      <w:pPr>
        <w:spacing w:after="0" w:line="34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39"/>
          </w:cols>
          <w:pgMar w:left="220" w:top="792" w:right="1440" w:bottom="1440" w:gutter="0" w:footer="0" w:header="0"/>
        </w:sectPr>
      </w:pPr>
    </w:p>
    <w:bookmarkStart w:id="11" w:name="page12"/>
    <w:bookmarkEnd w:id="11"/>
    <w:p>
      <w:pPr>
        <w:ind w:right="3239" w:firstLine="437"/>
        <w:spacing w:after="0" w:line="254" w:lineRule="auto"/>
        <w:rPr>
          <w:sz w:val="20"/>
          <w:szCs w:val="20"/>
          <w:color w:val="auto"/>
        </w:rPr>
      </w:pPr>
      <w:r>
        <w:rPr>
          <w:rFonts w:ascii="Courier New" w:cs="Courier New" w:eastAsia="Courier New" w:hAnsi="Courier New"/>
          <w:sz w:val="14"/>
          <w:szCs w:val="14"/>
          <w:color w:val="auto"/>
        </w:rPr>
        <w:t>On March 13, 2002, AT&amp;T Broadband Group informed CSG Systems, Inc. that AT&amp;T Broadband Group was considering the initiation of an arbitration against CSG relating to a Master Subscriber Management System Agreement that the two companies entered into in 1997. Pursuant to the Master Agreement, CSG provides billing support to AT&amp;T Broadband Group. On May 10, 2002, AT&amp;T Broadband Group filed a demand for arbitration against CSG before the American Arbitration Association. On May 31, 2002, CSG answered AT&amp;T Broadband Group's arbitration demand and asserted various counterclaims. On June 21, 2002, CSG filed a lawsuit against Comcast Holdings in federal court located in Denver, Colorado asserting claims related to the Master Agreement and the pending arbitration. On November 4, 2002, CSG withdrew its complaint against Comcast Holdings without prejudice. On November 15, 2002, Comcast, Comcast Holdings, and Comcast Cable initiated a lawsuit against CSG in federal court located in Philadelphia, Pennsylvania. Comcast, Comcast Holdings and Comcast Cable assert that systems owned by Comcast Holdings are not required to use CSG as a billing service or customer care provider pursuant to the Master Agreement, and that systems owned by Comcast Cable Communications Holdings may be added to a billing service agreement between Comcast Cable and CSG. CSG's response to the Complaint is due on December 16, 2002. In the event that either the arbitration or this litigation or the settlement thereof results in the termination of the Master Agreement, Comcast Cable Communications Holdings may incur significant costs in connection with its replacement of these customer care and billing services and may experience temporary disruptions to its operations.</w:t>
      </w:r>
    </w:p>
    <w:p>
      <w:pPr>
        <w:spacing w:after="0" w:line="344" w:lineRule="exact"/>
        <w:rPr>
          <w:sz w:val="20"/>
          <w:szCs w:val="20"/>
          <w:color w:val="auto"/>
        </w:rPr>
      </w:pPr>
    </w:p>
    <w:p>
      <w:pPr>
        <w:ind w:right="3499" w:firstLine="262"/>
        <w:spacing w:after="0" w:line="234" w:lineRule="auto"/>
        <w:rPr>
          <w:sz w:val="20"/>
          <w:szCs w:val="20"/>
          <w:color w:val="auto"/>
        </w:rPr>
      </w:pPr>
      <w:r>
        <w:rPr>
          <w:rFonts w:ascii="Courier New" w:cs="Courier New" w:eastAsia="Courier New" w:hAnsi="Courier New"/>
          <w:sz w:val="15"/>
          <w:szCs w:val="15"/>
          <w:color w:val="auto"/>
        </w:rPr>
        <w:t>We are subject to regulation by federal, state and local governments which may impose costs and restrictions.</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federal, state and local governments extensively regulate the cable communications industry. We expect that court actions and regulatory proceedings will refine the rights and obligations of various parties, including the government, under the Communications Act of 1934, as amended. The results of these judicial and administrative proceedings may materially affect our business operations. Local authorities grant us franchises that permit us to operate our cable systems. We will have to renew or renegotiate these franchises from time to time. Local franchising authorities often demand concessions or other commitments as a condition to renewal or transfer, which concessions or other commitments could be costly to obtain.</w:t>
      </w:r>
    </w:p>
    <w:p>
      <w:pPr>
        <w:spacing w:after="0" w:line="179" w:lineRule="exact"/>
        <w:rPr>
          <w:sz w:val="20"/>
          <w:szCs w:val="20"/>
          <w:color w:val="auto"/>
        </w:rPr>
      </w:pPr>
    </w:p>
    <w:p>
      <w:pPr>
        <w:ind w:right="3499" w:firstLine="262"/>
        <w:spacing w:after="0" w:line="235" w:lineRule="auto"/>
        <w:rPr>
          <w:sz w:val="20"/>
          <w:szCs w:val="20"/>
          <w:color w:val="auto"/>
        </w:rPr>
      </w:pPr>
      <w:r>
        <w:rPr>
          <w:rFonts w:ascii="Courier New" w:cs="Courier New" w:eastAsia="Courier New" w:hAnsi="Courier New"/>
          <w:sz w:val="15"/>
          <w:szCs w:val="15"/>
          <w:color w:val="auto"/>
        </w:rPr>
        <w:t>We will be subject to additional regulatory burdens in connection with the provision of telecommunications services, which could cause us to incur additional costs.</w:t>
      </w:r>
    </w:p>
    <w:p>
      <w:pPr>
        <w:spacing w:after="0" w:line="174"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We will be subject to risks associated with the regulation of our telecommunications services by the Federal Communications Commission, or FCC, and state public utilities commissions, or PUCs. Telecommunications companies, including companies that have the ability to offer telephone services over the Internet, generally are subject to significant regulation. This regulation could materially adversely affect our business operations.</w:t>
      </w:r>
    </w:p>
    <w:p>
      <w:pPr>
        <w:spacing w:after="0" w:line="175" w:lineRule="exact"/>
        <w:rPr>
          <w:sz w:val="20"/>
          <w:szCs w:val="20"/>
          <w:color w:val="auto"/>
        </w:rPr>
      </w:pPr>
    </w:p>
    <w:p>
      <w:pPr>
        <w:ind w:right="3399" w:firstLine="262"/>
        <w:spacing w:after="0" w:line="235" w:lineRule="auto"/>
        <w:rPr>
          <w:sz w:val="20"/>
          <w:szCs w:val="20"/>
          <w:color w:val="auto"/>
        </w:rPr>
      </w:pPr>
      <w:r>
        <w:rPr>
          <w:rFonts w:ascii="Courier New" w:cs="Courier New" w:eastAsia="Courier New" w:hAnsi="Courier New"/>
          <w:sz w:val="15"/>
          <w:szCs w:val="15"/>
          <w:color w:val="auto"/>
        </w:rPr>
        <w:t>We may face increased competition because of technological advances and new regulatory requirements, which could adversely affect our future results of operations.</w:t>
      </w:r>
    </w:p>
    <w:p>
      <w:pPr>
        <w:spacing w:after="0" w:line="174"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Numerous companies, including telephone companies, have introduced Digital Subscriber Line technology, known as DSL, which provides Internet access to subscribers at data transmission speeds greater than that of modems over conventional telephone lines. We expect other advances in communications technology, as well as changes in the marketplace, to occur in the future. Other new technologies and services may develop and may compete with services that cable communications systems offer. The success of these ongoing and future developments could have a negative impact on our business operations.</w:t>
      </w:r>
    </w:p>
    <w:p>
      <w:pPr>
        <w:spacing w:after="0" w:line="177"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In addition, over the past several years, a number of companies, including telephone companies and ISPs, have asked local, state, and federal governmental authorities to mandate that cable communications operators provide capacity on their broadband infrastructure so that these and others may deliver Internet and other interactive television services directly to customers over these cable facilities. Some cable operators have initiated litigation challenging municipal efforts to unilaterally impose so-called "open access" requirements. The few court decisions dealing with this issue have been inconsistent. Moreover, in connection with their review of the AOL-Time Warner merger, the FCC and the Federal Trade Commission imposed "open access," technical performance and other requirements related to the merged company's Internet and Instant Messaging platforms. The FCC recently</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39"/>
          </w:cols>
          <w:pgMar w:left="220" w:top="792" w:right="1440" w:bottom="1440" w:gutter="0" w:footer="0" w:header="0"/>
        </w:sectPr>
      </w:pPr>
    </w:p>
    <w:bookmarkStart w:id="12" w:name="page13"/>
    <w:bookmarkEnd w:id="12"/>
    <w:p>
      <w:pPr>
        <w:ind w:right="3239"/>
        <w:spacing w:after="0" w:line="236" w:lineRule="auto"/>
        <w:rPr>
          <w:sz w:val="20"/>
          <w:szCs w:val="20"/>
          <w:color w:val="auto"/>
        </w:rPr>
      </w:pPr>
      <w:r>
        <w:rPr>
          <w:rFonts w:ascii="Courier New" w:cs="Courier New" w:eastAsia="Courier New" w:hAnsi="Courier New"/>
          <w:sz w:val="15"/>
          <w:szCs w:val="15"/>
          <w:color w:val="auto"/>
        </w:rPr>
        <w:t>concluded in a regulatory proceeding initiated by it to consider "open access" and related regulatory issues that cable modem service, as it is currently offered, is properly classified as an interstate information service that is not subject to common carrier regulation but remains subject to the FCC's jurisdiction. The FCC is seeking public comment regarding the regulatory implications of this conclusion, including, among other things, whether it is appropriate to impose "open access" requirements on these services or whether consumers will be able to obtain a choice of ISPs without government intervention.</w:t>
      </w:r>
    </w:p>
    <w:p>
      <w:pPr>
        <w:spacing w:after="0" w:line="178"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A number of cable operators have reached agreements to provide unaffiliated ISPs access to their cable systems in the absence of regulatory requirements. Comcast Holdings reached an "access" agreement with United Online and Comcast Cable Communications Holdings reached an "access" agreement with each of Earthlink, Internet Central, Connected Data Systems, Galaxy Internet Services and Connect Plus International. In connection with Comcast Holdings' and AT&amp;T's agreement with AOL Time Warner providing for the restructuring of Time Warner Entertainment Company L.P., or TWE, Comcast Holdings and Comcast Cable Communications will enter into a three-year non-exclusive access agreement with AOL Time Warner. Under the terms of the exchange agreement that Comcast Holdings and AT&amp;T have executed with Microsoft, now that the AT&amp;T Comcast transaction has been consummated, we will be required, with respect to each such agreement with another ISP, to offer Microsoft an access agreement on terms no less favorable than those provided to the other ISP with respect to the specific cable systems covered under the agreement with the other ISP. Notwithstanding the foregoing, there can be no assurance that regulatory authorities will not impose "open access" or similar requirements on us as part of an industry-wide requirement. Such requirements could have a negative impact on our business operations.</w:t>
      </w:r>
    </w:p>
    <w:p>
      <w:pPr>
        <w:spacing w:after="0" w:line="174" w:lineRule="exact"/>
        <w:rPr>
          <w:sz w:val="20"/>
          <w:szCs w:val="20"/>
          <w:color w:val="auto"/>
        </w:rPr>
      </w:pPr>
    </w:p>
    <w:p>
      <w:pPr>
        <w:ind w:right="3319" w:firstLine="262"/>
        <w:spacing w:after="0" w:line="261" w:lineRule="auto"/>
        <w:rPr>
          <w:sz w:val="20"/>
          <w:szCs w:val="20"/>
          <w:color w:val="auto"/>
        </w:rPr>
      </w:pPr>
      <w:r>
        <w:rPr>
          <w:rFonts w:ascii="Courier New" w:cs="Courier New" w:eastAsia="Courier New" w:hAnsi="Courier New"/>
          <w:sz w:val="14"/>
          <w:szCs w:val="14"/>
          <w:color w:val="auto"/>
        </w:rPr>
        <w:t>We, through Comcast Cable Communications Holdings, have substantial economic interests in joint ventures in which we have limited management rights.</w:t>
      </w:r>
    </w:p>
    <w:p>
      <w:pPr>
        <w:spacing w:after="0" w:line="160"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Comcast Cable Communications Holdings is a partner in several large joint ventures, such as TWE, Texas Cable Partners and Kansas City Cable Partners, in which it has a substantial economic interest but does not have substantial control with regard to management policies or the selection of management. These joint ventures may be managed in a manner contrary to our best interests, and the value of our investment in these joint ventures, through Comcast Cable Communications Holdings, may be affected by management policies that are determined without our input or over our objections. Comcast Cable Communications Holdings has cable partnerships with each of AOL Time Warner, Insight Communications, Adelphia Communications, Midcontinent and US Cable. Materially adverse financial or other developments with respect to a partner could adversely impact the applicable partnership.</w:t>
      </w:r>
    </w:p>
    <w:p>
      <w:pPr>
        <w:spacing w:after="0" w:line="164"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On June 25, 2002, three cable partnerships between subsidiaries of AT&amp;T and subsidiaries of Adelphia Communications Corporation commenced bankruptcy proceedings by the filing of Chapter 11 petitions in the Bankruptcy Court for the Southern District of New York at about the same time that other Adelphia entities filed for bankruptcy. These partnerships are: Century-TCI California Communications, L.P. (in which Comcast Cable Communications Holdings holds a 25% interest through a wholly-owned subsidiary and which as of December 31, 2001 had an aggregate of approximately 775,000 subscribers in the greater Los Angeles, California area), Parnassos Communications, L.P. (in which Comcast Cable Communications Holdings holds a 33.33% interest through a wholly-owned subsidiary) and Western NY Cablevision, L.P. (in which Comcast Cable Communications Holdings holds a 33.33% interest through a wholly-owned subsidiary and which as of December 31, 2001 had, together with Parnassos Communications, L.P., an aggregate of approximately 470,000 subscribers in Buffalo, New York and the surrounding areas). We cannot predict what the outcome of these proceedings will be on any of the partnerships and the proceedings may have a material adverse impact on the partnerships. AT&amp;T Broadband Group recorded an impairment charge through net losses related to equity investments of $143 million, net of taxes of $90 million, in connection with the bankruptcy proceedings of the Adelphia partnerships.</w:t>
      </w:r>
    </w:p>
    <w:p>
      <w:pPr>
        <w:spacing w:after="0" w:line="176" w:lineRule="exact"/>
        <w:rPr>
          <w:sz w:val="20"/>
          <w:szCs w:val="20"/>
          <w:color w:val="auto"/>
        </w:rPr>
      </w:pPr>
    </w:p>
    <w:p>
      <w:pPr>
        <w:ind w:right="3319" w:firstLine="262"/>
        <w:spacing w:after="0" w:line="235" w:lineRule="auto"/>
        <w:rPr>
          <w:sz w:val="20"/>
          <w:szCs w:val="20"/>
          <w:color w:val="auto"/>
        </w:rPr>
      </w:pPr>
      <w:r>
        <w:rPr>
          <w:rFonts w:ascii="Courier New" w:cs="Courier New" w:eastAsia="Courier New" w:hAnsi="Courier New"/>
          <w:sz w:val="15"/>
          <w:szCs w:val="15"/>
          <w:color w:val="auto"/>
        </w:rPr>
        <w:t>We, through Comcast Holdings and Comcast Cable Communications Holdings, face risks arising from their and AT&amp;T's relationship with At Home Corporation and UAL Corp.</w:t>
      </w:r>
    </w:p>
    <w:p>
      <w:pPr>
        <w:spacing w:after="0" w:line="174"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Through a subsidiary, AT&amp;T owns approximately 23% of the outstanding common stock and 74% of the voting power of the outstanding common stock of At Home Corporation, which filed for bankruptcy protection on</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39"/>
          </w:cols>
          <w:pgMar w:left="220" w:top="792" w:right="1440" w:bottom="1440" w:gutter="0" w:footer="0" w:header="0"/>
        </w:sectPr>
      </w:pPr>
    </w:p>
    <w:bookmarkStart w:id="13" w:name="page14"/>
    <w:bookmarkEnd w:id="13"/>
    <w:p>
      <w:pPr>
        <w:ind w:right="3759"/>
        <w:spacing w:after="0" w:line="234" w:lineRule="auto"/>
        <w:rPr>
          <w:sz w:val="20"/>
          <w:szCs w:val="20"/>
          <w:color w:val="auto"/>
        </w:rPr>
      </w:pPr>
      <w:r>
        <w:rPr>
          <w:rFonts w:ascii="Courier New" w:cs="Courier New" w:eastAsia="Courier New" w:hAnsi="Courier New"/>
          <w:sz w:val="15"/>
          <w:szCs w:val="15"/>
          <w:color w:val="auto"/>
        </w:rPr>
        <w:t>September 28, 2001. Until October 1, 2001, AT&amp;T appointed a majority of At Home's directors and it now appoints none.</w:t>
      </w:r>
    </w:p>
    <w:p>
      <w:pPr>
        <w:spacing w:after="0" w:line="173"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Since September 28, 2001, some creditors of At Home have threatened to commence litigation against AT&amp;T relating to the conduct of AT&amp;T or its designees on the At Home Board in connection with At Home's declaration of bankruptcy and At Home's subsequent aborted efforts to dispose of some of its businesses or assets in a bankruptcy court-supervised auction, as well as in connection with other aspects of AT&amp;T's relationship with At Home. On May 1, 2002, At Home filed a proposed plan of liquidation pursuant to Chapter 11 of the U.S. Bankruptcy Code, which, as modified on June 18, 2002, among other things, provides that all claims and causes of action of the bankrupt estate of At Home against AT&amp;T and other shareholders will be transferred to a liquidating trust owned ratably by the bondholders of At Home and funded with at least $12 million, and as much as $17 million, to finance the litigation of those claims. The plan was approved by the bankruptcy court on August 15, 2002 and became effective on or about October 1, 2002. On November 7, 2002, a complaint was filed by the bondholders' liquidating trust against AT&amp;T and certain of its senior officers alleging various breaches of fiduciary duties, misappropriation of trade secrets and other causes of action in connection with the transactions in March 2000 described below, and prior and subsequent alleged conduct on the part of the defendants. Any liabilities resulting from this lawsuit would be shared equally between AT&amp;T and Comcast Cable Communications Holdings.</w:t>
      </w:r>
    </w:p>
    <w:p>
      <w:pPr>
        <w:spacing w:after="0" w:line="343"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In addition, purported class action lawsuits have been filed in California state court on behalf of At Home shareholders against AT&amp;T, At Home, Comcast Holdings and former directors of At Home. The lawsuits claim that the defendants breached fiduciary obligations of care, candor and loyalty in connection with a transaction announced in March 2000 in which, among other things, AT&amp;T, Cox Communications Inc. and Comcast Holdings agreed to extend existing distribution agreements, the At Home Board was reorganized, and AT&amp;T agreed to give Cox and Comcast Holdings rights to sell their At Home shares to AT&amp;T. These actions have been consolidated by the court. At the request of At Home's bondholders, on September 10, 2002, the bankruptcy court ruled that the claims asserted in these actions belong to At Home's bankruptcy estate, not its shareholders, that the actions must be dismissed, and that the claims in the actions are to be prosecuted by the At Home bondholders' liquidating trust under the confirmed Chapter 11 plan. The order remains subject to appeal. The liability for these lawsuits would be shared equally between AT&amp;T and Comcast Cable Communications Holdings.</w:t>
      </w:r>
    </w:p>
    <w:p>
      <w:pPr>
        <w:spacing w:after="0" w:line="175"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On September 23, 2002, the Official Committee of Unsecured Bondholders of At Home filed suit in the United States District Court for the District of Delaware against Comcast Holdings, Cox, Brian L. Roberts in his capacity as a director of At Home, and other corporate and individual defendants. The complaint seeks alleged "short-swing" profits under Section 16(b) of the Securities Exchange Act of 1934 in connection with At Home put options Comcast Holdings and Cox entered into with AT&amp;T. The complaint alleges a total of at least $600 million in damages in the aggregate from Comcast Holdings and Cox in connection with this claim. The complaint also seeks damages in an unspecified amount for alleged breaches of fiduciary duty by the defendants in connection with transactions entered into among AT&amp;T, At Home, Comcast Holdings and Cox. We believe this suit is without merit and intend to vigorously defend ourselves in the action.</w:t>
      </w:r>
    </w:p>
    <w:p>
      <w:pPr>
        <w:spacing w:after="0" w:line="173" w:lineRule="exact"/>
        <w:rPr>
          <w:sz w:val="20"/>
          <w:szCs w:val="20"/>
          <w:color w:val="auto"/>
        </w:rPr>
      </w:pPr>
    </w:p>
    <w:p>
      <w:pPr>
        <w:ind w:right="3499" w:firstLine="437"/>
        <w:spacing w:after="0" w:line="255" w:lineRule="auto"/>
        <w:rPr>
          <w:sz w:val="20"/>
          <w:szCs w:val="20"/>
          <w:color w:val="auto"/>
        </w:rPr>
      </w:pPr>
      <w:r>
        <w:rPr>
          <w:rFonts w:ascii="Courier New" w:cs="Courier New" w:eastAsia="Courier New" w:hAnsi="Courier New"/>
          <w:sz w:val="14"/>
          <w:szCs w:val="14"/>
          <w:color w:val="auto"/>
        </w:rPr>
        <w:t>In March 2002, three purported class actions were filed in the United States District Court for the Southern District of New York against, among others, AT&amp;T and certain of its senior officers alleging violations of the federal securities laws in connection with disclosures made by At Home in the period from March 28, 2000 through August 28, 2001. These actions have been consolidated. On November 8, 2002, a consolidated class action complaint was filed in this action. Any liabilities resulting from this lawsuit would be shared equally between AT&amp;T and Comcast Cable Communications Holdings.</w:t>
      </w:r>
    </w:p>
    <w:p>
      <w:pPr>
        <w:spacing w:after="0" w:line="166"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As part of a portfolio of lease and project financing assets Comcast Cable Communications Holdings assumed in connection with the acquisition of Comcast MO Group, Comcast Cable Communications Holdings is the lessor of some airplanes under leveraged leases to UAL Corp. and US Airways Group. Under a leveraged lease, the assets are secured with debt, which is non-recourse to Comcast Cable Communications Holdings. US Airways filed for Chapter 11 bankruptcy protection on August 11, 2002 and UAL Corp. filed for Chapter 11 bankruptcy protection on December 9, 2002. In connection with their respective bankruptcy filings, each of US Airways and UAL Corp. can</w:t>
      </w:r>
    </w:p>
    <w:p>
      <w:pPr>
        <w:spacing w:after="0" w:line="34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39"/>
          </w:cols>
          <w:pgMar w:left="220" w:top="792" w:right="1440" w:bottom="1440" w:gutter="0" w:footer="0" w:header="0"/>
        </w:sectPr>
      </w:pPr>
    </w:p>
    <w:bookmarkStart w:id="14" w:name="page15"/>
    <w:bookmarkEnd w:id="14"/>
    <w:p>
      <w:pPr>
        <w:ind w:right="3399"/>
        <w:spacing w:after="0" w:line="236" w:lineRule="auto"/>
        <w:rPr>
          <w:sz w:val="20"/>
          <w:szCs w:val="20"/>
          <w:color w:val="auto"/>
        </w:rPr>
      </w:pPr>
      <w:r>
        <w:rPr>
          <w:rFonts w:ascii="Courier New" w:cs="Courier New" w:eastAsia="Courier New" w:hAnsi="Courier New"/>
          <w:sz w:val="15"/>
          <w:szCs w:val="15"/>
          <w:color w:val="auto"/>
        </w:rPr>
        <w:t>reject or reaffirm its leases. In connection with its bankruptcy filing, US Airways rejected its leases with AT&amp;T Broadband Group. AT&amp;T Broadband Group recorded an after-tax loss of approximately $39 million on such leases during the third quarter of 2002. We do not know if the leases with UAL Corp. will be rejected or reaffirmed. If the leases are rejected and the non-recourse debt holder forecloses on the assets, Comcast Cable Communications Holdings could incur an after-tax loss of approximately $33 million (based on September 30, 2002 balances).</w:t>
      </w:r>
    </w:p>
    <w:p>
      <w:pPr>
        <w:spacing w:after="0" w:line="177" w:lineRule="exact"/>
        <w:rPr>
          <w:sz w:val="20"/>
          <w:szCs w:val="20"/>
          <w:color w:val="auto"/>
        </w:rPr>
      </w:pPr>
    </w:p>
    <w:p>
      <w:pPr>
        <w:ind w:right="3579"/>
        <w:spacing w:after="0" w:line="261" w:lineRule="auto"/>
        <w:rPr>
          <w:sz w:val="20"/>
          <w:szCs w:val="20"/>
          <w:color w:val="auto"/>
        </w:rPr>
      </w:pPr>
      <w:r>
        <w:rPr>
          <w:rFonts w:ascii="Courier New" w:cs="Courier New" w:eastAsia="Courier New" w:hAnsi="Courier New"/>
          <w:sz w:val="14"/>
          <w:szCs w:val="14"/>
          <w:color w:val="auto"/>
        </w:rPr>
        <w:t>Our indentures do not restrict our ability to incur additional indebtedness, which could make our debt securities more risky in the future.</w:t>
      </w:r>
    </w:p>
    <w:p>
      <w:pPr>
        <w:spacing w:after="0" w:line="160"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As of September 30, 2002, our pro forma consolidated indebtedness was approximately $32.5 billion, of which $25.3 billion was issued by our subsidiaries and was senior to debt obligations at Comcast Corporation. As of September 30, 2002, our pro forma consolidated stockholders' equity was approximately $38.5 billion. The indentures that govern the terms of our debt do not restrict our ability or our subsidiaries' ability to incur additional indebtedness. The degree to which we incur additional debt could have important consequences to holders of the securities, including:</w:t>
      </w:r>
    </w:p>
    <w:p>
      <w:pPr>
        <w:spacing w:after="0" w:line="177" w:lineRule="exact"/>
        <w:rPr>
          <w:sz w:val="20"/>
          <w:szCs w:val="20"/>
          <w:color w:val="auto"/>
        </w:rPr>
      </w:pPr>
    </w:p>
    <w:p>
      <w:pPr>
        <w:jc w:val="both"/>
        <w:ind w:left="800" w:right="3499" w:hanging="353"/>
        <w:spacing w:after="0" w:line="235" w:lineRule="auto"/>
        <w:tabs>
          <w:tab w:leader="none" w:pos="80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limiting our ability to obtain any necessary financing in the future for working capital, capital expenditures, debt service requirements or other purposes;</w:t>
      </w:r>
    </w:p>
    <w:p>
      <w:pPr>
        <w:spacing w:after="0" w:line="173" w:lineRule="exact"/>
        <w:rPr>
          <w:rFonts w:ascii="Courier New" w:cs="Courier New" w:eastAsia="Courier New" w:hAnsi="Courier New"/>
          <w:sz w:val="15"/>
          <w:szCs w:val="15"/>
          <w:color w:val="auto"/>
        </w:rPr>
      </w:pPr>
    </w:p>
    <w:p>
      <w:pPr>
        <w:jc w:val="both"/>
        <w:ind w:left="800" w:right="3399" w:hanging="353"/>
        <w:spacing w:after="0" w:line="235" w:lineRule="auto"/>
        <w:tabs>
          <w:tab w:leader="none" w:pos="80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requiring us to dedicate a substantial portion of our cash flows from operations to the payment of indebtedness and not for other purposes, such as working capital and capital expenditures;</w:t>
      </w:r>
    </w:p>
    <w:p>
      <w:pPr>
        <w:spacing w:after="0" w:line="173" w:lineRule="exact"/>
        <w:rPr>
          <w:rFonts w:ascii="Courier New" w:cs="Courier New" w:eastAsia="Courier New" w:hAnsi="Courier New"/>
          <w:sz w:val="15"/>
          <w:szCs w:val="15"/>
          <w:color w:val="auto"/>
        </w:rPr>
      </w:pPr>
    </w:p>
    <w:p>
      <w:pPr>
        <w:ind w:left="800" w:right="3759" w:hanging="353"/>
        <w:spacing w:after="0" w:line="234" w:lineRule="auto"/>
        <w:tabs>
          <w:tab w:leader="none" w:pos="80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limiting our flexibility to plan for, or react to, changes in our businesses;</w:t>
      </w:r>
    </w:p>
    <w:p>
      <w:pPr>
        <w:spacing w:after="0" w:line="173" w:lineRule="exact"/>
        <w:rPr>
          <w:rFonts w:ascii="Courier New" w:cs="Courier New" w:eastAsia="Courier New" w:hAnsi="Courier New"/>
          <w:sz w:val="15"/>
          <w:szCs w:val="15"/>
          <w:color w:val="auto"/>
        </w:rPr>
      </w:pPr>
    </w:p>
    <w:p>
      <w:pPr>
        <w:ind w:left="800" w:right="3399" w:hanging="353"/>
        <w:spacing w:after="0" w:line="234" w:lineRule="auto"/>
        <w:tabs>
          <w:tab w:leader="none" w:pos="80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making us more indebted than some of our competitors, which may place us at a competitive disadvantage; and</w:t>
      </w:r>
    </w:p>
    <w:p>
      <w:pPr>
        <w:spacing w:after="0" w:line="166" w:lineRule="exact"/>
        <w:rPr>
          <w:rFonts w:ascii="Courier New" w:cs="Courier New" w:eastAsia="Courier New" w:hAnsi="Courier New"/>
          <w:sz w:val="15"/>
          <w:szCs w:val="15"/>
          <w:color w:val="auto"/>
        </w:rPr>
      </w:pPr>
    </w:p>
    <w:p>
      <w:pPr>
        <w:ind w:left="800" w:hanging="353"/>
        <w:spacing w:after="0"/>
        <w:tabs>
          <w:tab w:leader="none" w:pos="80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making us more vulnerable to a downturn in our businesses.</w:t>
      </w:r>
    </w:p>
    <w:p>
      <w:pPr>
        <w:spacing w:after="0" w:line="173" w:lineRule="exact"/>
        <w:rPr>
          <w:sz w:val="20"/>
          <w:szCs w:val="20"/>
          <w:color w:val="auto"/>
        </w:rPr>
      </w:pPr>
    </w:p>
    <w:p>
      <w:pPr>
        <w:ind w:right="3499"/>
        <w:spacing w:after="0" w:line="234" w:lineRule="auto"/>
        <w:rPr>
          <w:sz w:val="20"/>
          <w:szCs w:val="20"/>
          <w:color w:val="auto"/>
        </w:rPr>
      </w:pPr>
      <w:r>
        <w:rPr>
          <w:rFonts w:ascii="Courier New" w:cs="Courier New" w:eastAsia="Courier New" w:hAnsi="Courier New"/>
          <w:sz w:val="15"/>
          <w:szCs w:val="15"/>
          <w:color w:val="auto"/>
        </w:rPr>
        <w:t>The securities we are offering may not develop an active public market, which could depress the resale price of the securities.</w:t>
      </w:r>
    </w:p>
    <w:p>
      <w:pPr>
        <w:spacing w:after="0" w:line="173" w:lineRule="exact"/>
        <w:rPr>
          <w:sz w:val="20"/>
          <w:szCs w:val="20"/>
          <w:color w:val="auto"/>
        </w:rPr>
      </w:pPr>
    </w:p>
    <w:p>
      <w:pPr>
        <w:ind w:right="3399" w:firstLine="437"/>
        <w:spacing w:after="0" w:line="236" w:lineRule="auto"/>
        <w:rPr>
          <w:sz w:val="20"/>
          <w:szCs w:val="20"/>
          <w:color w:val="auto"/>
        </w:rPr>
      </w:pPr>
      <w:r>
        <w:rPr>
          <w:rFonts w:ascii="Courier New" w:cs="Courier New" w:eastAsia="Courier New" w:hAnsi="Courier New"/>
          <w:sz w:val="15"/>
          <w:szCs w:val="15"/>
          <w:color w:val="auto"/>
        </w:rPr>
        <w:t>The securities we are offering, other than our Class A Common Stock and Class A Special Common Stock, will be new issues of securities for which there is currently no trading market. We cannot predict whether an active trading market for the securities will develop or be sustained. If an active trading market were to develop, the securities could trade at prices that may be lower than the initial offering price of the securities.</w:t>
      </w:r>
    </w:p>
    <w:p>
      <w:pPr>
        <w:spacing w:after="0" w:line="337" w:lineRule="exact"/>
        <w:rPr>
          <w:sz w:val="20"/>
          <w:szCs w:val="20"/>
          <w:color w:val="auto"/>
        </w:rPr>
      </w:pPr>
    </w:p>
    <w:p>
      <w:pPr>
        <w:ind w:left="1400"/>
        <w:spacing w:after="0"/>
        <w:rPr>
          <w:sz w:val="20"/>
          <w:szCs w:val="20"/>
          <w:color w:val="auto"/>
        </w:rPr>
      </w:pPr>
      <w:r>
        <w:rPr>
          <w:rFonts w:ascii="Courier New" w:cs="Courier New" w:eastAsia="Courier New" w:hAnsi="Courier New"/>
          <w:sz w:val="15"/>
          <w:szCs w:val="15"/>
          <w:color w:val="auto"/>
        </w:rPr>
        <w:t>SPECIAL NOTE REGARDING FORWARD-LOOKING STATEMENTS</w:t>
      </w:r>
    </w:p>
    <w:p>
      <w:pPr>
        <w:spacing w:after="0" w:line="16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Our businesses may be affected by, among other things:</w:t>
      </w:r>
    </w:p>
    <w:p>
      <w:pPr>
        <w:spacing w:after="0" w:line="166" w:lineRule="exact"/>
        <w:rPr>
          <w:sz w:val="20"/>
          <w:szCs w:val="20"/>
          <w:color w:val="auto"/>
        </w:rPr>
      </w:pPr>
    </w:p>
    <w:p>
      <w:pPr>
        <w:ind w:left="800" w:hanging="353"/>
        <w:spacing w:after="0"/>
        <w:tabs>
          <w:tab w:leader="none" w:pos="80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changes in laws and regulations;</w:t>
      </w:r>
    </w:p>
    <w:p>
      <w:pPr>
        <w:spacing w:after="0" w:line="166" w:lineRule="exact"/>
        <w:rPr>
          <w:rFonts w:ascii="Courier New" w:cs="Courier New" w:eastAsia="Courier New" w:hAnsi="Courier New"/>
          <w:sz w:val="15"/>
          <w:szCs w:val="15"/>
          <w:color w:val="auto"/>
        </w:rPr>
      </w:pPr>
    </w:p>
    <w:p>
      <w:pPr>
        <w:ind w:left="800" w:hanging="353"/>
        <w:spacing w:after="0"/>
        <w:tabs>
          <w:tab w:leader="none" w:pos="80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changes in the competitive environment;</w:t>
      </w:r>
    </w:p>
    <w:p>
      <w:pPr>
        <w:spacing w:after="0" w:line="166" w:lineRule="exact"/>
        <w:rPr>
          <w:rFonts w:ascii="Courier New" w:cs="Courier New" w:eastAsia="Courier New" w:hAnsi="Courier New"/>
          <w:sz w:val="15"/>
          <w:szCs w:val="15"/>
          <w:color w:val="auto"/>
        </w:rPr>
      </w:pPr>
    </w:p>
    <w:p>
      <w:pPr>
        <w:ind w:left="800" w:hanging="353"/>
        <w:spacing w:after="0"/>
        <w:tabs>
          <w:tab w:leader="none" w:pos="80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changes in technology;</w:t>
      </w:r>
    </w:p>
    <w:p>
      <w:pPr>
        <w:spacing w:after="0" w:line="166" w:lineRule="exact"/>
        <w:rPr>
          <w:rFonts w:ascii="Courier New" w:cs="Courier New" w:eastAsia="Courier New" w:hAnsi="Courier New"/>
          <w:sz w:val="15"/>
          <w:szCs w:val="15"/>
          <w:color w:val="auto"/>
        </w:rPr>
      </w:pPr>
    </w:p>
    <w:p>
      <w:pPr>
        <w:ind w:left="800" w:hanging="353"/>
        <w:spacing w:after="0"/>
        <w:tabs>
          <w:tab w:leader="none" w:pos="80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industry consolidation and mergers;</w:t>
      </w:r>
    </w:p>
    <w:p>
      <w:pPr>
        <w:spacing w:after="0" w:line="166" w:lineRule="exact"/>
        <w:rPr>
          <w:rFonts w:ascii="Courier New" w:cs="Courier New" w:eastAsia="Courier New" w:hAnsi="Courier New"/>
          <w:sz w:val="15"/>
          <w:szCs w:val="15"/>
          <w:color w:val="auto"/>
        </w:rPr>
      </w:pPr>
    </w:p>
    <w:p>
      <w:pPr>
        <w:ind w:left="800" w:hanging="353"/>
        <w:spacing w:after="0"/>
        <w:tabs>
          <w:tab w:leader="none" w:pos="80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franchise-related matters;</w:t>
      </w:r>
    </w:p>
    <w:p>
      <w:pPr>
        <w:spacing w:after="0" w:line="172" w:lineRule="exact"/>
        <w:rPr>
          <w:rFonts w:ascii="Courier New" w:cs="Courier New" w:eastAsia="Courier New" w:hAnsi="Courier New"/>
          <w:sz w:val="15"/>
          <w:szCs w:val="15"/>
          <w:color w:val="auto"/>
        </w:rPr>
      </w:pPr>
    </w:p>
    <w:p>
      <w:pPr>
        <w:ind w:left="800" w:right="3499" w:hanging="353"/>
        <w:spacing w:after="0" w:line="235" w:lineRule="auto"/>
        <w:tabs>
          <w:tab w:leader="none" w:pos="80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market conditions that may adversely affect the availability of debt and equity financing for working capital, capital expenditures or other purposes;</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39"/>
          </w:cols>
          <w:pgMar w:left="220" w:top="792" w:right="1440" w:bottom="1440" w:gutter="0" w:footer="0" w:header="0"/>
        </w:sectPr>
      </w:pPr>
    </w:p>
    <w:bookmarkStart w:id="15" w:name="page16"/>
    <w:bookmarkEnd w:id="15"/>
    <w:p>
      <w:pPr>
        <w:ind w:left="800" w:right="3319" w:hanging="353"/>
        <w:spacing w:after="0" w:line="234" w:lineRule="auto"/>
        <w:tabs>
          <w:tab w:leader="none" w:pos="80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demand for the programming content we distribute or the willingness of other video program providers to carry our content; and</w:t>
      </w:r>
    </w:p>
    <w:p>
      <w:pPr>
        <w:spacing w:after="0" w:line="166" w:lineRule="exact"/>
        <w:rPr>
          <w:rFonts w:ascii="Courier New" w:cs="Courier New" w:eastAsia="Courier New" w:hAnsi="Courier New"/>
          <w:sz w:val="15"/>
          <w:szCs w:val="15"/>
          <w:color w:val="auto"/>
        </w:rPr>
      </w:pPr>
    </w:p>
    <w:p>
      <w:pPr>
        <w:ind w:left="800" w:hanging="353"/>
        <w:spacing w:after="0"/>
        <w:tabs>
          <w:tab w:leader="none" w:pos="80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general economic conditions.</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In this prospectus and in the documents we incorporate by reference, we state our expectations of future events and our future financial performance. In some cases, you can identify those so-called "forward-looking statements" by words such as "may," "will," "should," "expects," "plans," "anticipates," "believes," "estimates," "predicts," "potential," or "continue" or the negative of those words and other comparable words. You should be aware that those statements are only our predictions. Actual events or results may differ materially. In evaluating those statements, you should specifically consider various factors, including the risks outlined under "Risk Factors" above. Those factors may cause our actual results to differ materially from any of our forward-looking statements.</w:t>
      </w:r>
    </w:p>
    <w:p>
      <w:pPr>
        <w:spacing w:after="0" w:line="342"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USE OF PROCEEDS</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We intend to use the net proceeds from the sale of the securities for working capital and general corporate purposes. We may also invest the proceeds in certificates of deposit, United States government securities or certain other interest-bearing securities. If we decide to use the net proceeds from a particular offering of securities for a specific purpose, we will describe that in the related prospectus supplement.</w:t>
      </w:r>
    </w:p>
    <w:p>
      <w:pPr>
        <w:spacing w:after="0" w:line="337"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DIVIDEND POLICY</w:t>
      </w:r>
    </w:p>
    <w:p>
      <w:pPr>
        <w:spacing w:after="0" w:line="173" w:lineRule="exact"/>
        <w:rPr>
          <w:sz w:val="20"/>
          <w:szCs w:val="20"/>
          <w:color w:val="auto"/>
        </w:rPr>
      </w:pPr>
    </w:p>
    <w:p>
      <w:pPr>
        <w:ind w:right="3399" w:firstLine="437"/>
        <w:spacing w:after="0" w:line="234" w:lineRule="auto"/>
        <w:rPr>
          <w:sz w:val="20"/>
          <w:szCs w:val="20"/>
          <w:color w:val="auto"/>
        </w:rPr>
      </w:pPr>
      <w:r>
        <w:rPr>
          <w:rFonts w:ascii="Courier New" w:cs="Courier New" w:eastAsia="Courier New" w:hAnsi="Courier New"/>
          <w:sz w:val="15"/>
          <w:szCs w:val="15"/>
          <w:color w:val="auto"/>
        </w:rPr>
        <w:t>We do not intend to pay dividends on our common stock for the foreseeable future.</w:t>
      </w:r>
    </w:p>
    <w:p>
      <w:pPr>
        <w:spacing w:after="0" w:line="335" w:lineRule="exact"/>
        <w:rPr>
          <w:sz w:val="20"/>
          <w:szCs w:val="20"/>
          <w:color w:val="auto"/>
        </w:rPr>
      </w:pPr>
    </w:p>
    <w:p>
      <w:pPr>
        <w:ind w:left="2020"/>
        <w:spacing w:after="0"/>
        <w:rPr>
          <w:sz w:val="20"/>
          <w:szCs w:val="20"/>
          <w:color w:val="auto"/>
        </w:rPr>
      </w:pPr>
      <w:r>
        <w:rPr>
          <w:rFonts w:ascii="Courier New" w:cs="Courier New" w:eastAsia="Courier New" w:hAnsi="Courier New"/>
          <w:sz w:val="15"/>
          <w:szCs w:val="15"/>
          <w:color w:val="auto"/>
        </w:rPr>
        <w:t>RATIOS OF EARNINGS TO FIXED CHARGES</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380" w:type="dxa"/>
            <w:vAlign w:val="bottom"/>
          </w:tcPr>
          <w:p>
            <w:pPr>
              <w:spacing w:after="0"/>
              <w:rPr>
                <w:sz w:val="14"/>
                <w:szCs w:val="14"/>
                <w:color w:val="auto"/>
              </w:rPr>
            </w:pPr>
          </w:p>
        </w:tc>
        <w:tc>
          <w:tcPr>
            <w:tcW w:w="1100" w:type="dxa"/>
            <w:vAlign w:val="bottom"/>
          </w:tcPr>
          <w:p>
            <w:pPr>
              <w:jc w:val="center"/>
              <w:ind w:right="47"/>
              <w:spacing w:after="0"/>
              <w:rPr>
                <w:sz w:val="20"/>
                <w:szCs w:val="20"/>
                <w:color w:val="auto"/>
              </w:rPr>
            </w:pPr>
            <w:r>
              <w:rPr>
                <w:rFonts w:ascii="Courier New" w:cs="Courier New" w:eastAsia="Courier New" w:hAnsi="Courier New"/>
                <w:sz w:val="15"/>
                <w:szCs w:val="15"/>
                <w:color w:val="auto"/>
                <w:w w:val="98"/>
              </w:rPr>
              <w:t>For the</w:t>
            </w:r>
          </w:p>
        </w:tc>
        <w:tc>
          <w:tcPr>
            <w:tcW w:w="7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168"/>
        </w:trPr>
        <w:tc>
          <w:tcPr>
            <w:tcW w:w="4380" w:type="dxa"/>
            <w:vAlign w:val="bottom"/>
          </w:tcPr>
          <w:p>
            <w:pPr>
              <w:spacing w:after="0"/>
              <w:rPr>
                <w:sz w:val="14"/>
                <w:szCs w:val="14"/>
                <w:color w:val="auto"/>
              </w:rPr>
            </w:pPr>
          </w:p>
        </w:tc>
        <w:tc>
          <w:tcPr>
            <w:tcW w:w="11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Nine</w:t>
            </w:r>
          </w:p>
        </w:tc>
        <w:tc>
          <w:tcPr>
            <w:tcW w:w="7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168"/>
        </w:trPr>
        <w:tc>
          <w:tcPr>
            <w:tcW w:w="4380" w:type="dxa"/>
            <w:vAlign w:val="bottom"/>
          </w:tcPr>
          <w:p>
            <w:pPr>
              <w:spacing w:after="0"/>
              <w:rPr>
                <w:sz w:val="14"/>
                <w:szCs w:val="14"/>
                <w:color w:val="auto"/>
              </w:rPr>
            </w:pPr>
          </w:p>
        </w:tc>
        <w:tc>
          <w:tcPr>
            <w:tcW w:w="11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Months</w:t>
            </w:r>
          </w:p>
        </w:tc>
        <w:tc>
          <w:tcPr>
            <w:tcW w:w="7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168"/>
        </w:trPr>
        <w:tc>
          <w:tcPr>
            <w:tcW w:w="4380" w:type="dxa"/>
            <w:vAlign w:val="bottom"/>
          </w:tcPr>
          <w:p>
            <w:pPr>
              <w:spacing w:after="0"/>
              <w:rPr>
                <w:sz w:val="14"/>
                <w:szCs w:val="14"/>
                <w:color w:val="auto"/>
              </w:rPr>
            </w:pPr>
          </w:p>
        </w:tc>
        <w:tc>
          <w:tcPr>
            <w:tcW w:w="1100" w:type="dxa"/>
            <w:vAlign w:val="bottom"/>
          </w:tcPr>
          <w:p>
            <w:pPr>
              <w:jc w:val="center"/>
              <w:ind w:right="67"/>
              <w:spacing w:after="0" w:line="168" w:lineRule="exact"/>
              <w:rPr>
                <w:sz w:val="20"/>
                <w:szCs w:val="20"/>
                <w:color w:val="auto"/>
              </w:rPr>
            </w:pPr>
            <w:r>
              <w:rPr>
                <w:rFonts w:ascii="Courier New" w:cs="Courier New" w:eastAsia="Courier New" w:hAnsi="Courier New"/>
                <w:sz w:val="15"/>
                <w:szCs w:val="15"/>
                <w:color w:val="auto"/>
                <w:w w:val="97"/>
              </w:rPr>
              <w:t>Ended</w:t>
            </w:r>
          </w:p>
        </w:tc>
        <w:tc>
          <w:tcPr>
            <w:tcW w:w="7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168"/>
        </w:trPr>
        <w:tc>
          <w:tcPr>
            <w:tcW w:w="4380" w:type="dxa"/>
            <w:vAlign w:val="bottom"/>
          </w:tcPr>
          <w:p>
            <w:pPr>
              <w:spacing w:after="0"/>
              <w:rPr>
                <w:sz w:val="14"/>
                <w:szCs w:val="14"/>
                <w:color w:val="auto"/>
              </w:rPr>
            </w:pPr>
          </w:p>
        </w:tc>
        <w:tc>
          <w:tcPr>
            <w:tcW w:w="1100" w:type="dxa"/>
            <w:vAlign w:val="bottom"/>
          </w:tcPr>
          <w:p>
            <w:pPr>
              <w:jc w:val="center"/>
              <w:ind w:right="47"/>
              <w:spacing w:after="0" w:line="168" w:lineRule="exact"/>
              <w:rPr>
                <w:sz w:val="20"/>
                <w:szCs w:val="20"/>
                <w:color w:val="auto"/>
              </w:rPr>
            </w:pPr>
            <w:r>
              <w:rPr>
                <w:rFonts w:ascii="Courier New" w:cs="Courier New" w:eastAsia="Courier New" w:hAnsi="Courier New"/>
                <w:sz w:val="15"/>
                <w:szCs w:val="15"/>
                <w:color w:val="auto"/>
                <w:w w:val="96"/>
              </w:rPr>
              <w:t>September</w:t>
            </w:r>
          </w:p>
        </w:tc>
        <w:tc>
          <w:tcPr>
            <w:tcW w:w="7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168"/>
        </w:trPr>
        <w:tc>
          <w:tcPr>
            <w:tcW w:w="4380" w:type="dxa"/>
            <w:vAlign w:val="bottom"/>
          </w:tcPr>
          <w:p>
            <w:pPr>
              <w:spacing w:after="0"/>
              <w:rPr>
                <w:sz w:val="14"/>
                <w:szCs w:val="14"/>
                <w:color w:val="auto"/>
              </w:rPr>
            </w:pPr>
          </w:p>
        </w:tc>
        <w:tc>
          <w:tcPr>
            <w:tcW w:w="11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30,</w:t>
            </w:r>
          </w:p>
        </w:tc>
        <w:tc>
          <w:tcPr>
            <w:tcW w:w="780" w:type="dxa"/>
            <w:vAlign w:val="bottom"/>
          </w:tcPr>
          <w:p>
            <w:pPr>
              <w:spacing w:after="0"/>
              <w:rPr>
                <w:sz w:val="14"/>
                <w:szCs w:val="14"/>
                <w:color w:val="auto"/>
              </w:rPr>
            </w:pPr>
          </w:p>
        </w:tc>
        <w:tc>
          <w:tcPr>
            <w:tcW w:w="288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w w:val="97"/>
              </w:rPr>
              <w:t>For the Years Ended December 31,</w:t>
            </w:r>
          </w:p>
        </w:tc>
        <w:tc>
          <w:tcPr>
            <w:tcW w:w="580" w:type="dxa"/>
            <w:vAlign w:val="bottom"/>
          </w:tcPr>
          <w:p>
            <w:pPr>
              <w:spacing w:after="0"/>
              <w:rPr>
                <w:sz w:val="14"/>
                <w:szCs w:val="14"/>
                <w:color w:val="auto"/>
              </w:rPr>
            </w:pPr>
          </w:p>
        </w:tc>
      </w:tr>
      <w:tr>
        <w:trPr>
          <w:trHeight w:val="168"/>
        </w:trPr>
        <w:tc>
          <w:tcPr>
            <w:tcW w:w="4380" w:type="dxa"/>
            <w:vAlign w:val="bottom"/>
          </w:tcPr>
          <w:p>
            <w:pPr>
              <w:spacing w:after="0"/>
              <w:rPr>
                <w:sz w:val="14"/>
                <w:szCs w:val="14"/>
                <w:color w:val="auto"/>
              </w:rPr>
            </w:pPr>
          </w:p>
        </w:tc>
        <w:tc>
          <w:tcPr>
            <w:tcW w:w="1100" w:type="dxa"/>
            <w:vAlign w:val="bottom"/>
          </w:tcPr>
          <w:p>
            <w:pPr>
              <w:jc w:val="center"/>
              <w:ind w:right="47"/>
              <w:spacing w:after="0" w:line="168" w:lineRule="exact"/>
              <w:rPr>
                <w:sz w:val="20"/>
                <w:szCs w:val="20"/>
                <w:color w:val="auto"/>
              </w:rPr>
            </w:pPr>
            <w:r>
              <w:rPr>
                <w:rFonts w:ascii="Courier New" w:cs="Courier New" w:eastAsia="Courier New" w:hAnsi="Courier New"/>
                <w:sz w:val="15"/>
                <w:szCs w:val="15"/>
                <w:color w:val="auto"/>
                <w:w w:val="96"/>
              </w:rPr>
              <w:t>---------</w:t>
            </w:r>
          </w:p>
        </w:tc>
        <w:tc>
          <w:tcPr>
            <w:tcW w:w="4240" w:type="dxa"/>
            <w:vAlign w:val="bottom"/>
            <w:gridSpan w:val="5"/>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380" w:type="dxa"/>
            <w:vAlign w:val="bottom"/>
          </w:tcPr>
          <w:p>
            <w:pPr>
              <w:spacing w:after="0"/>
              <w:rPr>
                <w:sz w:val="14"/>
                <w:szCs w:val="14"/>
                <w:color w:val="auto"/>
              </w:rPr>
            </w:pPr>
          </w:p>
        </w:tc>
        <w:tc>
          <w:tcPr>
            <w:tcW w:w="11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2002</w:t>
            </w: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2001</w:t>
            </w:r>
          </w:p>
        </w:tc>
        <w:tc>
          <w:tcPr>
            <w:tcW w:w="1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2000</w:t>
            </w: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1999</w:t>
            </w:r>
          </w:p>
        </w:tc>
        <w:tc>
          <w:tcPr>
            <w:tcW w:w="10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1998</w:t>
            </w:r>
          </w:p>
        </w:tc>
        <w:tc>
          <w:tcPr>
            <w:tcW w:w="5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1997</w:t>
            </w:r>
          </w:p>
        </w:tc>
      </w:tr>
      <w:tr>
        <w:trPr>
          <w:trHeight w:val="168"/>
        </w:trPr>
        <w:tc>
          <w:tcPr>
            <w:tcW w:w="4380" w:type="dxa"/>
            <w:vAlign w:val="bottom"/>
          </w:tcPr>
          <w:p>
            <w:pPr>
              <w:spacing w:after="0"/>
              <w:rPr>
                <w:sz w:val="14"/>
                <w:szCs w:val="14"/>
                <w:color w:val="auto"/>
              </w:rPr>
            </w:pPr>
          </w:p>
        </w:tc>
        <w:tc>
          <w:tcPr>
            <w:tcW w:w="1100" w:type="dxa"/>
            <w:vAlign w:val="bottom"/>
          </w:tcPr>
          <w:p>
            <w:pPr>
              <w:jc w:val="center"/>
              <w:ind w:right="47"/>
              <w:spacing w:after="0" w:line="168" w:lineRule="exact"/>
              <w:rPr>
                <w:sz w:val="20"/>
                <w:szCs w:val="20"/>
                <w:color w:val="auto"/>
              </w:rPr>
            </w:pPr>
            <w:r>
              <w:rPr>
                <w:rFonts w:ascii="Courier New" w:cs="Courier New" w:eastAsia="Courier New" w:hAnsi="Courier New"/>
                <w:sz w:val="15"/>
                <w:szCs w:val="15"/>
                <w:color w:val="auto"/>
                <w:w w:val="96"/>
              </w:rPr>
              <w:t>---------</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380" w:type="dxa"/>
            <w:vAlign w:val="bottom"/>
          </w:tcPr>
          <w:p>
            <w:pPr>
              <w:spacing w:after="0"/>
              <w:rPr>
                <w:sz w:val="20"/>
                <w:szCs w:val="20"/>
                <w:color w:val="auto"/>
              </w:rPr>
            </w:pPr>
            <w:r>
              <w:rPr>
                <w:rFonts w:ascii="Courier New" w:cs="Courier New" w:eastAsia="Courier New" w:hAnsi="Courier New"/>
                <w:sz w:val="15"/>
                <w:szCs w:val="15"/>
                <w:color w:val="auto"/>
                <w:w w:val="98"/>
              </w:rPr>
              <w:t>Comcast(a).......................................</w:t>
            </w:r>
          </w:p>
        </w:tc>
        <w:tc>
          <w:tcPr>
            <w:tcW w:w="1100" w:type="dxa"/>
            <w:vAlign w:val="bottom"/>
          </w:tcPr>
          <w:p>
            <w:pPr>
              <w:ind w:left="360"/>
              <w:spacing w:after="0"/>
              <w:rPr>
                <w:sz w:val="20"/>
                <w:szCs w:val="20"/>
                <w:color w:val="auto"/>
              </w:rPr>
            </w:pPr>
            <w:r>
              <w:rPr>
                <w:rFonts w:ascii="Courier New" w:cs="Courier New" w:eastAsia="Courier New" w:hAnsi="Courier New"/>
                <w:sz w:val="15"/>
                <w:szCs w:val="15"/>
                <w:color w:val="auto"/>
              </w:rPr>
              <w:t>1.03x</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2.20x</w:t>
            </w:r>
          </w:p>
        </w:tc>
        <w:tc>
          <w:tcPr>
            <w:tcW w:w="10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5.93x</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3.30x</w:t>
            </w:r>
          </w:p>
        </w:tc>
        <w:tc>
          <w:tcPr>
            <w:tcW w:w="10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5.37x</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1.21x</w:t>
            </w:r>
          </w:p>
        </w:tc>
      </w:tr>
      <w:tr>
        <w:trPr>
          <w:trHeight w:val="168"/>
        </w:trPr>
        <w:tc>
          <w:tcPr>
            <w:tcW w:w="438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Comcast Cable(b).................................</w:t>
            </w:r>
          </w:p>
        </w:tc>
        <w:tc>
          <w:tcPr>
            <w:tcW w:w="11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2.35x</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(c)</w:t>
            </w:r>
          </w:p>
        </w:tc>
        <w:tc>
          <w:tcPr>
            <w:tcW w:w="10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1.76x</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(c)</w:t>
            </w: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(c)</w:t>
            </w:r>
          </w:p>
        </w:tc>
        <w:tc>
          <w:tcPr>
            <w:tcW w:w="5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(c)</w:t>
            </w:r>
          </w:p>
        </w:tc>
      </w:tr>
      <w:tr>
        <w:trPr>
          <w:trHeight w:val="168"/>
        </w:trPr>
        <w:tc>
          <w:tcPr>
            <w:tcW w:w="438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Comcast Cable Communications Holdings(d).........</w:t>
            </w:r>
          </w:p>
        </w:tc>
        <w:tc>
          <w:tcPr>
            <w:tcW w:w="110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(e)</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(e)</w:t>
            </w:r>
          </w:p>
        </w:tc>
        <w:tc>
          <w:tcPr>
            <w:tcW w:w="10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(e)</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(e)</w:t>
            </w: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38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Comcast Cable Holdings(f)........................</w:t>
            </w:r>
          </w:p>
        </w:tc>
        <w:tc>
          <w:tcPr>
            <w:tcW w:w="110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(g)</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(g)</w:t>
            </w:r>
          </w:p>
        </w:tc>
        <w:tc>
          <w:tcPr>
            <w:tcW w:w="10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(g)</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(g)</w:t>
            </w: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38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Comcast MO Group(f)..............................</w:t>
            </w:r>
          </w:p>
        </w:tc>
        <w:tc>
          <w:tcPr>
            <w:tcW w:w="11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2.53x</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4.96x</w:t>
            </w:r>
          </w:p>
        </w:tc>
        <w:tc>
          <w:tcPr>
            <w:tcW w:w="10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(h)</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left="440" w:right="3319" w:hanging="430"/>
        <w:spacing w:after="0" w:line="255" w:lineRule="auto"/>
        <w:tabs>
          <w:tab w:leader="none" w:pos="440"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We became the parent of Comcast Holdings and Comcast Cable Communications Holdings on November 18, 2002 in connection with the consummation of the merger of Comcast Holdings and Comcast Cable Communications Holdings with our subsidiaries. Because Comcast Holdings is our predecessor, our historical ratios are the same as Comcast Holdings' historical ratios. For purposes of our ratio of earnings to fixed charges, earnings consist of income (loss) from continuing operations before income taxes, cumulative effect of accounting changes, minority interest, equity in net (income) losses of affiliates and fixed charges. Fixed charges consist of interest expense and capitalized interest.</w:t>
      </w:r>
    </w:p>
    <w:p>
      <w:pPr>
        <w:spacing w:after="0" w:line="165" w:lineRule="exact"/>
        <w:rPr>
          <w:rFonts w:ascii="Courier New" w:cs="Courier New" w:eastAsia="Courier New" w:hAnsi="Courier New"/>
          <w:sz w:val="14"/>
          <w:szCs w:val="14"/>
          <w:color w:val="auto"/>
        </w:rPr>
      </w:pPr>
    </w:p>
    <w:p>
      <w:pPr>
        <w:ind w:left="440" w:right="3239" w:hanging="430"/>
        <w:spacing w:after="0" w:line="255" w:lineRule="auto"/>
        <w:tabs>
          <w:tab w:leader="none" w:pos="440"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purposes of Comcast Cable's ratio of earnings to fixed charges, earnings consist of income (loss) from continuing operations before income taxes, cumulative effect of accounting changes, minority interest, equity in net (income) losses of affiliates and fixed charges. Fixed charges consist of interest expense and interest expense on notes payable to affiliates. As described in Note 2 to Comcast Cable's unaudited condensed consolidated financial statements for the quarter ended September 30, 2002, which are incorporated herein by reference, Comcast Cable adopted the provisions of SFAS No. 145 on April 1, 2002. In connection with the</w:t>
      </w:r>
    </w:p>
    <w:p>
      <w:pPr>
        <w:spacing w:after="0" w:line="32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39"/>
          </w:cols>
          <w:pgMar w:left="220" w:top="792" w:right="1440" w:bottom="1440" w:gutter="0" w:footer="0" w:header="0"/>
        </w:sectPr>
      </w:pPr>
    </w:p>
    <w:bookmarkStart w:id="16" w:name="page17"/>
    <w:bookmarkEnd w:id="16"/>
    <w:p>
      <w:pPr>
        <w:ind w:left="430" w:right="3399"/>
        <w:spacing w:after="0" w:line="256" w:lineRule="auto"/>
        <w:rPr>
          <w:sz w:val="20"/>
          <w:szCs w:val="20"/>
          <w:color w:val="auto"/>
        </w:rPr>
      </w:pPr>
      <w:r>
        <w:rPr>
          <w:rFonts w:ascii="Courier New" w:cs="Courier New" w:eastAsia="Courier New" w:hAnsi="Courier New"/>
          <w:sz w:val="14"/>
          <w:szCs w:val="14"/>
          <w:color w:val="auto"/>
        </w:rPr>
        <w:t>adoption of SFAS No. 145, amounts previously reported net of taxes as extraordinary items have been reclassified to interest expense and income taxes. The table above includes reclassifications of interest expense of $10.9 million, $9.5 million, $0.2 million and $25.7 million for the years ended December 31, 2000, 1999, 1998 and 1997, respectively.</w:t>
      </w:r>
    </w:p>
    <w:p>
      <w:pPr>
        <w:spacing w:after="0" w:line="163" w:lineRule="exact"/>
        <w:rPr>
          <w:sz w:val="20"/>
          <w:szCs w:val="20"/>
          <w:color w:val="auto"/>
        </w:rPr>
      </w:pPr>
    </w:p>
    <w:p>
      <w:pPr>
        <w:jc w:val="both"/>
        <w:ind w:left="430" w:right="3239"/>
        <w:spacing w:after="0" w:line="254" w:lineRule="auto"/>
        <w:rPr>
          <w:sz w:val="20"/>
          <w:szCs w:val="20"/>
          <w:color w:val="auto"/>
        </w:rPr>
      </w:pPr>
      <w:r>
        <w:rPr>
          <w:rFonts w:ascii="Courier New" w:cs="Courier New" w:eastAsia="Courier New" w:hAnsi="Courier New"/>
          <w:sz w:val="14"/>
          <w:szCs w:val="14"/>
          <w:color w:val="auto"/>
        </w:rPr>
        <w:t>In addition, as described in Note 2 to Comcast Cable's unaudited condensed consolidated financial statements for the quarter ended September 30, 2002, which are incorporated herein by reference, Comcast Cable adopted EITF</w:t>
      </w:r>
    </w:p>
    <w:p>
      <w:pPr>
        <w:spacing w:after="0" w:line="1" w:lineRule="exact"/>
        <w:rPr>
          <w:sz w:val="20"/>
          <w:szCs w:val="20"/>
          <w:color w:val="auto"/>
        </w:rPr>
      </w:pPr>
    </w:p>
    <w:p>
      <w:pPr>
        <w:ind w:left="430" w:right="3239"/>
        <w:spacing w:after="0" w:line="236" w:lineRule="auto"/>
        <w:rPr>
          <w:sz w:val="20"/>
          <w:szCs w:val="20"/>
          <w:color w:val="auto"/>
        </w:rPr>
      </w:pPr>
      <w:r>
        <w:rPr>
          <w:rFonts w:ascii="Courier New" w:cs="Courier New" w:eastAsia="Courier New" w:hAnsi="Courier New"/>
          <w:sz w:val="15"/>
          <w:szCs w:val="15"/>
          <w:color w:val="auto"/>
        </w:rPr>
        <w:t>01-14 effective January 1, 2002. Upon adoption, Comcast Cable reclassified franchise fees collected from cable subscribers from a reduction of selling, general and administrative expenses to a component of service revenues in its consolidated statement of operations. The impact of adopting EITF 01-14 was to increase service revenues and selling, general and administrative expenses by $189.4 million, $149.9 million, $103.4 million, $94.7 million and $72.8 million for the years ended December 31, 2001, 2000, 1999, 1998 and 1997, respectively. This reclassification had no impact on Comcast Cable's reported operating income (loss) or financial condition.</w:t>
      </w:r>
    </w:p>
    <w:p>
      <w:pPr>
        <w:spacing w:after="0" w:line="179" w:lineRule="exact"/>
        <w:rPr>
          <w:sz w:val="20"/>
          <w:szCs w:val="20"/>
          <w:color w:val="auto"/>
        </w:rPr>
      </w:pPr>
    </w:p>
    <w:p>
      <w:pPr>
        <w:ind w:left="430" w:right="3239" w:hanging="430"/>
        <w:spacing w:after="0" w:line="235" w:lineRule="auto"/>
        <w:tabs>
          <w:tab w:leader="none" w:pos="43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the years ended December 31, 2001, 1999, 1998 and 1997, Comcast Cable's earnings, as defined above, were inadequate to cover fixed charges by $390.0 million, $408.7 million, $149.8 million and $202.4 million, respectively.</w:t>
      </w:r>
    </w:p>
    <w:p>
      <w:pPr>
        <w:spacing w:after="0" w:line="175" w:lineRule="exact"/>
        <w:rPr>
          <w:rFonts w:ascii="Courier New" w:cs="Courier New" w:eastAsia="Courier New" w:hAnsi="Courier New"/>
          <w:sz w:val="15"/>
          <w:szCs w:val="15"/>
          <w:color w:val="auto"/>
        </w:rPr>
      </w:pPr>
    </w:p>
    <w:p>
      <w:pPr>
        <w:ind w:left="430" w:right="3239" w:hanging="430"/>
        <w:spacing w:after="0" w:line="255" w:lineRule="auto"/>
        <w:tabs>
          <w:tab w:leader="none" w:pos="430"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From its date of inception on December 14, 2001 through September 30, 2002, Comcast Cable Communications Holdings had no operations. On November 18, 2002, AT&amp;T contributed its broadband communications business, referred to as the AT&amp;T Broadband Group in this prospectus, to Comcast Cable Communications Holdings. Because AT&amp;T Broadband Group is the predecessor of Comcast Cable Communications Holdings, Comcast Cable Communications Holdings' historical ratios are the same as AT&amp;T Broadband Group's historical ratios. For the purpose of calculating the ratio of earnings to fixed charges, earnings is calculated by adding fixed charges excluding capitalized interest to income from continuing operations before income taxes, and by adding distributions of less-than-fifty-percent-owned affiliates. By fixed charges we mean total interest, including capitalized interest, dividend requirements on preferred stock and interest on trust preferred securities and a portion of rentals, which we believe is representative of the interest factor of our rental expense, as applicable.</w:t>
      </w:r>
    </w:p>
    <w:p>
      <w:pPr>
        <w:spacing w:after="0" w:line="163" w:lineRule="exact"/>
        <w:rPr>
          <w:rFonts w:ascii="Courier New" w:cs="Courier New" w:eastAsia="Courier New" w:hAnsi="Courier New"/>
          <w:sz w:val="14"/>
          <w:szCs w:val="14"/>
          <w:color w:val="auto"/>
        </w:rPr>
      </w:pPr>
    </w:p>
    <w:p>
      <w:pPr>
        <w:ind w:left="430" w:right="3239" w:hanging="430"/>
        <w:spacing w:after="0" w:line="236" w:lineRule="auto"/>
        <w:tabs>
          <w:tab w:leader="none" w:pos="43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Comcast Cable Communications Holdings' loss for the nine months ended September 30, 2002, the years ended December 31, 2001 and 2000, and the ten month period ended December 31, 1999 was inadequate to cover fixed charges, dividend requirements on subsidiary preferred stock and interest on trust preferred securities in the amount of $19.2 billion, $9.2 billion, $10.4 billion and $2.0 billion, respectively.</w:t>
      </w:r>
    </w:p>
    <w:p>
      <w:pPr>
        <w:spacing w:after="0" w:line="174" w:lineRule="exact"/>
        <w:rPr>
          <w:rFonts w:ascii="Courier New" w:cs="Courier New" w:eastAsia="Courier New" w:hAnsi="Courier New"/>
          <w:sz w:val="15"/>
          <w:szCs w:val="15"/>
          <w:color w:val="auto"/>
        </w:rPr>
      </w:pPr>
    </w:p>
    <w:p>
      <w:pPr>
        <w:ind w:left="430" w:right="3239" w:hanging="430"/>
        <w:spacing w:after="0" w:line="255" w:lineRule="auto"/>
        <w:tabs>
          <w:tab w:leader="none" w:pos="430"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the purpose of Comcast Cable Holdings' and Comcast MO Group's ratio of earnings to fixed charges, earnings is calculated by adding fixed charges excluding capitalized interest to income from continuing operations before income taxes, and by adding distributions of less-than-fifty-percent-owned affiliates. Fixed charges consist of total interest, including capitalized interest, dividend requirements on preferred stock and interest on trust preferred securities and a portion of rentals, which Comcast Cable Holdings and Comcast MO Group believe is representative of the interest factor of their rental expense, as applicable.</w:t>
      </w:r>
    </w:p>
    <w:p>
      <w:pPr>
        <w:spacing w:after="0" w:line="165" w:lineRule="exact"/>
        <w:rPr>
          <w:rFonts w:ascii="Courier New" w:cs="Courier New" w:eastAsia="Courier New" w:hAnsi="Courier New"/>
          <w:sz w:val="14"/>
          <w:szCs w:val="14"/>
          <w:color w:val="auto"/>
        </w:rPr>
      </w:pPr>
    </w:p>
    <w:p>
      <w:pPr>
        <w:ind w:left="430" w:right="3319" w:hanging="430"/>
        <w:spacing w:after="0" w:line="256" w:lineRule="auto"/>
        <w:tabs>
          <w:tab w:leader="none" w:pos="430"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Comcast Cable Holdings' loss for the nine months ended September 30, 2002, the years ended December 31, 2001 and 2000, and the ten month period ended December 31, 1999 was inadequate to cover fixed charges in the amount of $1.1 billion, $1.5 billion, $1.9 billion and $1.3 billion, respectively.</w:t>
      </w:r>
    </w:p>
    <w:p>
      <w:pPr>
        <w:spacing w:after="0" w:line="164" w:lineRule="exact"/>
        <w:rPr>
          <w:rFonts w:ascii="Courier New" w:cs="Courier New" w:eastAsia="Courier New" w:hAnsi="Courier New"/>
          <w:sz w:val="14"/>
          <w:szCs w:val="14"/>
          <w:color w:val="auto"/>
        </w:rPr>
      </w:pPr>
    </w:p>
    <w:p>
      <w:pPr>
        <w:ind w:left="430" w:right="4019" w:hanging="430"/>
        <w:spacing w:after="0" w:line="261" w:lineRule="auto"/>
        <w:tabs>
          <w:tab w:leader="none" w:pos="430"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Comcast MO Group's loss for the period ended December 31, 2000 was inadequate to cover fixed charges in the amount of $0.4 billion.</w:t>
      </w:r>
    </w:p>
    <w:p>
      <w:pPr>
        <w:spacing w:after="0" w:line="321" w:lineRule="exact"/>
        <w:rPr>
          <w:sz w:val="20"/>
          <w:szCs w:val="20"/>
          <w:color w:val="auto"/>
        </w:rPr>
      </w:pPr>
    </w:p>
    <w:p>
      <w:pPr>
        <w:ind w:left="341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29"/>
          </w:cols>
          <w:pgMar w:left="230" w:top="792" w:right="1440" w:bottom="1440" w:gutter="0" w:footer="0" w:header="0"/>
        </w:sectPr>
      </w:pPr>
    </w:p>
    <w:bookmarkStart w:id="17" w:name="page18"/>
    <w:bookmarkEnd w:id="17"/>
    <w:p>
      <w:pPr>
        <w:ind w:left="2200"/>
        <w:spacing w:after="0"/>
        <w:rPr>
          <w:sz w:val="20"/>
          <w:szCs w:val="20"/>
          <w:color w:val="auto"/>
        </w:rPr>
      </w:pPr>
      <w:r>
        <w:rPr>
          <w:rFonts w:ascii="Courier New" w:cs="Courier New" w:eastAsia="Courier New" w:hAnsi="Courier New"/>
          <w:sz w:val="14"/>
          <w:szCs w:val="14"/>
          <w:color w:val="auto"/>
        </w:rPr>
        <w:t>PRO FORMA RATIO OF EARNINGS TO</w:t>
      </w:r>
    </w:p>
    <w:p>
      <w:pPr>
        <w:spacing w:after="0" w:line="3"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FIXED CHARGES</w:t>
      </w:r>
    </w:p>
    <w:p>
      <w:pPr>
        <w:sectPr>
          <w:pgSz w:w="11900" w:h="16838" w:orient="portrait"/>
          <w:cols w:equalWidth="0" w:num="1">
            <w:col w:w="11120"/>
          </w:cols>
          <w:pgMar w:left="220" w:top="792" w:right="5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Comcast....................</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For the Nine</w:t>
      </w:r>
    </w:p>
    <w:p>
      <w:pPr>
        <w:ind w:left="260"/>
        <w:spacing w:after="0" w:line="237" w:lineRule="auto"/>
        <w:rPr>
          <w:sz w:val="20"/>
          <w:szCs w:val="20"/>
          <w:color w:val="auto"/>
        </w:rPr>
      </w:pPr>
      <w:r>
        <w:rPr>
          <w:rFonts w:ascii="Courier New" w:cs="Courier New" w:eastAsia="Courier New" w:hAnsi="Courier New"/>
          <w:sz w:val="15"/>
          <w:szCs w:val="15"/>
          <w:color w:val="auto"/>
        </w:rPr>
        <w:t>Months Ended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September 30, 2002</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(j)</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For the</w:t>
      </w:r>
    </w:p>
    <w:p>
      <w:pPr>
        <w:ind w:left="260"/>
        <w:spacing w:after="0" w:line="237" w:lineRule="auto"/>
        <w:rPr>
          <w:sz w:val="20"/>
          <w:szCs w:val="20"/>
          <w:color w:val="auto"/>
        </w:rPr>
      </w:pPr>
      <w:r>
        <w:rPr>
          <w:rFonts w:ascii="Courier New" w:cs="Courier New" w:eastAsia="Courier New" w:hAnsi="Courier New"/>
          <w:sz w:val="15"/>
          <w:szCs w:val="15"/>
          <w:color w:val="auto"/>
        </w:rPr>
        <w:t>Year Ended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December 31, 2001</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(j)</w:t>
      </w:r>
    </w:p>
    <w:p>
      <w:pPr>
        <w:spacing w:after="0" w:line="173" w:lineRule="exact"/>
        <w:rPr>
          <w:sz w:val="20"/>
          <w:szCs w:val="20"/>
          <w:color w:val="auto"/>
        </w:rPr>
      </w:pPr>
    </w:p>
    <w:p>
      <w:pPr>
        <w:sectPr>
          <w:pgSz w:w="11900" w:h="16838" w:orient="portrait"/>
          <w:cols w:equalWidth="0" w:num="3">
            <w:col w:w="2380" w:space="260"/>
            <w:col w:w="1640" w:space="720"/>
            <w:col w:w="6120"/>
          </w:cols>
          <w:pgMar w:left="220" w:top="792" w:right="559"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 ------------------</w:t>
      </w:r>
    </w:p>
    <w:p>
      <w:pPr>
        <w:sectPr>
          <w:pgSz w:w="11900" w:h="16838" w:orient="portrait"/>
          <w:cols w:equalWidth="0" w:num="1">
            <w:col w:w="11120"/>
          </w:cols>
          <w:pgMar w:left="220" w:top="792" w:right="559" w:bottom="1440" w:gutter="0" w:footer="0" w:header="0"/>
          <w:type w:val="continuous"/>
        </w:sectPr>
      </w:pPr>
    </w:p>
    <w:p>
      <w:pPr>
        <w:spacing w:after="0" w:line="10" w:lineRule="exact"/>
        <w:rPr>
          <w:sz w:val="20"/>
          <w:szCs w:val="20"/>
          <w:color w:val="auto"/>
        </w:rPr>
      </w:pPr>
    </w:p>
    <w:p>
      <w:pPr>
        <w:ind w:left="440" w:right="4200" w:hanging="430"/>
        <w:spacing w:after="0" w:line="236" w:lineRule="auto"/>
        <w:tabs>
          <w:tab w:leader="none" w:pos="44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purposes of calculating our pro forma ratio of earnings to fixed charges, earnings consist of income (loss) before income taxes, extraordinary items, cumulative effect of accounting change, minority interest, equity in net (income) losses of affiliates and fixed charges. Fixed charges consist of interest expense. For the nine months ended September 30, 2002 and for the year ended December 31, 2001, earning as defined above, were inadequate to cover fixed charges by $19.1 billion and $6.0 billion, respectively.</w:t>
      </w:r>
    </w:p>
    <w:p>
      <w:pPr>
        <w:spacing w:after="0" w:line="339" w:lineRule="exact"/>
        <w:rPr>
          <w:sz w:val="20"/>
          <w:szCs w:val="20"/>
          <w:color w:val="auto"/>
        </w:rPr>
      </w:pPr>
    </w:p>
    <w:p>
      <w:pPr>
        <w:jc w:val="center"/>
        <w:ind w:right="4020"/>
        <w:spacing w:after="0"/>
        <w:rPr>
          <w:sz w:val="20"/>
          <w:szCs w:val="20"/>
          <w:color w:val="auto"/>
        </w:rPr>
      </w:pPr>
      <w:r>
        <w:rPr>
          <w:rFonts w:ascii="Courier New" w:cs="Courier New" w:eastAsia="Courier New" w:hAnsi="Courier New"/>
          <w:sz w:val="15"/>
          <w:szCs w:val="15"/>
          <w:color w:val="auto"/>
        </w:rPr>
        <w:t>RATIO OF EARNINGS TO COMBINED FIXED CHARGES</w:t>
      </w:r>
    </w:p>
    <w:p>
      <w:pPr>
        <w:jc w:val="center"/>
        <w:ind w:right="4020"/>
        <w:spacing w:after="0" w:line="237" w:lineRule="auto"/>
        <w:rPr>
          <w:sz w:val="20"/>
          <w:szCs w:val="20"/>
          <w:color w:val="auto"/>
        </w:rPr>
      </w:pPr>
      <w:r>
        <w:rPr>
          <w:rFonts w:ascii="Courier New" w:cs="Courier New" w:eastAsia="Courier New" w:hAnsi="Courier New"/>
          <w:sz w:val="15"/>
          <w:szCs w:val="15"/>
          <w:color w:val="auto"/>
        </w:rPr>
        <w:t>AND PREFERRED DIVIDENDS</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320" w:type="dxa"/>
            <w:vAlign w:val="bottom"/>
          </w:tcPr>
          <w:p>
            <w:pPr>
              <w:spacing w:after="0"/>
              <w:rPr>
                <w:sz w:val="14"/>
                <w:szCs w:val="14"/>
                <w:color w:val="auto"/>
              </w:rPr>
            </w:pPr>
          </w:p>
        </w:tc>
        <w:tc>
          <w:tcPr>
            <w:tcW w:w="1880" w:type="dxa"/>
            <w:vAlign w:val="bottom"/>
          </w:tcPr>
          <w:p>
            <w:pPr>
              <w:ind w:left="920"/>
              <w:spacing w:after="0"/>
              <w:rPr>
                <w:sz w:val="20"/>
                <w:szCs w:val="20"/>
                <w:color w:val="auto"/>
              </w:rPr>
            </w:pPr>
            <w:r>
              <w:rPr>
                <w:rFonts w:ascii="Courier New" w:cs="Courier New" w:eastAsia="Courier New" w:hAnsi="Courier New"/>
                <w:sz w:val="15"/>
                <w:szCs w:val="15"/>
                <w:color w:val="auto"/>
              </w:rPr>
              <w:t>Pro Forma</w:t>
            </w:r>
          </w:p>
        </w:tc>
        <w:tc>
          <w:tcPr>
            <w:tcW w:w="14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50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Historical</w:t>
            </w:r>
          </w:p>
        </w:tc>
        <w:tc>
          <w:tcPr>
            <w:tcW w:w="78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8"/>
        </w:trPr>
        <w:tc>
          <w:tcPr>
            <w:tcW w:w="2320" w:type="dxa"/>
            <w:vAlign w:val="bottom"/>
          </w:tcPr>
          <w:p>
            <w:pPr>
              <w:spacing w:after="0"/>
              <w:rPr>
                <w:sz w:val="14"/>
                <w:szCs w:val="14"/>
                <w:color w:val="auto"/>
              </w:rPr>
            </w:pPr>
          </w:p>
        </w:tc>
        <w:tc>
          <w:tcPr>
            <w:tcW w:w="328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5520" w:type="dxa"/>
            <w:vAlign w:val="bottom"/>
            <w:gridSpan w:val="6"/>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320" w:type="dxa"/>
            <w:vAlign w:val="bottom"/>
          </w:tcPr>
          <w:p>
            <w:pPr>
              <w:spacing w:after="0"/>
              <w:rPr>
                <w:sz w:val="14"/>
                <w:szCs w:val="14"/>
                <w:color w:val="auto"/>
              </w:rPr>
            </w:pPr>
          </w:p>
        </w:tc>
        <w:tc>
          <w:tcPr>
            <w:tcW w:w="188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rPr>
              <w:t>For the Nine</w:t>
            </w:r>
          </w:p>
        </w:tc>
        <w:tc>
          <w:tcPr>
            <w:tcW w:w="14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w w:val="96"/>
              </w:rPr>
              <w:t>For the Year</w:t>
            </w:r>
          </w:p>
        </w:tc>
        <w:tc>
          <w:tcPr>
            <w:tcW w:w="16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For the Nine</w:t>
            </w: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8"/>
        </w:trPr>
        <w:tc>
          <w:tcPr>
            <w:tcW w:w="2320" w:type="dxa"/>
            <w:vAlign w:val="bottom"/>
          </w:tcPr>
          <w:p>
            <w:pPr>
              <w:spacing w:after="0"/>
              <w:rPr>
                <w:sz w:val="14"/>
                <w:szCs w:val="14"/>
                <w:color w:val="auto"/>
              </w:rPr>
            </w:pPr>
          </w:p>
        </w:tc>
        <w:tc>
          <w:tcPr>
            <w:tcW w:w="188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rPr>
              <w:t>Months Ended</w:t>
            </w:r>
          </w:p>
        </w:tc>
        <w:tc>
          <w:tcPr>
            <w:tcW w:w="140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Ended</w:t>
            </w:r>
          </w:p>
        </w:tc>
        <w:tc>
          <w:tcPr>
            <w:tcW w:w="16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Months Ended</w:t>
            </w: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8"/>
        </w:trPr>
        <w:tc>
          <w:tcPr>
            <w:tcW w:w="2320" w:type="dxa"/>
            <w:vAlign w:val="bottom"/>
          </w:tcPr>
          <w:p>
            <w:pPr>
              <w:spacing w:after="0"/>
              <w:rPr>
                <w:sz w:val="14"/>
                <w:szCs w:val="14"/>
                <w:color w:val="auto"/>
              </w:rPr>
            </w:pPr>
          </w:p>
        </w:tc>
        <w:tc>
          <w:tcPr>
            <w:tcW w:w="188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rPr>
              <w:t>September 30,</w:t>
            </w:r>
          </w:p>
        </w:tc>
        <w:tc>
          <w:tcPr>
            <w:tcW w:w="14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w w:val="96"/>
              </w:rPr>
              <w:t>December 31,</w:t>
            </w:r>
          </w:p>
        </w:tc>
        <w:tc>
          <w:tcPr>
            <w:tcW w:w="16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September 30,</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For</w:t>
            </w:r>
          </w:p>
        </w:tc>
        <w:tc>
          <w:tcPr>
            <w:tcW w:w="2940" w:type="dxa"/>
            <w:vAlign w:val="bottom"/>
            <w:gridSpan w:val="4"/>
          </w:tcPr>
          <w:p>
            <w:pPr>
              <w:ind w:left="60"/>
              <w:spacing w:after="0" w:line="168" w:lineRule="exact"/>
              <w:rPr>
                <w:sz w:val="20"/>
                <w:szCs w:val="20"/>
                <w:color w:val="auto"/>
              </w:rPr>
            </w:pPr>
            <w:r>
              <w:rPr>
                <w:rFonts w:ascii="Courier New" w:cs="Courier New" w:eastAsia="Courier New" w:hAnsi="Courier New"/>
                <w:sz w:val="15"/>
                <w:szCs w:val="15"/>
                <w:color w:val="auto"/>
              </w:rPr>
              <w:t>the Years Ended December 31,</w:t>
            </w:r>
          </w:p>
        </w:tc>
      </w:tr>
      <w:tr>
        <w:trPr>
          <w:trHeight w:val="168"/>
        </w:trPr>
        <w:tc>
          <w:tcPr>
            <w:tcW w:w="2320" w:type="dxa"/>
            <w:vAlign w:val="bottom"/>
          </w:tcPr>
          <w:p>
            <w:pPr>
              <w:spacing w:after="0"/>
              <w:rPr>
                <w:sz w:val="14"/>
                <w:szCs w:val="14"/>
                <w:color w:val="auto"/>
              </w:rPr>
            </w:pPr>
          </w:p>
        </w:tc>
        <w:tc>
          <w:tcPr>
            <w:tcW w:w="1880" w:type="dxa"/>
            <w:vAlign w:val="bottom"/>
          </w:tcPr>
          <w:p>
            <w:pPr>
              <w:jc w:val="right"/>
              <w:ind w:right="787"/>
              <w:spacing w:after="0" w:line="168" w:lineRule="exact"/>
              <w:rPr>
                <w:sz w:val="20"/>
                <w:szCs w:val="20"/>
                <w:color w:val="auto"/>
              </w:rPr>
            </w:pPr>
            <w:r>
              <w:rPr>
                <w:rFonts w:ascii="Courier New" w:cs="Courier New" w:eastAsia="Courier New" w:hAnsi="Courier New"/>
                <w:sz w:val="15"/>
                <w:szCs w:val="15"/>
                <w:color w:val="auto"/>
              </w:rPr>
              <w:t>2002</w:t>
            </w:r>
          </w:p>
        </w:tc>
        <w:tc>
          <w:tcPr>
            <w:tcW w:w="140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2001</w:t>
            </w:r>
          </w:p>
        </w:tc>
        <w:tc>
          <w:tcPr>
            <w:tcW w:w="166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2002</w:t>
            </w: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2001</w:t>
            </w:r>
          </w:p>
        </w:tc>
        <w:tc>
          <w:tcPr>
            <w:tcW w:w="7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2000</w:t>
            </w:r>
          </w:p>
        </w:tc>
        <w:tc>
          <w:tcPr>
            <w:tcW w:w="8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1999</w:t>
            </w:r>
          </w:p>
        </w:tc>
        <w:tc>
          <w:tcPr>
            <w:tcW w:w="7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1998</w:t>
            </w:r>
          </w:p>
        </w:tc>
        <w:tc>
          <w:tcPr>
            <w:tcW w:w="6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1997</w:t>
            </w:r>
          </w:p>
        </w:tc>
      </w:tr>
      <w:tr>
        <w:trPr>
          <w:trHeight w:val="168"/>
        </w:trPr>
        <w:tc>
          <w:tcPr>
            <w:tcW w:w="2320" w:type="dxa"/>
            <w:vAlign w:val="bottom"/>
          </w:tcPr>
          <w:p>
            <w:pPr>
              <w:spacing w:after="0"/>
              <w:rPr>
                <w:sz w:val="14"/>
                <w:szCs w:val="14"/>
                <w:color w:val="auto"/>
              </w:rPr>
            </w:pPr>
          </w:p>
        </w:tc>
        <w:tc>
          <w:tcPr>
            <w:tcW w:w="188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w w:val="96"/>
              </w:rPr>
              <w:t>------------</w:t>
            </w:r>
          </w:p>
        </w:tc>
        <w:tc>
          <w:tcPr>
            <w:tcW w:w="16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320" w:type="dxa"/>
            <w:vAlign w:val="bottom"/>
          </w:tcPr>
          <w:p>
            <w:pPr>
              <w:spacing w:after="0"/>
              <w:rPr>
                <w:sz w:val="20"/>
                <w:szCs w:val="20"/>
                <w:color w:val="auto"/>
              </w:rPr>
            </w:pPr>
            <w:r>
              <w:rPr>
                <w:rFonts w:ascii="Courier New" w:cs="Courier New" w:eastAsia="Courier New" w:hAnsi="Courier New"/>
                <w:sz w:val="15"/>
                <w:szCs w:val="15"/>
                <w:color w:val="auto"/>
              </w:rPr>
              <w:t>Comcast.................</w:t>
            </w:r>
          </w:p>
        </w:tc>
        <w:tc>
          <w:tcPr>
            <w:tcW w:w="1880" w:type="dxa"/>
            <w:vAlign w:val="bottom"/>
          </w:tcPr>
          <w:p>
            <w:pPr>
              <w:jc w:val="right"/>
              <w:ind w:right="787"/>
              <w:spacing w:after="0"/>
              <w:rPr>
                <w:sz w:val="20"/>
                <w:szCs w:val="20"/>
                <w:color w:val="auto"/>
              </w:rPr>
            </w:pPr>
            <w:r>
              <w:rPr>
                <w:rFonts w:ascii="Courier New" w:cs="Courier New" w:eastAsia="Courier New" w:hAnsi="Courier New"/>
                <w:sz w:val="15"/>
                <w:szCs w:val="15"/>
                <w:color w:val="auto"/>
              </w:rPr>
              <w:t>(k)</w:t>
            </w:r>
          </w:p>
        </w:tc>
        <w:tc>
          <w:tcPr>
            <w:tcW w:w="140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(k)</w:t>
            </w:r>
          </w:p>
        </w:tc>
        <w:tc>
          <w:tcPr>
            <w:tcW w:w="1660" w:type="dxa"/>
            <w:vAlign w:val="bottom"/>
          </w:tcPr>
          <w:p>
            <w:pPr>
              <w:ind w:left="800"/>
              <w:spacing w:after="0"/>
              <w:rPr>
                <w:sz w:val="20"/>
                <w:szCs w:val="20"/>
                <w:color w:val="auto"/>
              </w:rPr>
            </w:pPr>
            <w:r>
              <w:rPr>
                <w:rFonts w:ascii="Courier New" w:cs="Courier New" w:eastAsia="Courier New" w:hAnsi="Courier New"/>
                <w:sz w:val="15"/>
                <w:szCs w:val="15"/>
                <w:color w:val="auto"/>
              </w:rPr>
              <w:t>1.03x</w:t>
            </w: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2.20x</w:t>
            </w:r>
          </w:p>
        </w:tc>
        <w:tc>
          <w:tcPr>
            <w:tcW w:w="7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5.77x</w:t>
            </w:r>
          </w:p>
        </w:tc>
        <w:tc>
          <w:tcPr>
            <w:tcW w:w="8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3.20x</w:t>
            </w:r>
          </w:p>
        </w:tc>
        <w:tc>
          <w:tcPr>
            <w:tcW w:w="7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5.11x</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1.20x</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left="440" w:right="4120" w:hanging="430"/>
        <w:spacing w:after="0" w:line="236" w:lineRule="auto"/>
        <w:tabs>
          <w:tab w:leader="none" w:pos="44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purposes of calculating our pro forma and historical ratios of earnings to combined fixed charges and preferred dividends, earnings consist of income (loss) before income taxes, extraordinary items, cumulative effect of accounting change, minority interest, equity in net (income) losses of affiliate and combined fixed charges and preferred dividends. Combined fixed charges and preferred dividends consist of interest expense, capitalized interest and preferred dividends. For the nine months ended September 30, 2002 and for the year ended December 31, 2001, earnings, as defined above, were inadequate to cover fixed charges by $19.1 billion and $6.0 billion, respectively.</w:t>
      </w:r>
    </w:p>
    <w:p>
      <w:pPr>
        <w:spacing w:after="0" w:line="341" w:lineRule="exact"/>
        <w:rPr>
          <w:sz w:val="20"/>
          <w:szCs w:val="20"/>
          <w:color w:val="auto"/>
        </w:rPr>
      </w:pPr>
    </w:p>
    <w:p>
      <w:pPr>
        <w:jc w:val="center"/>
        <w:ind w:right="4200"/>
        <w:spacing w:after="0"/>
        <w:rPr>
          <w:sz w:val="20"/>
          <w:szCs w:val="20"/>
          <w:color w:val="auto"/>
        </w:rPr>
      </w:pPr>
      <w:r>
        <w:rPr>
          <w:rFonts w:ascii="Courier New" w:cs="Courier New" w:eastAsia="Courier New" w:hAnsi="Courier New"/>
          <w:sz w:val="15"/>
          <w:szCs w:val="15"/>
          <w:color w:val="auto"/>
        </w:rPr>
        <w:t>DESCRIPTION OF THE SENIOR DEBT SECURITIES, SUBORDINATED DEBT SECURITIES</w:t>
      </w:r>
    </w:p>
    <w:p>
      <w:pPr>
        <w:jc w:val="center"/>
        <w:ind w:right="4100"/>
        <w:spacing w:after="0" w:line="237" w:lineRule="auto"/>
        <w:rPr>
          <w:sz w:val="20"/>
          <w:szCs w:val="20"/>
          <w:color w:val="auto"/>
        </w:rPr>
      </w:pPr>
      <w:r>
        <w:rPr>
          <w:rFonts w:ascii="Courier New" w:cs="Courier New" w:eastAsia="Courier New" w:hAnsi="Courier New"/>
          <w:sz w:val="15"/>
          <w:szCs w:val="15"/>
          <w:color w:val="auto"/>
        </w:rPr>
        <w:t>AND CABLE GUARANTEES</w:t>
      </w:r>
    </w:p>
    <w:p>
      <w:pPr>
        <w:spacing w:after="0" w:line="173" w:lineRule="exact"/>
        <w:rPr>
          <w:sz w:val="20"/>
          <w:szCs w:val="20"/>
          <w:color w:val="auto"/>
        </w:rPr>
      </w:pPr>
    </w:p>
    <w:p>
      <w:pPr>
        <w:ind w:right="4200" w:firstLine="437"/>
        <w:spacing w:after="0" w:line="234" w:lineRule="auto"/>
        <w:rPr>
          <w:sz w:val="20"/>
          <w:szCs w:val="20"/>
          <w:color w:val="auto"/>
        </w:rPr>
      </w:pPr>
      <w:r>
        <w:rPr>
          <w:rFonts w:ascii="Courier New" w:cs="Courier New" w:eastAsia="Courier New" w:hAnsi="Courier New"/>
          <w:sz w:val="15"/>
          <w:szCs w:val="15"/>
          <w:color w:val="auto"/>
        </w:rPr>
        <w:t>Our debt securities, consisting of notes, debentures or other evidences of indebtedness, may be issued from time to time in one or more series:</w:t>
      </w:r>
    </w:p>
    <w:p>
      <w:pPr>
        <w:spacing w:after="0" w:line="173" w:lineRule="exact"/>
        <w:rPr>
          <w:sz w:val="20"/>
          <w:szCs w:val="20"/>
          <w:color w:val="auto"/>
        </w:rPr>
      </w:pPr>
    </w:p>
    <w:p>
      <w:pPr>
        <w:jc w:val="both"/>
        <w:ind w:left="800" w:right="4280" w:hanging="353"/>
        <w:spacing w:after="0" w:line="235" w:lineRule="auto"/>
        <w:tabs>
          <w:tab w:leader="none" w:pos="80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case of senior debt securities, under a senior indenture to be entered into among us, the cable guarantors and The Bank of New York, as trustee; and</w:t>
      </w:r>
    </w:p>
    <w:p>
      <w:pPr>
        <w:spacing w:after="0" w:line="173" w:lineRule="exact"/>
        <w:rPr>
          <w:rFonts w:ascii="Courier New" w:cs="Courier New" w:eastAsia="Courier New" w:hAnsi="Courier New"/>
          <w:sz w:val="15"/>
          <w:szCs w:val="15"/>
          <w:color w:val="auto"/>
        </w:rPr>
      </w:pPr>
    </w:p>
    <w:p>
      <w:pPr>
        <w:ind w:left="800" w:right="4460" w:hanging="353"/>
        <w:spacing w:after="0" w:line="235" w:lineRule="auto"/>
        <w:tabs>
          <w:tab w:leader="none" w:pos="80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case of subordinated debt securities, under a subordinated indenture to be entered into among us, the cable guarantors and The Bank of New York, as trustee.</w:t>
      </w:r>
    </w:p>
    <w:p>
      <w:pPr>
        <w:spacing w:after="0" w:line="174" w:lineRule="exact"/>
        <w:rPr>
          <w:sz w:val="20"/>
          <w:szCs w:val="20"/>
          <w:color w:val="auto"/>
        </w:rPr>
      </w:pPr>
    </w:p>
    <w:p>
      <w:pPr>
        <w:ind w:right="4280" w:firstLine="437"/>
        <w:spacing w:after="0" w:line="235" w:lineRule="auto"/>
        <w:rPr>
          <w:sz w:val="20"/>
          <w:szCs w:val="20"/>
          <w:color w:val="auto"/>
        </w:rPr>
      </w:pPr>
      <w:r>
        <w:rPr>
          <w:rFonts w:ascii="Courier New" w:cs="Courier New" w:eastAsia="Courier New" w:hAnsi="Courier New"/>
          <w:sz w:val="15"/>
          <w:szCs w:val="15"/>
          <w:color w:val="auto"/>
        </w:rPr>
        <w:t>The senior indenture and the subordinated indenture will be substantially in the form included as exhibits to the registration statement of which this prospectus is a part.</w:t>
      </w:r>
    </w:p>
    <w:p>
      <w:pPr>
        <w:spacing w:after="0" w:line="174" w:lineRule="exact"/>
        <w:rPr>
          <w:sz w:val="20"/>
          <w:szCs w:val="20"/>
          <w:color w:val="auto"/>
        </w:rPr>
      </w:pPr>
    </w:p>
    <w:p>
      <w:pPr>
        <w:ind w:right="4380" w:firstLine="437"/>
        <w:spacing w:after="0" w:line="236" w:lineRule="auto"/>
        <w:rPr>
          <w:sz w:val="20"/>
          <w:szCs w:val="20"/>
          <w:color w:val="auto"/>
        </w:rPr>
      </w:pPr>
      <w:r>
        <w:rPr>
          <w:rFonts w:ascii="Courier New" w:cs="Courier New" w:eastAsia="Courier New" w:hAnsi="Courier New"/>
          <w:sz w:val="15"/>
          <w:szCs w:val="15"/>
          <w:color w:val="auto"/>
        </w:rPr>
        <w:t>Because the following is only a summary of the indentures and the debt securities, it does not contain all information that you may find useful. For further information about the indentures and the debt securities, you should read the indentures. As used in this Section of the prospectus and under the captions "Description of</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1120"/>
          </w:cols>
          <w:pgMar w:left="220" w:top="792" w:right="559" w:bottom="1440" w:gutter="0" w:footer="0" w:header="0"/>
          <w:type w:val="continuous"/>
        </w:sectPr>
      </w:pPr>
    </w:p>
    <w:bookmarkStart w:id="18" w:name="page19"/>
    <w:bookmarkEnd w:id="18"/>
    <w:p>
      <w:pPr>
        <w:ind w:right="3499"/>
        <w:spacing w:after="0" w:line="235" w:lineRule="auto"/>
        <w:rPr>
          <w:sz w:val="20"/>
          <w:szCs w:val="20"/>
          <w:color w:val="auto"/>
        </w:rPr>
      </w:pPr>
      <w:r>
        <w:rPr>
          <w:rFonts w:ascii="Courier New" w:cs="Courier New" w:eastAsia="Courier New" w:hAnsi="Courier New"/>
          <w:sz w:val="15"/>
          <w:szCs w:val="15"/>
          <w:color w:val="auto"/>
        </w:rPr>
        <w:t>Warrants," "Description of Common Stock," "Description of Purchase Contracts" and "Description of Units," the terms "we," "us" and "our" mean Comcast Corporation only, and not subsidiaries of Comcast Corporation.</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General</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senior debt securities will constitute our unsecured and unsubordinated obligations and the subordinated debt securities will constitute our unsecured and subordinated obligations. A detailed description of the subordination provisions is provided below under the caption "Certain Terms of the Subordinated Debt Securities -- Subordination." In general, however, if we declare bankruptcy, holders of the senior debt securities will be paid in full before the holders of subordinated debt securities will receive anything. The debt securities will be fully and unconditionally guaranteed by the cable guarantors, as described below.</w:t>
      </w:r>
    </w:p>
    <w:p>
      <w:pPr>
        <w:spacing w:after="0" w:line="178"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We are a holding company and conduct all of our operations through subsidiaries. Consequently, our ability to pay our obligations, including our obligation to pay interest on the debt securities, to repay the principal amount of the debt securities at maturity or upon redemption or to buy back the debt securities will depend upon our subsidiaries' earnings and their distributing those earnings to us and upon our subsidiaries repaying investments and advances we have made to them. Our subsidiaries are separate and distinct legal entities and, except for the cable guarantors with respect to the cable guarantees, have no obligation, contingent or otherwise, to pay any amounts due on the debt securities or to make funds available to us to do so. Our subsidiaries' ability to pay dividends or make other payments or advances to us will depend upon their operating results and will be subject to applicable laws and contractual restrictions. In addition, some of our subsidiaries' existing indentures require them to maintain financial ratios and cash flow levels and contain restrictions on their ability to make dividend payments, pay management fees and make advances to affiliated entities, including us. Our indentures will not limit our subsidiaries' ability to enter into other agreements that prohibit or restrict dividends or other payments or advances to us.</w:t>
      </w:r>
    </w:p>
    <w:p>
      <w:pPr>
        <w:spacing w:after="0" w:line="331" w:lineRule="exact"/>
        <w:rPr>
          <w:sz w:val="20"/>
          <w:szCs w:val="20"/>
          <w:color w:val="auto"/>
        </w:rPr>
      </w:pPr>
    </w:p>
    <w:p>
      <w:pPr>
        <w:ind w:right="3399" w:firstLine="437"/>
        <w:spacing w:after="0" w:line="234" w:lineRule="auto"/>
        <w:rPr>
          <w:sz w:val="20"/>
          <w:szCs w:val="20"/>
          <w:color w:val="auto"/>
        </w:rPr>
      </w:pPr>
      <w:r>
        <w:rPr>
          <w:rFonts w:ascii="Courier New" w:cs="Courier New" w:eastAsia="Courier New" w:hAnsi="Courier New"/>
          <w:sz w:val="15"/>
          <w:szCs w:val="15"/>
          <w:color w:val="auto"/>
        </w:rPr>
        <w:t>You should look in the applicable prospectus supplement for the following terms of the debt securities being offered:</w:t>
      </w:r>
    </w:p>
    <w:p>
      <w:pPr>
        <w:spacing w:after="0" w:line="167" w:lineRule="exact"/>
        <w:rPr>
          <w:sz w:val="20"/>
          <w:szCs w:val="20"/>
          <w:color w:val="auto"/>
        </w:rPr>
      </w:pPr>
    </w:p>
    <w:p>
      <w:pPr>
        <w:ind w:left="800" w:hanging="353"/>
        <w:spacing w:after="0"/>
        <w:tabs>
          <w:tab w:leader="none" w:pos="800"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designation of the debt securities;</w:t>
      </w:r>
    </w:p>
    <w:p>
      <w:pPr>
        <w:spacing w:after="0" w:line="166" w:lineRule="exact"/>
        <w:rPr>
          <w:rFonts w:ascii="Courier New" w:cs="Courier New" w:eastAsia="Courier New" w:hAnsi="Courier New"/>
          <w:sz w:val="15"/>
          <w:szCs w:val="15"/>
          <w:color w:val="auto"/>
        </w:rPr>
      </w:pPr>
    </w:p>
    <w:p>
      <w:pPr>
        <w:ind w:left="800" w:hanging="353"/>
        <w:spacing w:after="0"/>
        <w:tabs>
          <w:tab w:leader="none" w:pos="800"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aggregate principal amount of the debt securities;</w:t>
      </w:r>
    </w:p>
    <w:p>
      <w:pPr>
        <w:spacing w:after="0" w:line="172" w:lineRule="exact"/>
        <w:rPr>
          <w:rFonts w:ascii="Courier New" w:cs="Courier New" w:eastAsia="Courier New" w:hAnsi="Courier New"/>
          <w:sz w:val="15"/>
          <w:szCs w:val="15"/>
          <w:color w:val="auto"/>
        </w:rPr>
      </w:pPr>
    </w:p>
    <w:p>
      <w:pPr>
        <w:ind w:left="800" w:right="3679" w:hanging="353"/>
        <w:spacing w:after="0" w:line="234" w:lineRule="auto"/>
        <w:tabs>
          <w:tab w:leader="none" w:pos="800"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percentage of their principal amount (i.e. price) at which the debt securities will be issued;</w:t>
      </w:r>
    </w:p>
    <w:p>
      <w:pPr>
        <w:spacing w:after="0" w:line="173" w:lineRule="exact"/>
        <w:rPr>
          <w:rFonts w:ascii="Courier New" w:cs="Courier New" w:eastAsia="Courier New" w:hAnsi="Courier New"/>
          <w:sz w:val="15"/>
          <w:szCs w:val="15"/>
          <w:color w:val="auto"/>
        </w:rPr>
      </w:pPr>
    </w:p>
    <w:p>
      <w:pPr>
        <w:ind w:left="800" w:right="3679" w:hanging="353"/>
        <w:spacing w:after="0" w:line="234" w:lineRule="auto"/>
        <w:tabs>
          <w:tab w:leader="none" w:pos="800"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date or dates on which the debt securities will mature and the right, if any, to extend such date or dates;</w:t>
      </w:r>
    </w:p>
    <w:p>
      <w:pPr>
        <w:spacing w:after="0" w:line="173" w:lineRule="exact"/>
        <w:rPr>
          <w:rFonts w:ascii="Courier New" w:cs="Courier New" w:eastAsia="Courier New" w:hAnsi="Courier New"/>
          <w:sz w:val="15"/>
          <w:szCs w:val="15"/>
          <w:color w:val="auto"/>
        </w:rPr>
      </w:pPr>
    </w:p>
    <w:p>
      <w:pPr>
        <w:ind w:left="800" w:right="3319" w:hanging="353"/>
        <w:spacing w:after="0" w:line="261" w:lineRule="auto"/>
        <w:tabs>
          <w:tab w:leader="none" w:pos="800"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rate or rates, if any, per year, at which the debt securities will bear interest, or the method of determining such rate or rates;</w:t>
      </w:r>
    </w:p>
    <w:p>
      <w:pPr>
        <w:spacing w:after="0" w:line="159" w:lineRule="exact"/>
        <w:rPr>
          <w:rFonts w:ascii="Courier New" w:cs="Courier New" w:eastAsia="Courier New" w:hAnsi="Courier New"/>
          <w:sz w:val="14"/>
          <w:szCs w:val="14"/>
          <w:color w:val="auto"/>
        </w:rPr>
      </w:pPr>
    </w:p>
    <w:p>
      <w:pPr>
        <w:ind w:left="800" w:right="3399" w:hanging="353"/>
        <w:spacing w:after="0" w:line="236" w:lineRule="auto"/>
        <w:tabs>
          <w:tab w:leader="none" w:pos="800"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date or dates from which such interest will accrue, the interest payment dates on which such interest will be payable or the manner of determination of such interest payment dates and the record dates for the determination of holders to whom interest is payable on any interest payment dates;</w:t>
      </w:r>
    </w:p>
    <w:p>
      <w:pPr>
        <w:spacing w:after="0" w:line="173" w:lineRule="exact"/>
        <w:rPr>
          <w:rFonts w:ascii="Courier New" w:cs="Courier New" w:eastAsia="Courier New" w:hAnsi="Courier New"/>
          <w:sz w:val="15"/>
          <w:szCs w:val="15"/>
          <w:color w:val="auto"/>
        </w:rPr>
      </w:pPr>
    </w:p>
    <w:p>
      <w:pPr>
        <w:ind w:left="800" w:right="3759" w:hanging="353"/>
        <w:spacing w:after="0" w:line="234" w:lineRule="auto"/>
        <w:tabs>
          <w:tab w:leader="none" w:pos="800"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right, if any, to extend the interest payment periods and the duration of that extension;</w:t>
      </w:r>
    </w:p>
    <w:p>
      <w:pPr>
        <w:spacing w:after="0" w:line="173" w:lineRule="exact"/>
        <w:rPr>
          <w:rFonts w:ascii="Courier New" w:cs="Courier New" w:eastAsia="Courier New" w:hAnsi="Courier New"/>
          <w:sz w:val="15"/>
          <w:szCs w:val="15"/>
          <w:color w:val="auto"/>
        </w:rPr>
      </w:pPr>
    </w:p>
    <w:p>
      <w:pPr>
        <w:ind w:left="800" w:hanging="353"/>
        <w:spacing w:after="0"/>
        <w:tabs>
          <w:tab w:leader="none" w:pos="800"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provisions for a sinking fund purchase or other analogous fund, if any;</w:t>
      </w:r>
    </w:p>
    <w:p>
      <w:pPr>
        <w:spacing w:after="0" w:line="177" w:lineRule="exact"/>
        <w:rPr>
          <w:rFonts w:ascii="Courier New" w:cs="Courier New" w:eastAsia="Courier New" w:hAnsi="Courier New"/>
          <w:sz w:val="14"/>
          <w:szCs w:val="14"/>
          <w:color w:val="auto"/>
        </w:rPr>
      </w:pPr>
    </w:p>
    <w:p>
      <w:pPr>
        <w:ind w:left="800" w:right="3319" w:hanging="353"/>
        <w:spacing w:after="0" w:line="258" w:lineRule="auto"/>
        <w:tabs>
          <w:tab w:leader="none" w:pos="800"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period or periods, if any, within which, the price or prices of which, and the terms and conditions upon which the debt securities may be redeemed, in whole or in part, at our option or at your option;</w:t>
      </w:r>
    </w:p>
    <w:p>
      <w:pPr>
        <w:spacing w:after="0" w:line="154" w:lineRule="exact"/>
        <w:rPr>
          <w:rFonts w:ascii="Courier New" w:cs="Courier New" w:eastAsia="Courier New" w:hAnsi="Courier New"/>
          <w:sz w:val="14"/>
          <w:szCs w:val="14"/>
          <w:color w:val="auto"/>
        </w:rPr>
      </w:pPr>
    </w:p>
    <w:p>
      <w:pPr>
        <w:ind w:left="800" w:hanging="353"/>
        <w:spacing w:after="0"/>
        <w:tabs>
          <w:tab w:leader="none" w:pos="800"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form of the debt securities;</w:t>
      </w:r>
    </w:p>
    <w:p>
      <w:pPr>
        <w:spacing w:after="0" w:line="172" w:lineRule="exact"/>
        <w:rPr>
          <w:rFonts w:ascii="Courier New" w:cs="Courier New" w:eastAsia="Courier New" w:hAnsi="Courier New"/>
          <w:sz w:val="15"/>
          <w:szCs w:val="15"/>
          <w:color w:val="auto"/>
        </w:rPr>
      </w:pPr>
    </w:p>
    <w:p>
      <w:pPr>
        <w:ind w:left="800" w:right="3579" w:hanging="353"/>
        <w:spacing w:after="0" w:line="235" w:lineRule="auto"/>
        <w:tabs>
          <w:tab w:leader="none" w:pos="800"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provisions for payment of additional amounts for taxes and any provision for redemption, if we must pay such additional amounts in respect of any debt security;</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39"/>
          </w:cols>
          <w:pgMar w:left="220" w:top="792" w:right="1440" w:bottom="1440" w:gutter="0" w:footer="0" w:header="0"/>
        </w:sectPr>
      </w:pPr>
    </w:p>
    <w:bookmarkStart w:id="19" w:name="page20"/>
    <w:bookmarkEnd w:id="19"/>
    <w:p>
      <w:pPr>
        <w:ind w:left="800" w:right="3399" w:hanging="353"/>
        <w:spacing w:after="0" w:line="258" w:lineRule="auto"/>
        <w:tabs>
          <w:tab w:leader="none" w:pos="800" w:val="left"/>
        </w:tabs>
        <w:numPr>
          <w:ilvl w:val="0"/>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terms and conditions, if any, upon which we may have to repay the debt securities early at your option and the price or prices in the currency or currency unit in which the debt securities are payable;</w:t>
      </w:r>
    </w:p>
    <w:p>
      <w:pPr>
        <w:spacing w:after="0" w:line="161" w:lineRule="exact"/>
        <w:rPr>
          <w:rFonts w:ascii="Courier New" w:cs="Courier New" w:eastAsia="Courier New" w:hAnsi="Courier New"/>
          <w:sz w:val="14"/>
          <w:szCs w:val="14"/>
          <w:color w:val="auto"/>
        </w:rPr>
      </w:pPr>
    </w:p>
    <w:p>
      <w:pPr>
        <w:ind w:left="800" w:right="3399" w:hanging="353"/>
        <w:spacing w:after="0" w:line="235" w:lineRule="auto"/>
        <w:tabs>
          <w:tab w:leader="none" w:pos="800"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currency, currencies or currency units for which you may purchase the debt securities and the currency, currencies or currency units in which principal and interest, if any, on the debt securities may be payable;</w:t>
      </w:r>
    </w:p>
    <w:p>
      <w:pPr>
        <w:spacing w:after="0" w:line="175" w:lineRule="exact"/>
        <w:rPr>
          <w:rFonts w:ascii="Courier New" w:cs="Courier New" w:eastAsia="Courier New" w:hAnsi="Courier New"/>
          <w:sz w:val="15"/>
          <w:szCs w:val="15"/>
          <w:color w:val="auto"/>
        </w:rPr>
      </w:pPr>
    </w:p>
    <w:p>
      <w:pPr>
        <w:ind w:left="800" w:right="3239" w:hanging="353"/>
        <w:spacing w:after="0" w:line="235" w:lineRule="auto"/>
        <w:tabs>
          <w:tab w:leader="none" w:pos="800"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terms and conditions, if any, pursuant to which the debt securities may be converted or exchanged for the cash value of other securities issued by us or by a third party; and</w:t>
      </w:r>
    </w:p>
    <w:p>
      <w:pPr>
        <w:spacing w:after="0" w:line="173" w:lineRule="exact"/>
        <w:rPr>
          <w:rFonts w:ascii="Courier New" w:cs="Courier New" w:eastAsia="Courier New" w:hAnsi="Courier New"/>
          <w:sz w:val="15"/>
          <w:szCs w:val="15"/>
          <w:color w:val="auto"/>
        </w:rPr>
      </w:pPr>
    </w:p>
    <w:p>
      <w:pPr>
        <w:ind w:left="800" w:right="3239" w:hanging="353"/>
        <w:spacing w:after="0" w:line="235" w:lineRule="auto"/>
        <w:tabs>
          <w:tab w:leader="none" w:pos="800"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other terms of the debt securities, including any additional events of default or covenants provided for with respect to the debt securities, and any terms which may be required by or advisable under applicable laws or regulations.</w:t>
      </w:r>
    </w:p>
    <w:p>
      <w:pPr>
        <w:spacing w:after="0" w:line="175"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You may present debt securities for exchange and for transfer in the manner, at the places and subject to the restrictions set forth in the debt securities and the prospectus supplement. We will provide you those services without charge, although you may have to pay any tax or other governmental charge payable in connection with any exchange or transfer, as set forth in the indenture.</w:t>
      </w:r>
    </w:p>
    <w:p>
      <w:pPr>
        <w:spacing w:after="0" w:line="175"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Debt securities will bear interest at a fixed rate or a floating rate. Debt securities bearing no interest or interest at a rate that at the time of issuance is below the prevailing market rate may be sold at a discount below their stated principal amount. Special United States federal income tax considerations applicable to any such discounted debt securities or to certain debt securities issued at par which are treated as having been issued at a discount for United States federal income tax purposes will be described in the relevant prospectus supplement.</w:t>
      </w:r>
    </w:p>
    <w:p>
      <w:pPr>
        <w:spacing w:after="0" w:line="177"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We may issue debt securities with the principal amount payable on any principal payment date, or the amount of interest payable on any interest payment date, to be determined by reference to one or more currency exchange rates, securities or baskets of securities, commodity prices or indices. You may receive a payment of principal on any principal payment date, or a payment of interest on any interest payment date, that is greater than or less than the amount of principal or interest otherwise payable on such dates, depending upon the value on such dates of the applicable currency, security or basket of securities, commodity or index. Information as to the methods for determining the amount of principal or interest payable on any date, the currencies, securities or baskets of securities, commodities or indices to which the amount payable on such date is linked and certain additional tax considerations will be set forth in the applicable prospectus supplement.</w:t>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Certain Terms of the Senior Debt Securities</w:t>
      </w:r>
    </w:p>
    <w:p>
      <w:pPr>
        <w:spacing w:after="0" w:line="166" w:lineRule="exact"/>
        <w:rPr>
          <w:sz w:val="20"/>
          <w:szCs w:val="20"/>
          <w:color w:val="auto"/>
        </w:rPr>
      </w:pPr>
    </w:p>
    <w:p>
      <w:pPr>
        <w:ind w:left="280"/>
        <w:spacing w:after="0"/>
        <w:rPr>
          <w:sz w:val="20"/>
          <w:szCs w:val="20"/>
          <w:color w:val="auto"/>
        </w:rPr>
      </w:pPr>
      <w:r>
        <w:rPr>
          <w:rFonts w:ascii="Courier New" w:cs="Courier New" w:eastAsia="Courier New" w:hAnsi="Courier New"/>
          <w:sz w:val="15"/>
          <w:szCs w:val="15"/>
          <w:color w:val="auto"/>
        </w:rPr>
        <w:t>Cable Guarantees</w:t>
      </w:r>
    </w:p>
    <w:p>
      <w:pPr>
        <w:spacing w:after="0" w:line="173"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Our obligations under the senior debt securities, including the payment of principal, premium, if any, and interest, will be fully and unconditionally guaranteed by each of the cable guarantors. The cable guarantees will rank equally with all other general unsecured and unsubordinated obligations of the cable guarantors.</w:t>
      </w:r>
    </w:p>
    <w:p>
      <w:pPr>
        <w:spacing w:after="0" w:line="174" w:lineRule="exact"/>
        <w:rPr>
          <w:sz w:val="20"/>
          <w:szCs w:val="20"/>
          <w:color w:val="auto"/>
        </w:rPr>
      </w:pPr>
    </w:p>
    <w:p>
      <w:pPr>
        <w:ind w:right="3499" w:firstLine="437"/>
        <w:spacing w:after="0" w:line="234" w:lineRule="auto"/>
        <w:rPr>
          <w:sz w:val="20"/>
          <w:szCs w:val="20"/>
          <w:color w:val="auto"/>
        </w:rPr>
      </w:pPr>
      <w:r>
        <w:rPr>
          <w:rFonts w:ascii="Courier New" w:cs="Courier New" w:eastAsia="Courier New" w:hAnsi="Courier New"/>
          <w:sz w:val="15"/>
          <w:szCs w:val="15"/>
          <w:color w:val="auto"/>
        </w:rPr>
        <w:t>The cable guarantees will not contain any restrictions on the ability of any cable guarantor to:</w:t>
      </w:r>
    </w:p>
    <w:p>
      <w:pPr>
        <w:spacing w:after="0" w:line="173" w:lineRule="exact"/>
        <w:rPr>
          <w:sz w:val="20"/>
          <w:szCs w:val="20"/>
          <w:color w:val="auto"/>
        </w:rPr>
      </w:pPr>
    </w:p>
    <w:p>
      <w:pPr>
        <w:ind w:left="800" w:right="3579" w:hanging="353"/>
        <w:spacing w:after="0" w:line="235" w:lineRule="auto"/>
        <w:tabs>
          <w:tab w:leader="none" w:pos="800"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pay dividends or distributions on, or redeem, purchase, acquire, or make a liquidation payment with respect to, any of that cable guarantor's capital stock or</w:t>
      </w:r>
    </w:p>
    <w:p>
      <w:pPr>
        <w:spacing w:after="0" w:line="173" w:lineRule="exact"/>
        <w:rPr>
          <w:rFonts w:ascii="Courier New" w:cs="Courier New" w:eastAsia="Courier New" w:hAnsi="Courier New"/>
          <w:sz w:val="15"/>
          <w:szCs w:val="15"/>
          <w:color w:val="auto"/>
        </w:rPr>
      </w:pPr>
    </w:p>
    <w:p>
      <w:pPr>
        <w:ind w:left="800" w:right="3759" w:hanging="353"/>
        <w:spacing w:after="0" w:line="235" w:lineRule="auto"/>
        <w:tabs>
          <w:tab w:leader="none" w:pos="800"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make any payment of principal, interest or premium, if any, on or repay, repurchase or redeem any debt securities of that cable guarantor.</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39"/>
          </w:cols>
          <w:pgMar w:left="220" w:top="792" w:right="1440" w:bottom="1440" w:gutter="0" w:footer="0" w:header="0"/>
        </w:sectPr>
      </w:pPr>
    </w:p>
    <w:bookmarkStart w:id="20" w:name="page21"/>
    <w:bookmarkEnd w:id="20"/>
    <w:p>
      <w:pPr>
        <w:ind w:left="280"/>
        <w:spacing w:after="0"/>
        <w:rPr>
          <w:sz w:val="20"/>
          <w:szCs w:val="20"/>
          <w:color w:val="auto"/>
        </w:rPr>
      </w:pPr>
      <w:r>
        <w:rPr>
          <w:rFonts w:ascii="Courier New" w:cs="Courier New" w:eastAsia="Courier New" w:hAnsi="Courier New"/>
          <w:sz w:val="15"/>
          <w:szCs w:val="15"/>
          <w:color w:val="auto"/>
        </w:rPr>
        <w:t>Certain Covenants</w:t>
      </w:r>
    </w:p>
    <w:p>
      <w:pPr>
        <w:spacing w:after="0" w:line="173" w:lineRule="exact"/>
        <w:rPr>
          <w:sz w:val="20"/>
          <w:szCs w:val="20"/>
          <w:color w:val="auto"/>
        </w:rPr>
      </w:pPr>
    </w:p>
    <w:p>
      <w:pPr>
        <w:ind w:right="3499" w:firstLine="437"/>
        <w:spacing w:after="0" w:line="236" w:lineRule="auto"/>
        <w:rPr>
          <w:sz w:val="20"/>
          <w:szCs w:val="20"/>
          <w:color w:val="auto"/>
        </w:rPr>
      </w:pPr>
      <w:r>
        <w:rPr>
          <w:rFonts w:ascii="Courier New" w:cs="Courier New" w:eastAsia="Courier New" w:hAnsi="Courier New"/>
          <w:sz w:val="15"/>
          <w:szCs w:val="15"/>
          <w:color w:val="auto"/>
        </w:rPr>
        <w:t>We and the cable guarantors will agree to some restrictions on our activities for the benefit of holders of all series of senior debt securities issued under the senior indenture. The restrictive covenants summarized below will apply, unless the covenants are waived or amended, so long as any of the senior debt securities are outstanding.</w:t>
      </w:r>
    </w:p>
    <w:p>
      <w:pPr>
        <w:spacing w:after="0" w:line="174"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The senior indenture will not contain any financial covenants other than those summarized below and will not restrict us or our subsidiaries from paying dividends or incurring additional debt. In addition, the senior indenture will not protect holders of notes issued under it in the event of a highly leveraged transaction or a change in control.</w:t>
      </w:r>
    </w:p>
    <w:p>
      <w:pPr>
        <w:spacing w:after="0" w:line="174"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Limitation on Liens Securing Indebtedness. Neither we nor any cable guarantor shall create, incur or assume any Lien (other than any Permitted Lien) on such person's assets, including the Capital Stock of such person's wholly-owned subsidiaries' to secure the payment of our Indebtedness or that of any cable guarantor, unless we secure the outstanding senior debt securities or cable guarantee, as the case may be, equally and ratably with (or prior to) all Indebtedness secured by such Lien, so long as such Indebtedness shall be so secured.</w:t>
      </w:r>
    </w:p>
    <w:p>
      <w:pPr>
        <w:spacing w:after="0" w:line="177"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Limitation on Sale and Leaseback Transactions. Neither we nor any cable guarantor shall enter into any Sale and Leaseback Transaction involving any of such person's assets, including the Capital Stock of such person's wholly-owned subsidiaries.</w:t>
      </w:r>
    </w:p>
    <w:p>
      <w:pPr>
        <w:spacing w:after="0" w:line="17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The restriction in the foregoing paragraph shall not apply to any Sale and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Leaseback Transaction if:</w:t>
      </w:r>
    </w:p>
    <w:p>
      <w:pPr>
        <w:spacing w:after="0" w:line="173" w:lineRule="exact"/>
        <w:rPr>
          <w:sz w:val="20"/>
          <w:szCs w:val="20"/>
          <w:color w:val="auto"/>
        </w:rPr>
      </w:pPr>
    </w:p>
    <w:p>
      <w:pPr>
        <w:ind w:left="800" w:right="3759" w:hanging="353"/>
        <w:spacing w:after="0" w:line="234" w:lineRule="auto"/>
        <w:tabs>
          <w:tab w:leader="none" w:pos="80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lease is for a period not in excess of three years, including renewal of rights;</w:t>
      </w:r>
    </w:p>
    <w:p>
      <w:pPr>
        <w:spacing w:after="0" w:line="173" w:lineRule="exact"/>
        <w:rPr>
          <w:rFonts w:ascii="Courier New" w:cs="Courier New" w:eastAsia="Courier New" w:hAnsi="Courier New"/>
          <w:sz w:val="15"/>
          <w:szCs w:val="15"/>
          <w:color w:val="auto"/>
        </w:rPr>
      </w:pPr>
    </w:p>
    <w:p>
      <w:pPr>
        <w:ind w:left="800" w:right="4099" w:hanging="353"/>
        <w:spacing w:after="0" w:line="234" w:lineRule="auto"/>
        <w:tabs>
          <w:tab w:leader="none" w:pos="80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lease secures or relates to industrial revenue or similar financing;</w:t>
      </w:r>
    </w:p>
    <w:p>
      <w:pPr>
        <w:spacing w:after="0" w:line="173" w:lineRule="exact"/>
        <w:rPr>
          <w:rFonts w:ascii="Courier New" w:cs="Courier New" w:eastAsia="Courier New" w:hAnsi="Courier New"/>
          <w:sz w:val="15"/>
          <w:szCs w:val="15"/>
          <w:color w:val="auto"/>
        </w:rPr>
      </w:pPr>
    </w:p>
    <w:p>
      <w:pPr>
        <w:ind w:left="800" w:right="3399" w:hanging="353"/>
        <w:spacing w:after="0" w:line="234" w:lineRule="auto"/>
        <w:tabs>
          <w:tab w:leader="none" w:pos="80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transaction is solely between us and a cable guarantor or between or among cable guarantors; or</w:t>
      </w:r>
    </w:p>
    <w:p>
      <w:pPr>
        <w:spacing w:after="0" w:line="173" w:lineRule="exact"/>
        <w:rPr>
          <w:rFonts w:ascii="Courier New" w:cs="Courier New" w:eastAsia="Courier New" w:hAnsi="Courier New"/>
          <w:sz w:val="15"/>
          <w:szCs w:val="15"/>
          <w:color w:val="auto"/>
        </w:rPr>
      </w:pPr>
    </w:p>
    <w:p>
      <w:pPr>
        <w:ind w:left="800" w:right="3239" w:hanging="353"/>
        <w:spacing w:after="0" w:line="236" w:lineRule="auto"/>
        <w:tabs>
          <w:tab w:leader="none" w:pos="80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 or the applicable cable guarantor, within 270 days after the sale is completed, applies an amount equal to or greater than (a) the net proceeds of the sale of the assets or part thereof leased or (b) the fair market value of the assets or part thereof leased (as determined in good faith by our Board of Directors) either to:</w:t>
      </w:r>
    </w:p>
    <w:p>
      <w:pPr>
        <w:spacing w:after="0" w:line="174" w:lineRule="exact"/>
        <w:rPr>
          <w:sz w:val="20"/>
          <w:szCs w:val="20"/>
          <w:color w:val="auto"/>
        </w:rPr>
      </w:pPr>
    </w:p>
    <w:p>
      <w:pPr>
        <w:ind w:left="1240" w:right="3399" w:hanging="356"/>
        <w:spacing w:after="0" w:line="235" w:lineRule="auto"/>
        <w:tabs>
          <w:tab w:leader="none" w:pos="1240"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retirement (or open market purchase) of senior debt securities, our other long-term Indebtedness ranking on a parity with or senior to the senior debt securities or long-term Indebtedness of a cable guarantor; or</w:t>
      </w:r>
    </w:p>
    <w:p>
      <w:pPr>
        <w:spacing w:after="0" w:line="175" w:lineRule="exact"/>
        <w:rPr>
          <w:rFonts w:ascii="Courier New" w:cs="Courier New" w:eastAsia="Courier New" w:hAnsi="Courier New"/>
          <w:sz w:val="15"/>
          <w:szCs w:val="15"/>
          <w:color w:val="auto"/>
        </w:rPr>
      </w:pPr>
    </w:p>
    <w:p>
      <w:pPr>
        <w:ind w:left="1240" w:right="3239" w:hanging="356"/>
        <w:spacing w:after="0" w:line="235" w:lineRule="auto"/>
        <w:tabs>
          <w:tab w:leader="none" w:pos="1240"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purchase by us or any cable guarantor of other property, plant or equipment related to our business or the business of any cable guarantor having a value at least equal to the value of the assets or part thereof leased.</w:t>
      </w:r>
    </w:p>
    <w:p>
      <w:pPr>
        <w:spacing w:after="0" w:line="175" w:lineRule="exact"/>
        <w:rPr>
          <w:sz w:val="20"/>
          <w:szCs w:val="20"/>
          <w:color w:val="auto"/>
        </w:rPr>
      </w:pPr>
    </w:p>
    <w:p>
      <w:pPr>
        <w:jc w:val="both"/>
        <w:ind w:right="3499" w:firstLine="437"/>
        <w:spacing w:after="0" w:line="235" w:lineRule="auto"/>
        <w:rPr>
          <w:sz w:val="20"/>
          <w:szCs w:val="20"/>
          <w:color w:val="auto"/>
        </w:rPr>
      </w:pPr>
      <w:r>
        <w:rPr>
          <w:rFonts w:ascii="Courier New" w:cs="Courier New" w:eastAsia="Courier New" w:hAnsi="Courier New"/>
          <w:sz w:val="15"/>
          <w:szCs w:val="15"/>
          <w:color w:val="auto"/>
        </w:rPr>
        <w:t>This provision and the provision described under "-- Limitation on Liens Securing Indebtedness" do not apply to any of our subsidiaries other than the cable guarantors.</w:t>
      </w:r>
    </w:p>
    <w:p>
      <w:pPr>
        <w:spacing w:after="0" w:line="174" w:lineRule="exact"/>
        <w:rPr>
          <w:sz w:val="20"/>
          <w:szCs w:val="20"/>
          <w:color w:val="auto"/>
        </w:rPr>
      </w:pPr>
    </w:p>
    <w:p>
      <w:pPr>
        <w:jc w:val="both"/>
        <w:ind w:right="3579" w:firstLine="437"/>
        <w:spacing w:after="0" w:line="236" w:lineRule="auto"/>
        <w:rPr>
          <w:sz w:val="20"/>
          <w:szCs w:val="20"/>
          <w:color w:val="auto"/>
        </w:rPr>
      </w:pPr>
      <w:r>
        <w:rPr>
          <w:rFonts w:ascii="Courier New" w:cs="Courier New" w:eastAsia="Courier New" w:hAnsi="Courier New"/>
          <w:sz w:val="15"/>
          <w:szCs w:val="15"/>
          <w:color w:val="auto"/>
        </w:rPr>
        <w:t>"Capitalized Lease" means, as applied to any person, any lease of any property (whether real, personal, or mixed) of which the discounted present value of the rental obligations of such person as lessee, in conformity with GAAP, is required to be capitalized on the balance sheet of such person; and "Capitalized Lease Obligation" is defined to mean the rental obligations, as aforesaid, under such lease.</w:t>
      </w:r>
    </w:p>
    <w:p>
      <w:pPr>
        <w:spacing w:after="0" w:line="175" w:lineRule="exact"/>
        <w:rPr>
          <w:sz w:val="20"/>
          <w:szCs w:val="20"/>
          <w:color w:val="auto"/>
        </w:rPr>
      </w:pPr>
    </w:p>
    <w:p>
      <w:pPr>
        <w:ind w:right="3579" w:firstLine="437"/>
        <w:spacing w:after="0" w:line="256" w:lineRule="auto"/>
        <w:rPr>
          <w:sz w:val="20"/>
          <w:szCs w:val="20"/>
          <w:color w:val="auto"/>
        </w:rPr>
      </w:pPr>
      <w:r>
        <w:rPr>
          <w:rFonts w:ascii="Courier New" w:cs="Courier New" w:eastAsia="Courier New" w:hAnsi="Courier New"/>
          <w:sz w:val="14"/>
          <w:szCs w:val="14"/>
          <w:color w:val="auto"/>
        </w:rPr>
        <w:t>"Capital Stock" means, with respect to any person, any and all shares, interests, participations, or other equivalents (however designated, whether voting or non-voting) of such person's capital stock or other ownership interests, whether now outstanding or issued after the date of hereof, including, without limitation, all common stock and preferred stock.</w:t>
      </w:r>
    </w:p>
    <w:p>
      <w:pPr>
        <w:spacing w:after="0" w:line="163"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"Currency Agreement" means any foreign exchange contract, currency swap agreement, or other similar agreement or arrangement designed to protect against the fluctuation in currency values.</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39"/>
          </w:cols>
          <w:pgMar w:left="220" w:top="785" w:right="1440" w:bottom="1440" w:gutter="0" w:footer="0" w:header="0"/>
        </w:sectPr>
      </w:pPr>
    </w:p>
    <w:bookmarkStart w:id="21" w:name="page22"/>
    <w:bookmarkEnd w:id="21"/>
    <w:p>
      <w:pPr>
        <w:ind w:right="3239" w:firstLine="437"/>
        <w:spacing w:after="0" w:line="236" w:lineRule="auto"/>
        <w:rPr>
          <w:sz w:val="20"/>
          <w:szCs w:val="20"/>
          <w:color w:val="auto"/>
        </w:rPr>
      </w:pPr>
      <w:r>
        <w:rPr>
          <w:rFonts w:ascii="Courier New" w:cs="Courier New" w:eastAsia="Courier New" w:hAnsi="Courier New"/>
          <w:sz w:val="15"/>
          <w:szCs w:val="15"/>
          <w:color w:val="auto"/>
        </w:rPr>
        <w:t>"GAAP" means generally accepted accounting principles in the United States of America as in effect as of the date of determination, including, without limitation, those set forth in the opinions and pronouncements of the Accounting Principles Board of the American Institute of Certified Public Accountants and statements and pronouncements of the Financial Accounting Standards Board or in such other statements by such other entity as approved by a significant segment of the accounting profession. All ratios and computations contained in the senior indenture shall be computed in conformity with GAAP applied on a consistent basis.</w:t>
      </w:r>
    </w:p>
    <w:p>
      <w:pPr>
        <w:spacing w:after="0" w:line="178"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"Guarantee" means any obligation, contingent or otherwise, of any person directly or indirectly guaranteeing any Indebtedness or other obligation of any other person and, without limiting the generality of the foregoing, any obligation, direct or indirect, contingent or otherwise, of such person:</w:t>
      </w:r>
    </w:p>
    <w:p>
      <w:pPr>
        <w:spacing w:after="0" w:line="175" w:lineRule="exact"/>
        <w:rPr>
          <w:sz w:val="20"/>
          <w:szCs w:val="20"/>
          <w:color w:val="auto"/>
        </w:rPr>
      </w:pPr>
    </w:p>
    <w:p>
      <w:pPr>
        <w:ind w:left="800" w:right="3239" w:hanging="353"/>
        <w:spacing w:after="0" w:line="236" w:lineRule="auto"/>
        <w:tabs>
          <w:tab w:leader="none" w:pos="800"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purchase or pay (or advance or supply funds for the purchase or payment of) such Indebtedness or other obligation of such other person (whether arising by virtue of partnership arrangements, or by agreement to keep-well, to purchase assets, goods, securities, or services, to take-or-pay, or to maintain financial statement conditions or otherwise); or</w:t>
      </w:r>
    </w:p>
    <w:p>
      <w:pPr>
        <w:spacing w:after="0" w:line="174" w:lineRule="exact"/>
        <w:rPr>
          <w:rFonts w:ascii="Courier New" w:cs="Courier New" w:eastAsia="Courier New" w:hAnsi="Courier New"/>
          <w:sz w:val="15"/>
          <w:szCs w:val="15"/>
          <w:color w:val="auto"/>
        </w:rPr>
      </w:pPr>
    </w:p>
    <w:p>
      <w:pPr>
        <w:ind w:left="800" w:right="3399" w:hanging="353"/>
        <w:spacing w:after="0" w:line="235" w:lineRule="auto"/>
        <w:tabs>
          <w:tab w:leader="none" w:pos="800"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entered into for purposes of assuring in any other manner the obligee of such Indebtedness or other obligation of the payment thereof or to protect such obligee against loss in respect thereof (in whole or in part);</w:t>
      </w:r>
    </w:p>
    <w:p>
      <w:pPr>
        <w:spacing w:after="0" w:line="175" w:lineRule="exact"/>
        <w:rPr>
          <w:sz w:val="20"/>
          <w:szCs w:val="20"/>
          <w:color w:val="auto"/>
        </w:rPr>
      </w:pPr>
    </w:p>
    <w:p>
      <w:pPr>
        <w:ind w:right="3239"/>
        <w:spacing w:after="0" w:line="234" w:lineRule="auto"/>
        <w:rPr>
          <w:sz w:val="20"/>
          <w:szCs w:val="20"/>
          <w:color w:val="auto"/>
        </w:rPr>
      </w:pPr>
      <w:r>
        <w:rPr>
          <w:rFonts w:ascii="Courier New" w:cs="Courier New" w:eastAsia="Courier New" w:hAnsi="Courier New"/>
          <w:sz w:val="15"/>
          <w:szCs w:val="15"/>
          <w:color w:val="auto"/>
        </w:rPr>
        <w:t>provided that the term "Guarantee" shall not include endorsements for collection or deposit in the ordinary course of business.</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term "Guarantee" used as a verb has a corresponding meaning.</w:t>
      </w:r>
    </w:p>
    <w:p>
      <w:pPr>
        <w:spacing w:after="0" w:line="173" w:lineRule="exact"/>
        <w:rPr>
          <w:sz w:val="20"/>
          <w:szCs w:val="20"/>
          <w:color w:val="auto"/>
        </w:rPr>
      </w:pPr>
    </w:p>
    <w:p>
      <w:pPr>
        <w:ind w:right="4279" w:firstLine="437"/>
        <w:spacing w:after="0" w:line="234" w:lineRule="auto"/>
        <w:rPr>
          <w:sz w:val="20"/>
          <w:szCs w:val="20"/>
          <w:color w:val="auto"/>
        </w:rPr>
      </w:pPr>
      <w:r>
        <w:rPr>
          <w:rFonts w:ascii="Courier New" w:cs="Courier New" w:eastAsia="Courier New" w:hAnsi="Courier New"/>
          <w:sz w:val="15"/>
          <w:szCs w:val="15"/>
          <w:color w:val="auto"/>
        </w:rPr>
        <w:t>"Indebtedness" means, with respect to any person at any date of determination (without duplication):</w:t>
      </w:r>
    </w:p>
    <w:p>
      <w:pPr>
        <w:spacing w:after="0" w:line="167" w:lineRule="exact"/>
        <w:rPr>
          <w:sz w:val="20"/>
          <w:szCs w:val="20"/>
          <w:color w:val="auto"/>
        </w:rPr>
      </w:pPr>
    </w:p>
    <w:p>
      <w:pPr>
        <w:ind w:left="800" w:hanging="353"/>
        <w:spacing w:after="0"/>
        <w:tabs>
          <w:tab w:leader="none" w:pos="800"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indebtedness of such person for borrowed money;</w:t>
      </w:r>
    </w:p>
    <w:p>
      <w:pPr>
        <w:spacing w:after="0" w:line="172" w:lineRule="exact"/>
        <w:rPr>
          <w:rFonts w:ascii="Courier New" w:cs="Courier New" w:eastAsia="Courier New" w:hAnsi="Courier New"/>
          <w:sz w:val="15"/>
          <w:szCs w:val="15"/>
          <w:color w:val="auto"/>
        </w:rPr>
      </w:pPr>
    </w:p>
    <w:p>
      <w:pPr>
        <w:ind w:left="800" w:right="3399" w:hanging="353"/>
        <w:spacing w:after="0" w:line="234" w:lineRule="auto"/>
        <w:tabs>
          <w:tab w:leader="none" w:pos="800"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obligations of such person evidenced by bonds, debentures, notes, or other similar instruments;</w:t>
      </w:r>
    </w:p>
    <w:p>
      <w:pPr>
        <w:spacing w:after="0" w:line="173" w:lineRule="exact"/>
        <w:rPr>
          <w:rFonts w:ascii="Courier New" w:cs="Courier New" w:eastAsia="Courier New" w:hAnsi="Courier New"/>
          <w:sz w:val="15"/>
          <w:szCs w:val="15"/>
          <w:color w:val="auto"/>
        </w:rPr>
      </w:pPr>
    </w:p>
    <w:p>
      <w:pPr>
        <w:ind w:left="800" w:right="3579" w:hanging="353"/>
        <w:spacing w:after="0" w:line="235" w:lineRule="auto"/>
        <w:tabs>
          <w:tab w:leader="none" w:pos="800"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obligations of such person in respect of letters of credit or other similar instruments (including reimbursement obligations with respect thereto);</w:t>
      </w:r>
    </w:p>
    <w:p>
      <w:pPr>
        <w:spacing w:after="0" w:line="173" w:lineRule="exact"/>
        <w:rPr>
          <w:rFonts w:ascii="Courier New" w:cs="Courier New" w:eastAsia="Courier New" w:hAnsi="Courier New"/>
          <w:sz w:val="15"/>
          <w:szCs w:val="15"/>
          <w:color w:val="auto"/>
        </w:rPr>
      </w:pPr>
    </w:p>
    <w:p>
      <w:pPr>
        <w:jc w:val="both"/>
        <w:ind w:left="800" w:right="3319" w:hanging="353"/>
        <w:spacing w:after="0" w:line="258" w:lineRule="auto"/>
        <w:tabs>
          <w:tab w:leader="none" w:pos="800" w:val="left"/>
        </w:tabs>
        <w:numPr>
          <w:ilvl w:val="0"/>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obligations of such person to pay the deferred and unpaid purchase price of property or services (but excluding trade accounts payable or accrued liabilities arising in the ordinary course of business);</w:t>
      </w:r>
    </w:p>
    <w:p>
      <w:pPr>
        <w:spacing w:after="0" w:line="154" w:lineRule="exact"/>
        <w:rPr>
          <w:rFonts w:ascii="Courier New" w:cs="Courier New" w:eastAsia="Courier New" w:hAnsi="Courier New"/>
          <w:sz w:val="14"/>
          <w:szCs w:val="14"/>
          <w:color w:val="auto"/>
        </w:rPr>
      </w:pPr>
    </w:p>
    <w:p>
      <w:pPr>
        <w:ind w:left="800" w:hanging="353"/>
        <w:spacing w:after="0"/>
        <w:tabs>
          <w:tab w:leader="none" w:pos="800"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obligations of such person as lessee under Capitalized Leases;</w:t>
      </w:r>
    </w:p>
    <w:p>
      <w:pPr>
        <w:spacing w:after="0" w:line="172" w:lineRule="exact"/>
        <w:rPr>
          <w:rFonts w:ascii="Courier New" w:cs="Courier New" w:eastAsia="Courier New" w:hAnsi="Courier New"/>
          <w:sz w:val="15"/>
          <w:szCs w:val="15"/>
          <w:color w:val="auto"/>
        </w:rPr>
      </w:pPr>
    </w:p>
    <w:p>
      <w:pPr>
        <w:ind w:left="800" w:right="3579" w:hanging="353"/>
        <w:spacing w:after="0" w:line="235" w:lineRule="auto"/>
        <w:tabs>
          <w:tab w:leader="none" w:pos="800"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Indebtedness of other persons secured by a Lien on any asset of such person, whether or not such Indebtedness is assumed by such person; provided that the amount of such Indebtedness shall be the lesser of:</w:t>
      </w:r>
    </w:p>
    <w:p>
      <w:pPr>
        <w:spacing w:after="0" w:line="175" w:lineRule="exact"/>
        <w:rPr>
          <w:sz w:val="20"/>
          <w:szCs w:val="20"/>
          <w:color w:val="auto"/>
        </w:rPr>
      </w:pPr>
    </w:p>
    <w:p>
      <w:pPr>
        <w:ind w:left="1240" w:right="3239" w:hanging="356"/>
        <w:spacing w:after="0" w:line="234" w:lineRule="auto"/>
        <w:tabs>
          <w:tab w:leader="none" w:pos="1240"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fair market value of such asset at such date of determination; and</w:t>
      </w:r>
    </w:p>
    <w:p>
      <w:pPr>
        <w:spacing w:after="0" w:line="166" w:lineRule="exact"/>
        <w:rPr>
          <w:rFonts w:ascii="Courier New" w:cs="Courier New" w:eastAsia="Courier New" w:hAnsi="Courier New"/>
          <w:sz w:val="15"/>
          <w:szCs w:val="15"/>
          <w:color w:val="auto"/>
        </w:rPr>
      </w:pPr>
    </w:p>
    <w:p>
      <w:pPr>
        <w:ind w:left="1240" w:hanging="356"/>
        <w:spacing w:after="0"/>
        <w:tabs>
          <w:tab w:leader="none" w:pos="1240"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amount of such Indebtedness;</w:t>
      </w:r>
    </w:p>
    <w:p>
      <w:pPr>
        <w:spacing w:after="0" w:line="173" w:lineRule="exact"/>
        <w:rPr>
          <w:sz w:val="20"/>
          <w:szCs w:val="20"/>
          <w:color w:val="auto"/>
        </w:rPr>
      </w:pPr>
    </w:p>
    <w:p>
      <w:pPr>
        <w:ind w:left="800" w:right="3679" w:hanging="353"/>
        <w:spacing w:after="0" w:line="234" w:lineRule="auto"/>
        <w:tabs>
          <w:tab w:leader="none" w:pos="800"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Indebtedness of other persons Guaranteed by such person to the extent such Indebtedness is Guaranteed by such person;</w:t>
      </w:r>
    </w:p>
    <w:p>
      <w:pPr>
        <w:spacing w:after="0" w:line="173" w:lineRule="exact"/>
        <w:rPr>
          <w:rFonts w:ascii="Courier New" w:cs="Courier New" w:eastAsia="Courier New" w:hAnsi="Courier New"/>
          <w:sz w:val="15"/>
          <w:szCs w:val="15"/>
          <w:color w:val="auto"/>
        </w:rPr>
      </w:pPr>
    </w:p>
    <w:p>
      <w:pPr>
        <w:ind w:left="800" w:right="3499" w:hanging="353"/>
        <w:spacing w:after="0" w:line="261" w:lineRule="auto"/>
        <w:tabs>
          <w:tab w:leader="none" w:pos="800" w:val="left"/>
        </w:tabs>
        <w:numPr>
          <w:ilvl w:val="0"/>
          <w:numId w:val="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the extent not otherwise included in this definition, obligations under Currency Agreements and Interest Rate Agreements.</w:t>
      </w:r>
    </w:p>
    <w:p>
      <w:pPr>
        <w:spacing w:after="0" w:line="32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39"/>
          </w:cols>
          <w:pgMar w:left="220" w:top="792" w:right="1440" w:bottom="1440" w:gutter="0" w:footer="0" w:header="0"/>
        </w:sectPr>
      </w:pPr>
    </w:p>
    <w:bookmarkStart w:id="22" w:name="page23"/>
    <w:bookmarkEnd w:id="22"/>
    <w:p>
      <w:pPr>
        <w:ind w:right="3399" w:firstLine="437"/>
        <w:spacing w:after="0" w:line="256" w:lineRule="auto"/>
        <w:rPr>
          <w:sz w:val="20"/>
          <w:szCs w:val="20"/>
          <w:color w:val="auto"/>
        </w:rPr>
      </w:pPr>
      <w:r>
        <w:rPr>
          <w:rFonts w:ascii="Courier New" w:cs="Courier New" w:eastAsia="Courier New" w:hAnsi="Courier New"/>
          <w:sz w:val="14"/>
          <w:szCs w:val="14"/>
          <w:color w:val="auto"/>
        </w:rPr>
        <w:t>The amount of Indebtedness of any person at any date shall be the outstanding balance at such date of all unconditional obligations as described above and, with respect to contingent obligations, the maximum liability upon the occurrence of the contingency giving rise to the obligation; provided:</w:t>
      </w:r>
    </w:p>
    <w:p>
      <w:pPr>
        <w:spacing w:after="0" w:line="164" w:lineRule="exact"/>
        <w:rPr>
          <w:sz w:val="20"/>
          <w:szCs w:val="20"/>
          <w:color w:val="auto"/>
        </w:rPr>
      </w:pPr>
    </w:p>
    <w:p>
      <w:pPr>
        <w:ind w:left="800" w:right="3239" w:hanging="353"/>
        <w:spacing w:after="0" w:line="236" w:lineRule="auto"/>
        <w:tabs>
          <w:tab w:leader="none" w:pos="800"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that the amount outstanding at any time of any Indebtedness issued with original issue discount is the face amount of such Indebtedness less the remaining unamortized portion of the original issue discount of such Indebtedness at such time as determined in conformity with GAAP; and</w:t>
      </w:r>
    </w:p>
    <w:p>
      <w:pPr>
        <w:spacing w:after="0" w:line="173" w:lineRule="exact"/>
        <w:rPr>
          <w:rFonts w:ascii="Courier New" w:cs="Courier New" w:eastAsia="Courier New" w:hAnsi="Courier New"/>
          <w:sz w:val="15"/>
          <w:szCs w:val="15"/>
          <w:color w:val="auto"/>
        </w:rPr>
      </w:pPr>
    </w:p>
    <w:p>
      <w:pPr>
        <w:ind w:left="800" w:right="3399" w:hanging="353"/>
        <w:spacing w:after="0" w:line="234" w:lineRule="auto"/>
        <w:tabs>
          <w:tab w:leader="none" w:pos="800"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that Indebtedness shall not include any liability for federal, state, local, or other taxes.</w:t>
      </w:r>
    </w:p>
    <w:p>
      <w:pPr>
        <w:spacing w:after="0" w:line="173"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"Interest Rate Agreements" means any obligations of any person pursuant to any interest rate swaps, caps, collars, and similar arrangements providing protection against fluctuations in interest rates. For purposes of the senior indenture, the amount of such obligations shall be the amount determined in respect thereof as of the end of the then most recently ended fiscal quarter of such person, based on the assumption that such obligation had terminated at the end of such fiscal quarter, and in making such determination, if any agreement relating to such obligation provides for the netting of amounts payable by and to such person thereunder or if any such agreement provides for the simultaneous payment of amounts by and to such person, then in each such case, the amount of such obligations shall be the net amount so determined, plus any premium due upon default by such person.</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"Lien" means, with respect to any asset, any mortgage, lien, pledge, charge, security interest or encumbrance of any kind, or any other type of preferential arrangement that has the practical effect of creating a security interest, in respect of such asset. For the purposes of the senior indenture, we or any cable guarantor shall be deemed to own subject to a Lien any asset acquired or held subject to the interest of a vendor or lessor under any conditional sale agreement, capital lease or other title retention agreement relating to such asset.</w:t>
      </w:r>
    </w:p>
    <w:p>
      <w:pPr>
        <w:spacing w:after="0" w:line="17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"Permitted Liens" means:</w:t>
      </w:r>
    </w:p>
    <w:p>
      <w:pPr>
        <w:spacing w:after="0" w:line="173" w:lineRule="exact"/>
        <w:rPr>
          <w:sz w:val="20"/>
          <w:szCs w:val="20"/>
          <w:color w:val="auto"/>
        </w:rPr>
      </w:pPr>
    </w:p>
    <w:p>
      <w:pPr>
        <w:ind w:left="800" w:right="4019" w:hanging="353"/>
        <w:spacing w:after="0" w:line="234" w:lineRule="auto"/>
        <w:tabs>
          <w:tab w:leader="none" w:pos="800"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Lien on any asset incurred prior to the date of the senior indenture;</w:t>
      </w:r>
    </w:p>
    <w:p>
      <w:pPr>
        <w:spacing w:after="0" w:line="173" w:lineRule="exact"/>
        <w:rPr>
          <w:rFonts w:ascii="Courier New" w:cs="Courier New" w:eastAsia="Courier New" w:hAnsi="Courier New"/>
          <w:sz w:val="15"/>
          <w:szCs w:val="15"/>
          <w:color w:val="auto"/>
        </w:rPr>
      </w:pPr>
    </w:p>
    <w:p>
      <w:pPr>
        <w:ind w:left="800" w:right="3239" w:hanging="353"/>
        <w:spacing w:after="0" w:line="255" w:lineRule="auto"/>
        <w:tabs>
          <w:tab w:leader="none" w:pos="800" w:val="left"/>
        </w:tabs>
        <w:numPr>
          <w:ilvl w:val="0"/>
          <w:numId w:val="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Lien on any assets acquired after the date of the senior indenture (including by way of merger or consolidation) by us or any cable guarantor, which Lien is created, incurred or assumed contemporaneously with such acquisition, or within 270 days thereafter, to secure or provide for the payment or financing of any part of the purchase price thereof, or any Lien upon any assets acquired after the date of the senior indenture existing at the time of such acquisition (whether or not assumed by us or any cable guarantor), provided that any such Lien shall attach only to the assets so acquired;</w:t>
      </w:r>
    </w:p>
    <w:p>
      <w:pPr>
        <w:spacing w:after="0" w:line="158" w:lineRule="exact"/>
        <w:rPr>
          <w:rFonts w:ascii="Courier New" w:cs="Courier New" w:eastAsia="Courier New" w:hAnsi="Courier New"/>
          <w:sz w:val="14"/>
          <w:szCs w:val="14"/>
          <w:color w:val="auto"/>
        </w:rPr>
      </w:pPr>
    </w:p>
    <w:p>
      <w:pPr>
        <w:ind w:left="800" w:hanging="353"/>
        <w:spacing w:after="0"/>
        <w:tabs>
          <w:tab w:leader="none" w:pos="800"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Lien on any assets in favor of us or any cable guarantor;</w:t>
      </w:r>
    </w:p>
    <w:p>
      <w:pPr>
        <w:spacing w:after="0" w:line="172" w:lineRule="exact"/>
        <w:rPr>
          <w:rFonts w:ascii="Courier New" w:cs="Courier New" w:eastAsia="Courier New" w:hAnsi="Courier New"/>
          <w:sz w:val="15"/>
          <w:szCs w:val="15"/>
          <w:color w:val="auto"/>
        </w:rPr>
      </w:pPr>
    </w:p>
    <w:p>
      <w:pPr>
        <w:ind w:left="800" w:right="3579" w:hanging="353"/>
        <w:spacing w:after="0" w:line="235" w:lineRule="auto"/>
        <w:tabs>
          <w:tab w:leader="none" w:pos="800"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Lien on assets incurred in connection with the issuance of tax-exempt governmental obligations (including, without limitation, industrial revenue bonds and similar financing);</w:t>
      </w:r>
    </w:p>
    <w:p>
      <w:pPr>
        <w:spacing w:after="0" w:line="173" w:lineRule="exact"/>
        <w:rPr>
          <w:rFonts w:ascii="Courier New" w:cs="Courier New" w:eastAsia="Courier New" w:hAnsi="Courier New"/>
          <w:sz w:val="15"/>
          <w:szCs w:val="15"/>
          <w:color w:val="auto"/>
        </w:rPr>
      </w:pPr>
    </w:p>
    <w:p>
      <w:pPr>
        <w:ind w:left="800" w:right="3499" w:hanging="353"/>
        <w:spacing w:after="0" w:line="235" w:lineRule="auto"/>
        <w:tabs>
          <w:tab w:leader="none" w:pos="800"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Lien granted by any cable guarantor on assets to the extent limitations on the incurrence of such Liens are prohibited by any agreement to which such cable guarantor is subject as of the date of the senior indenture; and</w:t>
      </w:r>
    </w:p>
    <w:p>
      <w:pPr>
        <w:spacing w:after="0" w:line="175" w:lineRule="exact"/>
        <w:rPr>
          <w:rFonts w:ascii="Courier New" w:cs="Courier New" w:eastAsia="Courier New" w:hAnsi="Courier New"/>
          <w:sz w:val="15"/>
          <w:szCs w:val="15"/>
          <w:color w:val="auto"/>
        </w:rPr>
      </w:pPr>
    </w:p>
    <w:p>
      <w:pPr>
        <w:ind w:left="800" w:right="3499" w:hanging="353"/>
        <w:spacing w:after="0" w:line="236" w:lineRule="auto"/>
        <w:tabs>
          <w:tab w:leader="none" w:pos="800"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renewal of or substitution for any Lien permitted by any of the preceding bullet points, including any Lien securing reborrowing of amounts previously secured within 270 days of the repayment thereof, provided that no such renewal or substitution shall extend to any assets other than the assets covered by the Lien being renewed or substituted.</w:t>
      </w:r>
    </w:p>
    <w:p>
      <w:pPr>
        <w:spacing w:after="0" w:line="175"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"Sale and Leaseback Transaction" means any direct or indirect arrangement with any person or to which any such person is a party, providing for the leasing to us or a cable guarantor of any property, whether owned by us or such cable guarantor at the date of the original issuance of the debt securities or later acquired, which has been or is to be sold or transferred by us or such cable guarantor to such person or to any other person by whom funds have been or are to be advanced on the security of such property.</w:t>
      </w:r>
    </w:p>
    <w:p>
      <w:pPr>
        <w:spacing w:after="0" w:line="33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39"/>
          </w:cols>
          <w:pgMar w:left="220" w:top="792" w:right="1440" w:bottom="1440" w:gutter="0" w:footer="0" w:header="0"/>
        </w:sectPr>
      </w:pPr>
    </w:p>
    <w:bookmarkStart w:id="23" w:name="page24"/>
    <w:bookmarkEnd w:id="23"/>
    <w:p>
      <w:pPr>
        <w:ind w:right="3239" w:firstLine="437"/>
        <w:spacing w:after="0" w:line="236" w:lineRule="auto"/>
        <w:rPr>
          <w:sz w:val="20"/>
          <w:szCs w:val="20"/>
          <w:color w:val="auto"/>
        </w:rPr>
      </w:pPr>
      <w:r>
        <w:rPr>
          <w:rFonts w:ascii="Courier New" w:cs="Courier New" w:eastAsia="Courier New" w:hAnsi="Courier New"/>
          <w:sz w:val="15"/>
          <w:szCs w:val="15"/>
          <w:color w:val="auto"/>
        </w:rPr>
        <w:t>Financial Information. We will file, whether or not required to do so under applicable law, with the trustee, within 15 days after being required to file the same under the Securities Exchange Act of 1934, copies of the annual reports and the information, documents and other reports to be filed pursuant to Section 13 or 15(d) of the Securities Exchange Act of 1934. We intend to file all such reports, information and documents with the SEC, whether or not required by Section 13 or 15(d), and will send copies to the trustee within such 15-day period.</w:t>
      </w:r>
    </w:p>
    <w:p>
      <w:pPr>
        <w:spacing w:after="0" w:line="177"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Consolidation, Merger and Sale of Assets. The senior indenture will restrict our ability to consolidate with, merge with or into, or sell, convey, transfer, lease, or otherwise dispose of all or substantially all of our property and assets as an entirety or substantially an entirety in one transaction or a series of related transactions to any person (other than a consolidation with or merger with or into or a sale, conveyance, transfer, lease or other disposition to a wholly-owned subsidiary with a positive net worth; provided that, in connection with any merger of us and a wholly-owned subsidiary, no consideration other than common stock in the surviving person shall be issued or distributed to our stockholders) or permit any person to merge with or into such party unless:</w:t>
      </w:r>
    </w:p>
    <w:p>
      <w:pPr>
        <w:spacing w:after="0" w:line="180" w:lineRule="exact"/>
        <w:rPr>
          <w:sz w:val="20"/>
          <w:szCs w:val="20"/>
          <w:color w:val="auto"/>
        </w:rPr>
      </w:pPr>
    </w:p>
    <w:p>
      <w:pPr>
        <w:ind w:left="800" w:right="3239" w:hanging="353"/>
        <w:spacing w:after="0" w:line="236" w:lineRule="auto"/>
        <w:tabs>
          <w:tab w:leader="none" w:pos="800"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 are the continuing person or the person formed by such consolidation or into which such party is merged or that acquired or leased such property and assets shall be a corporation or limited liability company organized and validly existing under the laws of the United States of America or any jurisdiction thereof and shall expressly assume, by a supplemental indenture, executed and delivered to the trustee, all of our obligations on all of the senior debt securities and under the senior indenture;</w:t>
      </w:r>
    </w:p>
    <w:p>
      <w:pPr>
        <w:spacing w:after="0" w:line="177" w:lineRule="exact"/>
        <w:rPr>
          <w:rFonts w:ascii="Courier New" w:cs="Courier New" w:eastAsia="Courier New" w:hAnsi="Courier New"/>
          <w:sz w:val="15"/>
          <w:szCs w:val="15"/>
          <w:color w:val="auto"/>
        </w:rPr>
      </w:pPr>
    </w:p>
    <w:p>
      <w:pPr>
        <w:ind w:left="800" w:right="3679" w:hanging="353"/>
        <w:spacing w:after="0" w:line="234" w:lineRule="auto"/>
        <w:tabs>
          <w:tab w:leader="none" w:pos="800"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immediately after giving effect to such transaction, no default or event of default shall have occurred and be continuing; and</w:t>
      </w:r>
    </w:p>
    <w:p>
      <w:pPr>
        <w:spacing w:after="0" w:line="173" w:lineRule="exact"/>
        <w:rPr>
          <w:rFonts w:ascii="Courier New" w:cs="Courier New" w:eastAsia="Courier New" w:hAnsi="Courier New"/>
          <w:sz w:val="15"/>
          <w:szCs w:val="15"/>
          <w:color w:val="auto"/>
        </w:rPr>
      </w:pPr>
    </w:p>
    <w:p>
      <w:pPr>
        <w:ind w:left="800" w:right="3319" w:hanging="353"/>
        <w:spacing w:after="0" w:line="256" w:lineRule="auto"/>
        <w:tabs>
          <w:tab w:leader="none" w:pos="800" w:val="left"/>
        </w:tabs>
        <w:numPr>
          <w:ilvl w:val="0"/>
          <w:numId w:val="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we deliver to the trustee an officers' certificate and opinion of counsel, in each case stating that such consolidation, merger, or transfer and such supplemental indenture complies with this provision and that all conditions precedent provided for in the senior indenture and notes relating to such transaction have been complied with;</w:t>
      </w:r>
    </w:p>
    <w:p>
      <w:pPr>
        <w:spacing w:after="0" w:line="163" w:lineRule="exact"/>
        <w:rPr>
          <w:sz w:val="20"/>
          <w:szCs w:val="20"/>
          <w:color w:val="auto"/>
        </w:rPr>
      </w:pPr>
    </w:p>
    <w:p>
      <w:pPr>
        <w:ind w:right="3239"/>
        <w:spacing w:after="0" w:line="256" w:lineRule="auto"/>
        <w:rPr>
          <w:sz w:val="20"/>
          <w:szCs w:val="20"/>
          <w:color w:val="auto"/>
        </w:rPr>
      </w:pPr>
      <w:r>
        <w:rPr>
          <w:rFonts w:ascii="Courier New" w:cs="Courier New" w:eastAsia="Courier New" w:hAnsi="Courier New"/>
          <w:sz w:val="14"/>
          <w:szCs w:val="14"/>
          <w:color w:val="auto"/>
        </w:rPr>
        <w:t>provided, however, that the foregoing limitations will not apply if, in the good faith determination of our board of directors set forth in a board resolution, the principal purpose of such transaction is to change the state of incorporation of such party; and provided further that any such transaction shall not have as one of its purposes the evasion of the foregoing limitations.</w:t>
      </w:r>
    </w:p>
    <w:p>
      <w:pPr>
        <w:spacing w:after="0" w:line="163" w:lineRule="exact"/>
        <w:rPr>
          <w:sz w:val="20"/>
          <w:szCs w:val="20"/>
          <w:color w:val="auto"/>
        </w:rPr>
      </w:pPr>
    </w:p>
    <w:p>
      <w:pPr>
        <w:jc w:val="both"/>
        <w:ind w:right="3319" w:firstLine="437"/>
        <w:spacing w:after="0" w:line="235" w:lineRule="auto"/>
        <w:rPr>
          <w:sz w:val="20"/>
          <w:szCs w:val="20"/>
          <w:color w:val="auto"/>
        </w:rPr>
      </w:pPr>
      <w:r>
        <w:rPr>
          <w:rFonts w:ascii="Courier New" w:cs="Courier New" w:eastAsia="Courier New" w:hAnsi="Courier New"/>
          <w:sz w:val="15"/>
          <w:szCs w:val="15"/>
          <w:color w:val="auto"/>
        </w:rPr>
        <w:t>Upon any express assumption of our obligations as described above, we will be released and discharged from all obligations and covenants under the senior indenture and all the senior debt securities.</w:t>
      </w:r>
    </w:p>
    <w:p>
      <w:pPr>
        <w:spacing w:after="0" w:line="174" w:lineRule="exact"/>
        <w:rPr>
          <w:sz w:val="20"/>
          <w:szCs w:val="20"/>
          <w:color w:val="auto"/>
        </w:rPr>
      </w:pPr>
    </w:p>
    <w:p>
      <w:pPr>
        <w:ind w:right="3399" w:firstLine="437"/>
        <w:spacing w:after="0" w:line="236" w:lineRule="auto"/>
        <w:rPr>
          <w:sz w:val="20"/>
          <w:szCs w:val="20"/>
          <w:color w:val="auto"/>
        </w:rPr>
      </w:pPr>
      <w:r>
        <w:rPr>
          <w:rFonts w:ascii="Courier New" w:cs="Courier New" w:eastAsia="Courier New" w:hAnsi="Courier New"/>
          <w:sz w:val="15"/>
          <w:szCs w:val="15"/>
          <w:color w:val="auto"/>
        </w:rPr>
        <w:t>The senior indenture and the cable guarantees do not limit the ability of any cable guarantor to consolidate with or merge into or sell all or substantially all its assets. Upon the sale or disposition of any cable guarantor (whether by merger, consolidation, the sale of its capital stock or the sale of all or substantially all of its assets) to any person, that cable guarantor will be deemed released from all its obligations under the senior indenture and its cable guarantee.</w:t>
      </w:r>
    </w:p>
    <w:p>
      <w:pPr>
        <w:spacing w:after="0" w:line="169" w:lineRule="exact"/>
        <w:rPr>
          <w:sz w:val="20"/>
          <w:szCs w:val="20"/>
          <w:color w:val="auto"/>
        </w:rPr>
      </w:pPr>
    </w:p>
    <w:p>
      <w:pPr>
        <w:ind w:left="280"/>
        <w:spacing w:after="0"/>
        <w:rPr>
          <w:sz w:val="20"/>
          <w:szCs w:val="20"/>
          <w:color w:val="auto"/>
        </w:rPr>
      </w:pPr>
      <w:r>
        <w:rPr>
          <w:rFonts w:ascii="Courier New" w:cs="Courier New" w:eastAsia="Courier New" w:hAnsi="Courier New"/>
          <w:sz w:val="15"/>
          <w:szCs w:val="15"/>
          <w:color w:val="auto"/>
        </w:rPr>
        <w:t>Events of Default</w:t>
      </w:r>
    </w:p>
    <w:p>
      <w:pPr>
        <w:spacing w:after="0" w:line="173"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For purposes of this section, the term "Obligor" shall mean each of us, Comcast Cable, Comcast Cable Communications Holdings, Comcast Cable Holdings and Comcast MO Group, in each case excluding such entity's subsidiaries.</w:t>
      </w:r>
    </w:p>
    <w:p>
      <w:pPr>
        <w:spacing w:after="0" w:line="174" w:lineRule="exact"/>
        <w:rPr>
          <w:sz w:val="20"/>
          <w:szCs w:val="20"/>
          <w:color w:val="auto"/>
        </w:rPr>
      </w:pPr>
    </w:p>
    <w:p>
      <w:pPr>
        <w:ind w:right="3239" w:firstLine="437"/>
        <w:spacing w:after="0" w:line="234" w:lineRule="auto"/>
        <w:rPr>
          <w:sz w:val="20"/>
          <w:szCs w:val="20"/>
          <w:color w:val="auto"/>
        </w:rPr>
      </w:pPr>
      <w:r>
        <w:rPr>
          <w:rFonts w:ascii="Courier New" w:cs="Courier New" w:eastAsia="Courier New" w:hAnsi="Courier New"/>
          <w:sz w:val="15"/>
          <w:szCs w:val="15"/>
          <w:color w:val="auto"/>
        </w:rPr>
        <w:t>An event of default for a series of senior debt securities is defined under the senior indenture as being:</w:t>
      </w:r>
    </w:p>
    <w:p>
      <w:pPr>
        <w:spacing w:after="0" w:line="173" w:lineRule="exact"/>
        <w:rPr>
          <w:sz w:val="20"/>
          <w:szCs w:val="20"/>
          <w:color w:val="auto"/>
        </w:rPr>
      </w:pPr>
    </w:p>
    <w:p>
      <w:pPr>
        <w:ind w:right="3319" w:firstLine="447"/>
        <w:spacing w:after="0" w:line="235" w:lineRule="auto"/>
        <w:tabs>
          <w:tab w:leader="none" w:pos="787"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default by any Obligor in the payment of principal or premium on the senior debt securities of such series when the same becomes due and payable whether at maturity, upon acceleration, redemption or otherwise;</w:t>
      </w:r>
    </w:p>
    <w:p>
      <w:pPr>
        <w:spacing w:after="0" w:line="173" w:lineRule="exact"/>
        <w:rPr>
          <w:rFonts w:ascii="Courier New" w:cs="Courier New" w:eastAsia="Courier New" w:hAnsi="Courier New"/>
          <w:sz w:val="15"/>
          <w:szCs w:val="15"/>
          <w:color w:val="auto"/>
        </w:rPr>
      </w:pPr>
    </w:p>
    <w:p>
      <w:pPr>
        <w:ind w:right="3239" w:firstLine="447"/>
        <w:spacing w:after="0" w:line="235" w:lineRule="auto"/>
        <w:tabs>
          <w:tab w:leader="none" w:pos="787"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default by any Obligor in the payment of interest on the senior debt securities of such series when the same becomes due and payable, if that default continues for a period of 30 days;</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39"/>
          </w:cols>
          <w:pgMar w:left="220" w:top="792" w:right="1440" w:bottom="1440" w:gutter="0" w:footer="0" w:header="0"/>
        </w:sectPr>
      </w:pPr>
    </w:p>
    <w:bookmarkStart w:id="24" w:name="page25"/>
    <w:bookmarkEnd w:id="24"/>
    <w:p>
      <w:pPr>
        <w:ind w:right="3239" w:firstLine="447"/>
        <w:spacing w:after="0" w:line="236" w:lineRule="auto"/>
        <w:tabs>
          <w:tab w:leader="none" w:pos="787"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default by any Obligor in the performance of or breach by any Obligor of any of its other covenants or agreements in the senior indenture applicable to all the senior debt securities or applicable to the senior debt securities of any series and that default or breach continues for a period of 30 consecutive days after written notice is received from the trustee or from the holders of 25% or more in aggregate principal amount of the senior debt securities of all affected series;</w:t>
      </w:r>
    </w:p>
    <w:p>
      <w:pPr>
        <w:spacing w:after="0" w:line="175" w:lineRule="exact"/>
        <w:rPr>
          <w:rFonts w:ascii="Courier New" w:cs="Courier New" w:eastAsia="Courier New" w:hAnsi="Courier New"/>
          <w:sz w:val="15"/>
          <w:szCs w:val="15"/>
          <w:color w:val="auto"/>
        </w:rPr>
      </w:pPr>
    </w:p>
    <w:p>
      <w:pPr>
        <w:ind w:right="3499" w:firstLine="447"/>
        <w:spacing w:after="0" w:line="234" w:lineRule="auto"/>
        <w:tabs>
          <w:tab w:leader="none" w:pos="787"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cable guarantee is not (or is claimed by any cable guarantor not to be) in full force and effect;</w:t>
      </w:r>
    </w:p>
    <w:p>
      <w:pPr>
        <w:spacing w:after="0" w:line="166" w:lineRule="exact"/>
        <w:rPr>
          <w:rFonts w:ascii="Courier New" w:cs="Courier New" w:eastAsia="Courier New" w:hAnsi="Courier New"/>
          <w:sz w:val="15"/>
          <w:szCs w:val="15"/>
          <w:color w:val="auto"/>
        </w:rPr>
      </w:pPr>
    </w:p>
    <w:p>
      <w:pPr>
        <w:ind w:left="800" w:hanging="353"/>
        <w:spacing w:after="0"/>
        <w:tabs>
          <w:tab w:leader="none" w:pos="800"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court having jurisdiction enters a decree or order for:</w:t>
      </w:r>
    </w:p>
    <w:p>
      <w:pPr>
        <w:spacing w:after="0" w:line="172" w:lineRule="exact"/>
        <w:rPr>
          <w:rFonts w:ascii="Courier New" w:cs="Courier New" w:eastAsia="Courier New" w:hAnsi="Courier New"/>
          <w:sz w:val="15"/>
          <w:szCs w:val="15"/>
          <w:color w:val="auto"/>
        </w:rPr>
      </w:pPr>
    </w:p>
    <w:p>
      <w:pPr>
        <w:ind w:left="1240" w:right="3319" w:hanging="437"/>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orelief in respect of any Obligor in an involuntary case under any applicable bankruptcy, insolvency, or other similar law now or hereafter in effect;</w:t>
      </w:r>
    </w:p>
    <w:p>
      <w:pPr>
        <w:spacing w:after="0" w:line="174" w:lineRule="exact"/>
        <w:rPr>
          <w:sz w:val="20"/>
          <w:szCs w:val="20"/>
          <w:color w:val="auto"/>
        </w:rPr>
      </w:pPr>
    </w:p>
    <w:p>
      <w:pPr>
        <w:ind w:left="1240" w:right="3399" w:hanging="443"/>
        <w:spacing w:after="0" w:line="235" w:lineRule="auto"/>
        <w:tabs>
          <w:tab w:leader="none" w:pos="1240"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appointment of a receiver, liquidator, assignee, custodian, trustee, sequestrator or similar official of any Obligor for any substantial part of such party's property and assets; or</w:t>
      </w:r>
    </w:p>
    <w:p>
      <w:pPr>
        <w:spacing w:after="0" w:line="167" w:lineRule="exact"/>
        <w:rPr>
          <w:rFonts w:ascii="Courier New" w:cs="Courier New" w:eastAsia="Courier New" w:hAnsi="Courier New"/>
          <w:sz w:val="15"/>
          <w:szCs w:val="15"/>
          <w:color w:val="auto"/>
        </w:rPr>
      </w:pPr>
    </w:p>
    <w:p>
      <w:pPr>
        <w:ind w:left="1240" w:hanging="443"/>
        <w:spacing w:after="0"/>
        <w:tabs>
          <w:tab w:leader="none" w:pos="1240"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winding up or liquidation of any Obligor's affairs</w:t>
      </w:r>
    </w:p>
    <w:p>
      <w:pPr>
        <w:spacing w:after="0" w:line="173" w:lineRule="exact"/>
        <w:rPr>
          <w:sz w:val="20"/>
          <w:szCs w:val="20"/>
          <w:color w:val="auto"/>
        </w:rPr>
      </w:pPr>
    </w:p>
    <w:p>
      <w:pPr>
        <w:ind w:right="3579"/>
        <w:spacing w:after="0" w:line="234" w:lineRule="auto"/>
        <w:rPr>
          <w:sz w:val="20"/>
          <w:szCs w:val="20"/>
          <w:color w:val="auto"/>
        </w:rPr>
      </w:pPr>
      <w:r>
        <w:rPr>
          <w:rFonts w:ascii="Courier New" w:cs="Courier New" w:eastAsia="Courier New" w:hAnsi="Courier New"/>
          <w:sz w:val="15"/>
          <w:szCs w:val="15"/>
          <w:color w:val="auto"/>
        </w:rPr>
        <w:t>and such decree or order shall remain unstayed and in effect for a period of 180 consecutive days; or</w:t>
      </w:r>
    </w:p>
    <w:p>
      <w:pPr>
        <w:spacing w:after="0" w:line="167" w:lineRule="exact"/>
        <w:rPr>
          <w:sz w:val="20"/>
          <w:szCs w:val="20"/>
          <w:color w:val="auto"/>
        </w:rPr>
      </w:pPr>
    </w:p>
    <w:p>
      <w:pPr>
        <w:ind w:left="800" w:hanging="353"/>
        <w:spacing w:after="0"/>
        <w:tabs>
          <w:tab w:leader="none" w:pos="800"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Obligor:</w:t>
      </w:r>
    </w:p>
    <w:p>
      <w:pPr>
        <w:spacing w:after="0" w:line="172" w:lineRule="exact"/>
        <w:rPr>
          <w:rFonts w:ascii="Courier New" w:cs="Courier New" w:eastAsia="Courier New" w:hAnsi="Courier New"/>
          <w:sz w:val="15"/>
          <w:szCs w:val="15"/>
          <w:color w:val="auto"/>
        </w:rPr>
      </w:pPr>
    </w:p>
    <w:p>
      <w:pPr>
        <w:ind w:left="1240" w:right="3239" w:hanging="437"/>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ocommences a voluntary case under any applicable bankruptcy, insolvency, or other similar law now or hereafter in effect, or consent to the entry of an order for relief in an involuntary case under any such law;</w:t>
      </w:r>
    </w:p>
    <w:p>
      <w:pPr>
        <w:spacing w:after="0" w:line="175" w:lineRule="exact"/>
        <w:rPr>
          <w:rFonts w:ascii="Courier New" w:cs="Courier New" w:eastAsia="Courier New" w:hAnsi="Courier New"/>
          <w:sz w:val="15"/>
          <w:szCs w:val="15"/>
          <w:color w:val="auto"/>
        </w:rPr>
      </w:pPr>
    </w:p>
    <w:p>
      <w:pPr>
        <w:ind w:left="1240" w:right="3239" w:hanging="437"/>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oconsents to the appointment of or taking possession by a receiver, liquidator, assignee, custodian, trustee, sequestrator, or similar official of such party or for any substantial part of such party's property; or</w:t>
      </w:r>
    </w:p>
    <w:p>
      <w:pPr>
        <w:spacing w:after="0" w:line="168" w:lineRule="exact"/>
        <w:rPr>
          <w:rFonts w:ascii="Courier New" w:cs="Courier New" w:eastAsia="Courier New" w:hAnsi="Courier New"/>
          <w:sz w:val="15"/>
          <w:szCs w:val="15"/>
          <w:color w:val="auto"/>
        </w:rPr>
      </w:pPr>
    </w:p>
    <w:p>
      <w:pPr>
        <w:ind w:left="8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o</w:t>
      </w:r>
      <w:r>
        <w:rPr>
          <w:rFonts w:ascii="Courier New" w:cs="Courier New" w:eastAsia="Courier New" w:hAnsi="Courier New"/>
          <w:sz w:val="14"/>
          <w:szCs w:val="14"/>
          <w:color w:val="auto"/>
        </w:rPr>
        <w:t>effects any general assignment for the benefit of creditors.</w:t>
      </w:r>
    </w:p>
    <w:p>
      <w:pPr>
        <w:spacing w:after="0" w:line="173" w:lineRule="exact"/>
        <w:rPr>
          <w:sz w:val="20"/>
          <w:szCs w:val="20"/>
          <w:color w:val="auto"/>
        </w:rPr>
      </w:pPr>
    </w:p>
    <w:p>
      <w:pPr>
        <w:ind w:right="3239" w:firstLine="437"/>
        <w:spacing w:after="0" w:line="234" w:lineRule="auto"/>
        <w:rPr>
          <w:sz w:val="20"/>
          <w:szCs w:val="20"/>
          <w:color w:val="auto"/>
        </w:rPr>
      </w:pPr>
      <w:r>
        <w:rPr>
          <w:rFonts w:ascii="Courier New" w:cs="Courier New" w:eastAsia="Courier New" w:hAnsi="Courier New"/>
          <w:sz w:val="15"/>
          <w:szCs w:val="15"/>
          <w:color w:val="auto"/>
        </w:rPr>
        <w:t>A default under any Obligor's other indebtedness is not a default under the senior indenture.</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If an event of default other than an event of default specified in clauses</w:t>
      </w:r>
    </w:p>
    <w:p>
      <w:pPr>
        <w:spacing w:after="0" w:line="10" w:lineRule="exact"/>
        <w:rPr>
          <w:sz w:val="20"/>
          <w:szCs w:val="20"/>
          <w:color w:val="auto"/>
        </w:rPr>
      </w:pPr>
    </w:p>
    <w:p>
      <w:pPr>
        <w:ind w:right="3239" w:firstLine="10"/>
        <w:spacing w:after="0" w:line="237" w:lineRule="auto"/>
        <w:tabs>
          <w:tab w:leader="none" w:pos="350"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and (6) above occurs with respect to an issue of senior debt securities and is continuing under the senior indenture, then, and in each and every such case, either the trustee or the holders of not less than 25% in aggregate principal amount of such senior debt securities then outstanding under the senior indenture by written notice to us and to the trustee, if such notice is given by the holders, may, and the trustee at the request of such holders shall, declare the principal amount of and accrued interest, if any, on such senior debt securities to be immediately due and payable. The amount due upon acceleration shall include only the original issue price of the senior debt securities and accrued to the date of acceleration and accrued interest, if any. Upon a declaration of acceleration, such principal amount of and accrued interest, if any, on such senior debt securities shall be immediately due and payable. If an event of default specified in clauses (5) and (6) above occurs with respect to any Obligor, the principal amount of and accrued interest, if any, on each issue of senior debt securities then outstanding shall be and become immediately due and payable without any notice or other action on the part of the trustee or any holder.</w:t>
      </w:r>
    </w:p>
    <w:p>
      <w:pPr>
        <w:spacing w:after="0" w:line="175" w:lineRule="exact"/>
        <w:rPr>
          <w:sz w:val="20"/>
          <w:szCs w:val="20"/>
          <w:color w:val="auto"/>
        </w:rPr>
      </w:pPr>
    </w:p>
    <w:p>
      <w:pPr>
        <w:jc w:val="both"/>
        <w:ind w:right="3239" w:firstLine="437"/>
        <w:spacing w:after="0" w:line="254" w:lineRule="auto"/>
        <w:rPr>
          <w:sz w:val="20"/>
          <w:szCs w:val="20"/>
          <w:color w:val="auto"/>
        </w:rPr>
      </w:pPr>
      <w:r>
        <w:rPr>
          <w:rFonts w:ascii="Courier New" w:cs="Courier New" w:eastAsia="Courier New" w:hAnsi="Courier New"/>
          <w:sz w:val="14"/>
          <w:szCs w:val="14"/>
          <w:color w:val="auto"/>
        </w:rPr>
        <w:t>Upon certain conditions such declarations may be rescinded and annulled and past defaults may be waived by the holders of a majority in aggregate principal amount of an issue of senior debt securities that has been accelerated.</w:t>
      </w:r>
    </w:p>
    <w:p>
      <w:pPr>
        <w:spacing w:after="0" w:line="1"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Furthermore, subject to various provisions in the senior indenture, the holders of at least a majority in aggregate principal amount of an issue of senior debt securities by notice to the trustee may waive an existing default or event of default with respect to such senior debt securities and its consequences, except a default in the payment of principal of or interest on such senior debt securities or in respect of a covenant or provision of the senior indenture which cannot be modified or amended without the consent of the holders of each such senior debt securities. Upon any such waiver, such default shall cease to exist, and any event of default with respect to such</w:t>
      </w:r>
    </w:p>
    <w:p>
      <w:pPr>
        <w:spacing w:after="0" w:line="34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239"/>
          </w:cols>
          <w:pgMar w:left="220" w:top="792" w:right="1440" w:bottom="1440" w:gutter="0" w:footer="0" w:header="0"/>
        </w:sectPr>
      </w:pPr>
    </w:p>
    <w:bookmarkStart w:id="25" w:name="page26"/>
    <w:bookmarkEnd w:id="25"/>
    <w:p>
      <w:pPr>
        <w:ind w:right="3239"/>
        <w:spacing w:after="0" w:line="235" w:lineRule="auto"/>
        <w:rPr>
          <w:sz w:val="20"/>
          <w:szCs w:val="20"/>
          <w:color w:val="auto"/>
        </w:rPr>
      </w:pPr>
      <w:r>
        <w:rPr>
          <w:rFonts w:ascii="Courier New" w:cs="Courier New" w:eastAsia="Courier New" w:hAnsi="Courier New"/>
          <w:sz w:val="15"/>
          <w:szCs w:val="15"/>
          <w:color w:val="auto"/>
        </w:rPr>
        <w:t>senior debt securities shall be deemed to have been cured, for every purpose of the senior indenture; but no such waiver shall extend to any subsequent or other default or event of default or impair any right consequent thereto. For information as to the waiver of defaults, see "-- Modification and Waiver."</w:t>
      </w:r>
    </w:p>
    <w:p>
      <w:pPr>
        <w:spacing w:after="0" w:line="175"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The holders of at least a majority in aggregate principal amount of an issue of senior debt securities may direct the time, method, and place of conducting any proceeding for any remedy available to the trustee or exercising any trust or power conferred on the trustee with respect to such senior debt securities. However, the trustee may refuse to follow any direction that conflicts with law or the senior indenture, that may involve the trustee in personal liability, or that the trustee determines in good faith may be unduly prejudicial to the rights of holders of such issue of senior debt securities not joining in the giving of such direction and may take any other action it deems proper that is not inconsistent with any such direction received from holders of such issue of senior debt securities. A holder may not pursue any remedy with respect to the senior indenture or any series of senior debt securities unless:</w:t>
      </w:r>
    </w:p>
    <w:p>
      <w:pPr>
        <w:spacing w:after="0" w:line="164" w:lineRule="exact"/>
        <w:rPr>
          <w:sz w:val="20"/>
          <w:szCs w:val="20"/>
          <w:color w:val="auto"/>
        </w:rPr>
      </w:pPr>
    </w:p>
    <w:p>
      <w:pPr>
        <w:ind w:left="800" w:right="3499" w:hanging="353"/>
        <w:spacing w:after="0" w:line="234" w:lineRule="auto"/>
        <w:tabs>
          <w:tab w:leader="none" w:pos="800"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holder gives the trustee written notice of a continuing event of default;</w:t>
      </w:r>
    </w:p>
    <w:p>
      <w:pPr>
        <w:spacing w:after="0" w:line="173" w:lineRule="exact"/>
        <w:rPr>
          <w:rFonts w:ascii="Courier New" w:cs="Courier New" w:eastAsia="Courier New" w:hAnsi="Courier New"/>
          <w:sz w:val="15"/>
          <w:szCs w:val="15"/>
          <w:color w:val="auto"/>
        </w:rPr>
      </w:pPr>
    </w:p>
    <w:p>
      <w:pPr>
        <w:ind w:left="800" w:right="3319" w:hanging="353"/>
        <w:spacing w:after="0" w:line="235" w:lineRule="auto"/>
        <w:tabs>
          <w:tab w:leader="none" w:pos="800"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holders of at least 25% in aggregate principal amount of such series of senior debt securities make a written request to the trustee to pursue the remedy in respect of such event of default;</w:t>
      </w:r>
    </w:p>
    <w:p>
      <w:pPr>
        <w:spacing w:after="0" w:line="173" w:lineRule="exact"/>
        <w:rPr>
          <w:rFonts w:ascii="Courier New" w:cs="Courier New" w:eastAsia="Courier New" w:hAnsi="Courier New"/>
          <w:sz w:val="15"/>
          <w:szCs w:val="15"/>
          <w:color w:val="auto"/>
        </w:rPr>
      </w:pPr>
    </w:p>
    <w:p>
      <w:pPr>
        <w:ind w:left="800" w:right="3399" w:hanging="353"/>
        <w:spacing w:after="0" w:line="261" w:lineRule="auto"/>
        <w:tabs>
          <w:tab w:leader="none" w:pos="800" w:val="left"/>
        </w:tabs>
        <w:numPr>
          <w:ilvl w:val="0"/>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requesting holder or holders offer the trustee indemnity satisfactory to the trustee against any costs, liability, or expense;</w:t>
      </w:r>
    </w:p>
    <w:p>
      <w:pPr>
        <w:spacing w:after="0" w:line="159" w:lineRule="exact"/>
        <w:rPr>
          <w:rFonts w:ascii="Courier New" w:cs="Courier New" w:eastAsia="Courier New" w:hAnsi="Courier New"/>
          <w:sz w:val="14"/>
          <w:szCs w:val="14"/>
          <w:color w:val="auto"/>
        </w:rPr>
      </w:pPr>
    </w:p>
    <w:p>
      <w:pPr>
        <w:ind w:left="800" w:right="3759" w:hanging="353"/>
        <w:spacing w:after="0" w:line="234" w:lineRule="auto"/>
        <w:tabs>
          <w:tab w:leader="none" w:pos="800"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trustee does not comply with the request within 60 days after receipt of the request and the offer of indemnity; and</w:t>
      </w:r>
    </w:p>
    <w:p>
      <w:pPr>
        <w:spacing w:after="0" w:line="173" w:lineRule="exact"/>
        <w:rPr>
          <w:rFonts w:ascii="Courier New" w:cs="Courier New" w:eastAsia="Courier New" w:hAnsi="Courier New"/>
          <w:sz w:val="15"/>
          <w:szCs w:val="15"/>
          <w:color w:val="auto"/>
        </w:rPr>
      </w:pPr>
    </w:p>
    <w:p>
      <w:pPr>
        <w:ind w:left="800" w:right="3399" w:hanging="353"/>
        <w:spacing w:after="0" w:line="235" w:lineRule="auto"/>
        <w:tabs>
          <w:tab w:leader="none" w:pos="800"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during such 60-day period, the holders of a majority in aggregate principal amount of such series of senior debt securities do not give the trustee a direction that is inconsistent with the request.</w:t>
      </w:r>
    </w:p>
    <w:p>
      <w:pPr>
        <w:spacing w:after="0" w:line="174" w:lineRule="exact"/>
        <w:rPr>
          <w:sz w:val="20"/>
          <w:szCs w:val="20"/>
          <w:color w:val="auto"/>
        </w:rPr>
      </w:pPr>
    </w:p>
    <w:p>
      <w:pPr>
        <w:ind w:right="3239" w:firstLine="437"/>
        <w:spacing w:after="0" w:line="256" w:lineRule="auto"/>
        <w:rPr>
          <w:sz w:val="20"/>
          <w:szCs w:val="20"/>
          <w:color w:val="auto"/>
        </w:rPr>
      </w:pPr>
      <w:r>
        <w:rPr>
          <w:rFonts w:ascii="Courier New" w:cs="Courier New" w:eastAsia="Courier New" w:hAnsi="Courier New"/>
          <w:sz w:val="14"/>
          <w:szCs w:val="14"/>
          <w:color w:val="auto"/>
        </w:rPr>
        <w:t>These limitations, however, do not apply to the right of any holder of a senior debt security to receive payment of the principal of, premium, if any, or interest on such senior debt security, or to bring suit for the enforcement of any such payment, on or after the due date for the senior debt securities, which right shall not be impaired or affected without the consent of the holder.</w:t>
      </w:r>
    </w:p>
    <w:p>
      <w:pPr>
        <w:spacing w:after="0" w:line="16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senior indenture will require certain of our officers to certify, on or before a date not more than 120 days after the end of each fiscal year, as to their knowledge of our compliance with all conditions and covenants under the senior indenture, such compliance to be determined without regard to any period of grace or requirement of notice provided under the senior indenture.</w:t>
      </w:r>
    </w:p>
    <w:p>
      <w:pPr>
        <w:spacing w:after="0" w:line="167" w:lineRule="exact"/>
        <w:rPr>
          <w:sz w:val="20"/>
          <w:szCs w:val="20"/>
          <w:color w:val="auto"/>
        </w:rPr>
      </w:pPr>
    </w:p>
    <w:p>
      <w:pPr>
        <w:ind w:left="280"/>
        <w:spacing w:after="0"/>
        <w:rPr>
          <w:sz w:val="20"/>
          <w:szCs w:val="20"/>
          <w:color w:val="auto"/>
        </w:rPr>
      </w:pPr>
      <w:r>
        <w:rPr>
          <w:rFonts w:ascii="Courier New" w:cs="Courier New" w:eastAsia="Courier New" w:hAnsi="Courier New"/>
          <w:sz w:val="15"/>
          <w:szCs w:val="15"/>
          <w:color w:val="auto"/>
        </w:rPr>
        <w:t>Discharge and Defeasance</w:t>
      </w:r>
    </w:p>
    <w:p>
      <w:pPr>
        <w:spacing w:after="0" w:line="173" w:lineRule="exact"/>
        <w:rPr>
          <w:sz w:val="20"/>
          <w:szCs w:val="20"/>
          <w:color w:val="auto"/>
        </w:rPr>
      </w:pPr>
    </w:p>
    <w:p>
      <w:pPr>
        <w:jc w:val="both"/>
        <w:ind w:right="3399" w:firstLine="437"/>
        <w:spacing w:after="0" w:line="235" w:lineRule="auto"/>
        <w:rPr>
          <w:sz w:val="20"/>
          <w:szCs w:val="20"/>
          <w:color w:val="auto"/>
        </w:rPr>
      </w:pPr>
      <w:r>
        <w:rPr>
          <w:rFonts w:ascii="Courier New" w:cs="Courier New" w:eastAsia="Courier New" w:hAnsi="Courier New"/>
          <w:sz w:val="15"/>
          <w:szCs w:val="15"/>
          <w:color w:val="auto"/>
        </w:rPr>
        <w:t>The senior indenture provides that, except as otherwise provided in this paragraph, we may discharge our obligations with respect to an issue of senior debt securities and the senior indenture with respect to that series of senior debt securities if:</w:t>
      </w:r>
    </w:p>
    <w:p>
      <w:pPr>
        <w:spacing w:after="0" w:line="175" w:lineRule="exact"/>
        <w:rPr>
          <w:sz w:val="20"/>
          <w:szCs w:val="20"/>
          <w:color w:val="auto"/>
        </w:rPr>
      </w:pPr>
    </w:p>
    <w:p>
      <w:pPr>
        <w:ind w:left="800" w:right="3579" w:hanging="353"/>
        <w:spacing w:after="0" w:line="235" w:lineRule="auto"/>
        <w:tabs>
          <w:tab w:leader="none" w:pos="800"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senior debt securities of the affected series previously authenticated and delivered with certain exceptions, have been delivered to the trustee for cancellation and we have paid all sums payable under the senior indenture; or</w:t>
      </w:r>
    </w:p>
    <w:p>
      <w:pPr>
        <w:spacing w:after="0" w:line="175" w:lineRule="exact"/>
        <w:rPr>
          <w:rFonts w:ascii="Courier New" w:cs="Courier New" w:eastAsia="Courier New" w:hAnsi="Courier New"/>
          <w:sz w:val="15"/>
          <w:szCs w:val="15"/>
          <w:color w:val="auto"/>
        </w:rPr>
      </w:pPr>
    </w:p>
    <w:p>
      <w:pPr>
        <w:ind w:left="800" w:right="3239" w:hanging="353"/>
        <w:spacing w:after="0" w:line="235" w:lineRule="auto"/>
        <w:tabs>
          <w:tab w:leader="none" w:pos="800"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senior debt securities of the affected series mature within one year or all of them are to be called for redemption within one year under arrangements satisfactory to the trustee for giving the notice of redemption and:</w:t>
      </w:r>
    </w:p>
    <w:p>
      <w:pPr>
        <w:spacing w:after="0" w:line="175" w:lineRule="exact"/>
        <w:rPr>
          <w:rFonts w:ascii="Courier New" w:cs="Courier New" w:eastAsia="Courier New" w:hAnsi="Courier New"/>
          <w:sz w:val="15"/>
          <w:szCs w:val="15"/>
          <w:color w:val="auto"/>
        </w:rPr>
      </w:pPr>
    </w:p>
    <w:p>
      <w:pPr>
        <w:ind w:left="1240" w:right="3239" w:hanging="437"/>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owe irrevocably deposit in trust with the trustee, as trust funds solely for the benefit of the holders of the senior debt securities of the affected series, for that purpose, money or U.S. government obligations or a combination thereof sufficient (unless such funds consist solely of money, in the opinion of a nationally recognized firm of independent public accountants expressed in a written certification</w:t>
      </w:r>
    </w:p>
    <w:p>
      <w:pPr>
        <w:spacing w:after="0" w:line="33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0239"/>
          </w:cols>
          <w:pgMar w:left="220" w:top="792" w:right="1440" w:bottom="1440" w:gutter="0" w:footer="0" w:header="0"/>
        </w:sectPr>
      </w:pPr>
    </w:p>
    <w:bookmarkStart w:id="26" w:name="page27"/>
    <w:bookmarkEnd w:id="26"/>
    <w:p>
      <w:pPr>
        <w:ind w:left="1240" w:right="3319"/>
        <w:spacing w:after="0" w:line="236" w:lineRule="auto"/>
        <w:rPr>
          <w:sz w:val="20"/>
          <w:szCs w:val="20"/>
          <w:color w:val="auto"/>
        </w:rPr>
      </w:pPr>
      <w:r>
        <w:rPr>
          <w:rFonts w:ascii="Courier New" w:cs="Courier New" w:eastAsia="Courier New" w:hAnsi="Courier New"/>
          <w:sz w:val="15"/>
          <w:szCs w:val="15"/>
          <w:color w:val="auto"/>
        </w:rPr>
        <w:t>thereof delivered to the trustee), without consideration of any reinvestment and after payment of all federal, state and local taxes or other charges and assessments in respect thereof payable by the trustee, to pay principal of and interest on the senior debt securities of the affected series to maturity or redemption, as the case may be, and to pay all other sums payable by it under the senior indenture; and</w:t>
      </w:r>
    </w:p>
    <w:p>
      <w:pPr>
        <w:spacing w:after="0" w:line="176" w:lineRule="exact"/>
        <w:rPr>
          <w:sz w:val="20"/>
          <w:szCs w:val="20"/>
          <w:color w:val="auto"/>
        </w:rPr>
      </w:pPr>
    </w:p>
    <w:p>
      <w:pPr>
        <w:ind w:left="1240" w:right="3319" w:hanging="356"/>
        <w:spacing w:after="0" w:line="256" w:lineRule="auto"/>
        <w:tabs>
          <w:tab w:leader="none" w:pos="1240" w:val="left"/>
        </w:tabs>
        <w:numPr>
          <w:ilvl w:val="0"/>
          <w:numId w:val="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we deliver to the trustee an officers' certificate and an opinion of counsel, in each case stating that all conditions precedent provided for in the senior indenture relating to the satisfaction and discharge of the senior indenture with respect to the senior debt securities of the affected series have been complied with.</w:t>
      </w:r>
    </w:p>
    <w:p>
      <w:pPr>
        <w:spacing w:after="0" w:line="16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With respect to all senior debt securities which have been delivered to the trustee for cancellation and for which have been paid all sums payable by us under the senior indenture, only our obligations to compensate and indemnify the trustee and our right to recover excess money held by the trustee under the senior indenture shall survive. With respect to senior debt securities which mature within one year or are to be called for redemption within one year under redemption arrangements deemed appropriate by the trustee, only our obligations with respect to the issue of defeased senior debt securities to execute and deliver such senior debt securities for authentication, to set the terms of such senior debt securities, to maintain an office or agency in respect of such senior debt securities, to have moneys held for payment in trust, to register the transfer or exchange of such senior debt securities, to deliver such senior debt securities for replacement or cancellation, to compensate and indemnify the trustee and to appoint a successor trustee, and our right to recover excess money held by the trustee shall survive until such senior debt securities are no longer outstanding. Thereafter, only our obligations to compensate and indemnify the trustee, and our right to recover excess money held by the trustee shall survive.</w:t>
      </w:r>
    </w:p>
    <w:p>
      <w:pPr>
        <w:spacing w:after="0" w:line="331" w:lineRule="exact"/>
        <w:rPr>
          <w:sz w:val="20"/>
          <w:szCs w:val="20"/>
          <w:color w:val="auto"/>
        </w:rPr>
      </w:pPr>
    </w:p>
    <w:p>
      <w:pPr>
        <w:ind w:right="3499" w:firstLine="437"/>
        <w:spacing w:after="0" w:line="234" w:lineRule="auto"/>
        <w:rPr>
          <w:sz w:val="20"/>
          <w:szCs w:val="20"/>
          <w:color w:val="auto"/>
        </w:rPr>
      </w:pPr>
      <w:r>
        <w:rPr>
          <w:rFonts w:ascii="Courier New" w:cs="Courier New" w:eastAsia="Courier New" w:hAnsi="Courier New"/>
          <w:sz w:val="15"/>
          <w:szCs w:val="15"/>
          <w:color w:val="auto"/>
        </w:rPr>
        <w:t>The senior indenture also provides that, except as otherwise provided in this paragraph, we:</w:t>
      </w:r>
    </w:p>
    <w:p>
      <w:pPr>
        <w:spacing w:after="0" w:line="173" w:lineRule="exact"/>
        <w:rPr>
          <w:sz w:val="20"/>
          <w:szCs w:val="20"/>
          <w:color w:val="auto"/>
        </w:rPr>
      </w:pPr>
    </w:p>
    <w:p>
      <w:pPr>
        <w:ind w:left="800" w:right="3399" w:hanging="353"/>
        <w:spacing w:after="0" w:line="236" w:lineRule="auto"/>
        <w:tabs>
          <w:tab w:leader="none" w:pos="800"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will be deemed to have paid and will be discharged from any and all obligations in respect of a series of senior debt securities, and the provisions of the senior indenture and the cable guarantees will no longer be in effect with respect to those senior debt securities ("legal defeasance"); and</w:t>
      </w:r>
    </w:p>
    <w:p>
      <w:pPr>
        <w:spacing w:after="0" w:line="173" w:lineRule="exact"/>
        <w:rPr>
          <w:rFonts w:ascii="Courier New" w:cs="Courier New" w:eastAsia="Courier New" w:hAnsi="Courier New"/>
          <w:sz w:val="15"/>
          <w:szCs w:val="15"/>
          <w:color w:val="auto"/>
        </w:rPr>
      </w:pPr>
    </w:p>
    <w:p>
      <w:pPr>
        <w:ind w:left="800" w:right="3239" w:hanging="353"/>
        <w:spacing w:after="0" w:line="256" w:lineRule="auto"/>
        <w:tabs>
          <w:tab w:leader="none" w:pos="800" w:val="left"/>
        </w:tabs>
        <w:numPr>
          <w:ilvl w:val="0"/>
          <w:numId w:val="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may omit to comply with any term, provision or condition of the senior indenture described above under "-- Certain Covenants" and such omission shall be deemed not to be an event of default under the third clause of the first paragraph of "-- Events of Default" with respect to that series of senior debt securities ("covenant defeasance");</w:t>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provided that the following conditions shall have been satisfied:</w:t>
      </w:r>
    </w:p>
    <w:p>
      <w:pPr>
        <w:spacing w:after="0" w:line="173" w:lineRule="exact"/>
        <w:rPr>
          <w:sz w:val="20"/>
          <w:szCs w:val="20"/>
          <w:color w:val="auto"/>
        </w:rPr>
      </w:pPr>
    </w:p>
    <w:p>
      <w:pPr>
        <w:ind w:left="800" w:right="3239" w:hanging="353"/>
        <w:spacing w:after="0" w:line="237" w:lineRule="auto"/>
        <w:tabs>
          <w:tab w:leader="none" w:pos="800"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 have irrevocably deposited in trust with the trustee as trust funds solely for the benefit of the holders of the senior debt securities of such series, for payment of the principal of and interest on the senior debt securities of such series, money or U.S. government obligations or a combination thereof sufficient (unless such funds consist solely of money, in the opinion of a nationally recognized firm of independent public accountants expressed in a written certification thereof delivered to the trustee) without consideration of any reinvestment and after payment of all federal, state and local taxes or other charges and assessments in respect thereof payable by the trustee, to pay and discharge the principal of and accrued interest on the senior debt securities of such series to maturity or earlier redemption (irrevocably provided for under arrangements satisfactory to the trustee), as the case may be;</w:t>
      </w:r>
    </w:p>
    <w:p>
      <w:pPr>
        <w:spacing w:after="0" w:line="173" w:lineRule="exact"/>
        <w:rPr>
          <w:rFonts w:ascii="Courier New" w:cs="Courier New" w:eastAsia="Courier New" w:hAnsi="Courier New"/>
          <w:sz w:val="15"/>
          <w:szCs w:val="15"/>
          <w:color w:val="auto"/>
        </w:rPr>
      </w:pPr>
    </w:p>
    <w:p>
      <w:pPr>
        <w:ind w:left="800" w:right="3239" w:hanging="353"/>
        <w:spacing w:after="0" w:line="235" w:lineRule="auto"/>
        <w:tabs>
          <w:tab w:leader="none" w:pos="800"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deposit will not result in a breach or violation of, or constitute a default under, the senior indenture, the cable guarantees or any other material agreement or instrument to which we are a party or by which we are bound;</w:t>
      </w:r>
    </w:p>
    <w:p>
      <w:pPr>
        <w:spacing w:after="0" w:line="175" w:lineRule="exact"/>
        <w:rPr>
          <w:rFonts w:ascii="Courier New" w:cs="Courier New" w:eastAsia="Courier New" w:hAnsi="Courier New"/>
          <w:sz w:val="15"/>
          <w:szCs w:val="15"/>
          <w:color w:val="auto"/>
        </w:rPr>
      </w:pPr>
    </w:p>
    <w:p>
      <w:pPr>
        <w:ind w:left="800" w:right="3319" w:hanging="353"/>
        <w:spacing w:after="0" w:line="235" w:lineRule="auto"/>
        <w:tabs>
          <w:tab w:leader="none" w:pos="800"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default or event of default with respect to the senior debt securities of such series shall have occurred and be continuing on the date of such deposit;</w:t>
      </w:r>
    </w:p>
    <w:p>
      <w:pPr>
        <w:spacing w:after="0" w:line="167" w:lineRule="exact"/>
        <w:rPr>
          <w:rFonts w:ascii="Courier New" w:cs="Courier New" w:eastAsia="Courier New" w:hAnsi="Courier New"/>
          <w:sz w:val="15"/>
          <w:szCs w:val="15"/>
          <w:color w:val="auto"/>
        </w:rPr>
      </w:pPr>
    </w:p>
    <w:p>
      <w:pPr>
        <w:ind w:left="800" w:hanging="353"/>
        <w:spacing w:after="0"/>
        <w:tabs>
          <w:tab w:leader="none" w:pos="800"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 shall have delivered to the trustee:</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10239"/>
          </w:cols>
          <w:pgMar w:left="220" w:top="792" w:right="1440" w:bottom="1440" w:gutter="0" w:footer="0" w:header="0"/>
        </w:sectPr>
      </w:pPr>
    </w:p>
    <w:bookmarkStart w:id="27" w:name="page28"/>
    <w:bookmarkEnd w:id="27"/>
    <w:p>
      <w:pPr>
        <w:ind w:left="1240" w:right="3319" w:hanging="356"/>
        <w:spacing w:after="0" w:line="255" w:lineRule="auto"/>
        <w:tabs>
          <w:tab w:leader="none" w:pos="1240" w:val="left"/>
        </w:tabs>
        <w:numPr>
          <w:ilvl w:val="0"/>
          <w:numId w:val="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either an opinion of counsel that the holders of the senior debt securities of such series will not recognize income, gain or loss for federal income tax purposes as a result of our exercising our option under this provision of the senior indenture and will be subject to federal income tax on the same amount and in the same manner and at the same times as would have been the case if such deposit and defeasance had not occurred (which opinion, in the case of a legal defeasance, shall be based upon a change in law) or a ruling directed to the trustee received from the Internal Revenue Service to the same effect; and</w:t>
      </w:r>
    </w:p>
    <w:p>
      <w:pPr>
        <w:spacing w:after="0" w:line="165" w:lineRule="exact"/>
        <w:rPr>
          <w:rFonts w:ascii="Courier New" w:cs="Courier New" w:eastAsia="Courier New" w:hAnsi="Courier New"/>
          <w:sz w:val="14"/>
          <w:szCs w:val="14"/>
          <w:color w:val="auto"/>
        </w:rPr>
      </w:pPr>
    </w:p>
    <w:p>
      <w:pPr>
        <w:ind w:left="1240" w:right="3239" w:hanging="356"/>
        <w:spacing w:after="0" w:line="235" w:lineRule="auto"/>
        <w:tabs>
          <w:tab w:leader="none" w:pos="1240"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opinion of counsel that the holders of the senior debt securities of such series have a valid security interest in the trust funds subject to no prior liens under the Uniform Commercial Code; and</w:t>
      </w:r>
    </w:p>
    <w:p>
      <w:pPr>
        <w:spacing w:after="0" w:line="175" w:lineRule="exact"/>
        <w:rPr>
          <w:sz w:val="20"/>
          <w:szCs w:val="20"/>
          <w:color w:val="auto"/>
        </w:rPr>
      </w:pPr>
    </w:p>
    <w:p>
      <w:pPr>
        <w:ind w:left="800" w:right="3319" w:hanging="353"/>
        <w:spacing w:after="0" w:line="236" w:lineRule="auto"/>
        <w:tabs>
          <w:tab w:leader="none" w:pos="800"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 have delivered to the trustee an officers' certificate and an opinion of counsel, in each case stating that all conditions precedent provided for in the senior indenture relating to the defeasance contemplated of the senior debt securities of such series have been complied with.</w:t>
      </w:r>
    </w:p>
    <w:p>
      <w:pPr>
        <w:spacing w:after="0" w:line="174"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Subsequent to legal defeasance under the first bullet point above, our obligations with respect to the issue of defeased senior debt securities to execute and deliver such senior debt securities for authentication, to set the terms of such senior debt securities, to maintain an office or agency in respect of such senior debt securities, to have moneys held for payment in trust, to register the transfer or exchange of such senior debt securities, to deliver such senior debt securities for replacement or cancellation, to compensate and indemnify the trustee and to appoint a successor trustee, and our right to recover excess money held by the trustee shall survive until such senior debt securities are no longer outstanding. After such senior debt securities are no longer outstanding, in the case of legal defeasance under the first bullet point above, only our obligations to compensate and indemnify the trustee and our right to recover excess money held by the trustee shall survive.</w:t>
      </w:r>
    </w:p>
    <w:p>
      <w:pPr>
        <w:spacing w:after="0" w:line="158" w:lineRule="exact"/>
        <w:rPr>
          <w:sz w:val="20"/>
          <w:szCs w:val="20"/>
          <w:color w:val="auto"/>
        </w:rPr>
      </w:pPr>
    </w:p>
    <w:p>
      <w:pPr>
        <w:ind w:left="280"/>
        <w:spacing w:after="0"/>
        <w:rPr>
          <w:sz w:val="20"/>
          <w:szCs w:val="20"/>
          <w:color w:val="auto"/>
        </w:rPr>
      </w:pPr>
      <w:r>
        <w:rPr>
          <w:rFonts w:ascii="Courier New" w:cs="Courier New" w:eastAsia="Courier New" w:hAnsi="Courier New"/>
          <w:sz w:val="15"/>
          <w:szCs w:val="15"/>
          <w:color w:val="auto"/>
        </w:rPr>
        <w:t>Modification and Waiver</w:t>
      </w:r>
    </w:p>
    <w:p>
      <w:pPr>
        <w:spacing w:after="0" w:line="173" w:lineRule="exact"/>
        <w:rPr>
          <w:sz w:val="20"/>
          <w:szCs w:val="20"/>
          <w:color w:val="auto"/>
        </w:rPr>
      </w:pPr>
    </w:p>
    <w:p>
      <w:pPr>
        <w:ind w:right="3679" w:firstLine="437"/>
        <w:spacing w:after="0" w:line="261" w:lineRule="auto"/>
        <w:rPr>
          <w:sz w:val="20"/>
          <w:szCs w:val="20"/>
          <w:color w:val="auto"/>
        </w:rPr>
      </w:pPr>
      <w:r>
        <w:rPr>
          <w:rFonts w:ascii="Courier New" w:cs="Courier New" w:eastAsia="Courier New" w:hAnsi="Courier New"/>
          <w:sz w:val="14"/>
          <w:szCs w:val="14"/>
          <w:color w:val="auto"/>
        </w:rPr>
        <w:t>We and the trustee may amend or supplement the senior indenture or the senior debt securities without notice to or the consent of any holder:</w:t>
      </w:r>
    </w:p>
    <w:p>
      <w:pPr>
        <w:spacing w:after="0" w:line="160" w:lineRule="exact"/>
        <w:rPr>
          <w:sz w:val="20"/>
          <w:szCs w:val="20"/>
          <w:color w:val="auto"/>
        </w:rPr>
      </w:pPr>
    </w:p>
    <w:p>
      <w:pPr>
        <w:jc w:val="both"/>
        <w:ind w:left="800" w:right="3239" w:hanging="353"/>
        <w:spacing w:after="0" w:line="258" w:lineRule="auto"/>
        <w:tabs>
          <w:tab w:leader="none" w:pos="800" w:val="left"/>
        </w:tabs>
        <w:numPr>
          <w:ilvl w:val="0"/>
          <w:numId w:val="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cure any ambiguity, defect, or inconsistency in the senior industry; provided that such amendments or supplements shall not adversely affect the interests of the holders in any material respect;</w:t>
      </w:r>
    </w:p>
    <w:p>
      <w:pPr>
        <w:spacing w:after="0" w:line="161" w:lineRule="exact"/>
        <w:rPr>
          <w:rFonts w:ascii="Courier New" w:cs="Courier New" w:eastAsia="Courier New" w:hAnsi="Courier New"/>
          <w:sz w:val="14"/>
          <w:szCs w:val="14"/>
          <w:color w:val="auto"/>
        </w:rPr>
      </w:pPr>
    </w:p>
    <w:p>
      <w:pPr>
        <w:ind w:left="800" w:right="3499" w:hanging="353"/>
        <w:spacing w:after="0" w:line="234" w:lineRule="auto"/>
        <w:tabs>
          <w:tab w:leader="none" w:pos="800"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comply with the provisions described under "--Certain Covenants-- Consolidation, Merger and Sale of Assets;"</w:t>
      </w:r>
    </w:p>
    <w:p>
      <w:pPr>
        <w:spacing w:after="0" w:line="173" w:lineRule="exact"/>
        <w:rPr>
          <w:rFonts w:ascii="Courier New" w:cs="Courier New" w:eastAsia="Courier New" w:hAnsi="Courier New"/>
          <w:sz w:val="15"/>
          <w:szCs w:val="15"/>
          <w:color w:val="auto"/>
        </w:rPr>
      </w:pPr>
    </w:p>
    <w:p>
      <w:pPr>
        <w:ind w:left="800" w:right="3499" w:hanging="353"/>
        <w:spacing w:after="0" w:line="261" w:lineRule="auto"/>
        <w:tabs>
          <w:tab w:leader="none" w:pos="800" w:val="left"/>
        </w:tabs>
        <w:numPr>
          <w:ilvl w:val="0"/>
          <w:numId w:val="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comply with any requirements of the SEC in connection with the qualification of the senior indenture under the Trust Indenture Act;</w:t>
      </w:r>
    </w:p>
    <w:p>
      <w:pPr>
        <w:spacing w:after="0" w:line="159" w:lineRule="exact"/>
        <w:rPr>
          <w:rFonts w:ascii="Courier New" w:cs="Courier New" w:eastAsia="Courier New" w:hAnsi="Courier New"/>
          <w:sz w:val="14"/>
          <w:szCs w:val="14"/>
          <w:color w:val="auto"/>
        </w:rPr>
      </w:pPr>
    </w:p>
    <w:p>
      <w:pPr>
        <w:ind w:left="800" w:right="3319" w:hanging="353"/>
        <w:spacing w:after="0" w:line="234" w:lineRule="auto"/>
        <w:tabs>
          <w:tab w:leader="none" w:pos="800"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evidence and provide for the acceptance of appointment hereunder by a successor trustee;</w:t>
      </w:r>
    </w:p>
    <w:p>
      <w:pPr>
        <w:spacing w:after="0" w:line="173" w:lineRule="exact"/>
        <w:rPr>
          <w:rFonts w:ascii="Courier New" w:cs="Courier New" w:eastAsia="Courier New" w:hAnsi="Courier New"/>
          <w:sz w:val="15"/>
          <w:szCs w:val="15"/>
          <w:color w:val="auto"/>
        </w:rPr>
      </w:pPr>
    </w:p>
    <w:p>
      <w:pPr>
        <w:ind w:left="800" w:right="3399" w:hanging="353"/>
        <w:spacing w:after="0" w:line="234" w:lineRule="auto"/>
        <w:tabs>
          <w:tab w:leader="none" w:pos="800"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establish the form or forms or terms of the senior debt securities as permitted by the senior indenture;</w:t>
      </w:r>
    </w:p>
    <w:p>
      <w:pPr>
        <w:spacing w:after="0" w:line="173" w:lineRule="exact"/>
        <w:rPr>
          <w:rFonts w:ascii="Courier New" w:cs="Courier New" w:eastAsia="Courier New" w:hAnsi="Courier New"/>
          <w:sz w:val="15"/>
          <w:szCs w:val="15"/>
          <w:color w:val="auto"/>
        </w:rPr>
      </w:pPr>
    </w:p>
    <w:p>
      <w:pPr>
        <w:ind w:left="800" w:right="3239" w:hanging="353"/>
        <w:spacing w:after="0" w:line="234" w:lineRule="auto"/>
        <w:tabs>
          <w:tab w:leader="none" w:pos="800"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provide for uncertificated notes and to make all appropriate changes for such purpose;</w:t>
      </w:r>
    </w:p>
    <w:p>
      <w:pPr>
        <w:spacing w:after="0" w:line="173" w:lineRule="exact"/>
        <w:rPr>
          <w:rFonts w:ascii="Courier New" w:cs="Courier New" w:eastAsia="Courier New" w:hAnsi="Courier New"/>
          <w:sz w:val="15"/>
          <w:szCs w:val="15"/>
          <w:color w:val="auto"/>
        </w:rPr>
      </w:pPr>
    </w:p>
    <w:p>
      <w:pPr>
        <w:ind w:left="800" w:right="3579" w:hanging="353"/>
        <w:spacing w:after="0" w:line="234" w:lineRule="auto"/>
        <w:tabs>
          <w:tab w:leader="none" w:pos="800"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make any change that does not adversely affect the rights of any holder;</w:t>
      </w:r>
    </w:p>
    <w:p>
      <w:pPr>
        <w:spacing w:after="0" w:line="173" w:lineRule="exact"/>
        <w:rPr>
          <w:rFonts w:ascii="Courier New" w:cs="Courier New" w:eastAsia="Courier New" w:hAnsi="Courier New"/>
          <w:sz w:val="15"/>
          <w:szCs w:val="15"/>
          <w:color w:val="auto"/>
        </w:rPr>
      </w:pPr>
    </w:p>
    <w:p>
      <w:pPr>
        <w:ind w:left="800" w:right="3239" w:hanging="353"/>
        <w:spacing w:after="0" w:line="236" w:lineRule="auto"/>
        <w:tabs>
          <w:tab w:leader="none" w:pos="800"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add to its covenants such new covenants, restrictions, conditions or provisions for the protection of the holders, and to make the occurrence, or the occurrence and continuance, of a default in any such additional covenants, restrictions, conditions or provisions an event of default; or</w:t>
      </w:r>
    </w:p>
    <w:p>
      <w:pPr>
        <w:spacing w:after="0" w:line="173" w:lineRule="exact"/>
        <w:rPr>
          <w:rFonts w:ascii="Courier New" w:cs="Courier New" w:eastAsia="Courier New" w:hAnsi="Courier New"/>
          <w:sz w:val="15"/>
          <w:szCs w:val="15"/>
          <w:color w:val="auto"/>
        </w:rPr>
      </w:pPr>
    </w:p>
    <w:p>
      <w:pPr>
        <w:ind w:left="800" w:right="4279" w:hanging="353"/>
        <w:spacing w:after="0" w:line="234" w:lineRule="auto"/>
        <w:tabs>
          <w:tab w:leader="none" w:pos="800"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make any change so long as no senior debt securities are outstanding.</w:t>
      </w:r>
    </w:p>
    <w:p>
      <w:pPr>
        <w:spacing w:after="0" w:line="173"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Subject to certain conditions, without prior notice to any holder of senior debt securities, modifications and amendments of the senior indenture may be made by us and the trustee with respect to any series of senior debt</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23</w:t>
      </w:r>
    </w:p>
    <w:p>
      <w:pPr>
        <w:sectPr>
          <w:pgSz w:w="11900" w:h="16838" w:orient="portrait"/>
          <w:cols w:equalWidth="0" w:num="1">
            <w:col w:w="10239"/>
          </w:cols>
          <w:pgMar w:left="220" w:top="792" w:right="1440" w:bottom="1440" w:gutter="0" w:footer="0" w:header="0"/>
        </w:sectPr>
      </w:pPr>
    </w:p>
    <w:bookmarkStart w:id="28" w:name="page29"/>
    <w:bookmarkEnd w:id="28"/>
    <w:p>
      <w:pPr>
        <w:ind w:right="3239"/>
        <w:spacing w:after="0" w:line="236" w:lineRule="auto"/>
        <w:rPr>
          <w:sz w:val="20"/>
          <w:szCs w:val="20"/>
          <w:color w:val="auto"/>
        </w:rPr>
      </w:pPr>
      <w:r>
        <w:rPr>
          <w:rFonts w:ascii="Courier New" w:cs="Courier New" w:eastAsia="Courier New" w:hAnsi="Courier New"/>
          <w:sz w:val="15"/>
          <w:szCs w:val="15"/>
          <w:color w:val="auto"/>
        </w:rPr>
        <w:t>securities with the written consent of the holders of a majority in principal amount of the affected series of senior debt securities, and our compliance with any provision of the senior indenture with respect to any series of senior debt securities may be waived by written notice to the trustee by the holders of a majority in principal amount of the affected series of senior debt securities outstanding; provided, however, that each affected holder must consent to any modification, amendment or waiver that:</w:t>
      </w:r>
    </w:p>
    <w:p>
      <w:pPr>
        <w:spacing w:after="0" w:line="176" w:lineRule="exact"/>
        <w:rPr>
          <w:sz w:val="20"/>
          <w:szCs w:val="20"/>
          <w:color w:val="auto"/>
        </w:rPr>
      </w:pPr>
    </w:p>
    <w:p>
      <w:pPr>
        <w:ind w:left="800" w:right="3319" w:hanging="353"/>
        <w:spacing w:after="0" w:line="234" w:lineRule="auto"/>
        <w:tabs>
          <w:tab w:leader="none" w:pos="800"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changes the stated maturity of the principal of, or any installment of interest on, the senior debt securities of the affected series;</w:t>
      </w:r>
    </w:p>
    <w:p>
      <w:pPr>
        <w:spacing w:after="0" w:line="173" w:lineRule="exact"/>
        <w:rPr>
          <w:rFonts w:ascii="Courier New" w:cs="Courier New" w:eastAsia="Courier New" w:hAnsi="Courier New"/>
          <w:sz w:val="15"/>
          <w:szCs w:val="15"/>
          <w:color w:val="auto"/>
        </w:rPr>
      </w:pPr>
    </w:p>
    <w:p>
      <w:pPr>
        <w:ind w:left="800" w:right="3499" w:hanging="353"/>
        <w:spacing w:after="0" w:line="234" w:lineRule="auto"/>
        <w:tabs>
          <w:tab w:leader="none" w:pos="800"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reduces the principal amount of, or premium, if any, or interest on, the senior debt securities of the affected series;</w:t>
      </w:r>
    </w:p>
    <w:p>
      <w:pPr>
        <w:spacing w:after="0" w:line="173" w:lineRule="exact"/>
        <w:rPr>
          <w:rFonts w:ascii="Courier New" w:cs="Courier New" w:eastAsia="Courier New" w:hAnsi="Courier New"/>
          <w:sz w:val="15"/>
          <w:szCs w:val="15"/>
          <w:color w:val="auto"/>
        </w:rPr>
      </w:pPr>
    </w:p>
    <w:p>
      <w:pPr>
        <w:ind w:left="800" w:right="3399" w:hanging="353"/>
        <w:spacing w:after="0" w:line="235" w:lineRule="auto"/>
        <w:tabs>
          <w:tab w:leader="none" w:pos="800"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changes the place or currency of payment of principal of, or premium, if any, or interest on, the senior debt securities of the affected series;</w:t>
      </w:r>
    </w:p>
    <w:p>
      <w:pPr>
        <w:spacing w:after="0" w:line="173" w:lineRule="exact"/>
        <w:rPr>
          <w:rFonts w:ascii="Courier New" w:cs="Courier New" w:eastAsia="Courier New" w:hAnsi="Courier New"/>
          <w:sz w:val="15"/>
          <w:szCs w:val="15"/>
          <w:color w:val="auto"/>
        </w:rPr>
      </w:pPr>
    </w:p>
    <w:p>
      <w:pPr>
        <w:ind w:left="800" w:right="3399" w:hanging="353"/>
        <w:spacing w:after="0" w:line="234" w:lineRule="auto"/>
        <w:tabs>
          <w:tab w:leader="none" w:pos="800"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changes the provisions for calculating the optional redemption price, including the definitions relating thereto;</w:t>
      </w:r>
    </w:p>
    <w:p>
      <w:pPr>
        <w:spacing w:after="0" w:line="173" w:lineRule="exact"/>
        <w:rPr>
          <w:rFonts w:ascii="Courier New" w:cs="Courier New" w:eastAsia="Courier New" w:hAnsi="Courier New"/>
          <w:sz w:val="15"/>
          <w:szCs w:val="15"/>
          <w:color w:val="auto"/>
        </w:rPr>
      </w:pPr>
    </w:p>
    <w:p>
      <w:pPr>
        <w:ind w:left="800" w:right="3499" w:hanging="353"/>
        <w:spacing w:after="0" w:line="256" w:lineRule="auto"/>
        <w:tabs>
          <w:tab w:leader="none" w:pos="800" w:val="left"/>
        </w:tabs>
        <w:numPr>
          <w:ilvl w:val="0"/>
          <w:numId w:val="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changes the provisions relating to the waiver of past defaults or changes or impairs the right of holders to receive payment or to institute suit for the enforcement of any payment of the senior debt securities of the affected series on or after the due date therefor;</w:t>
      </w:r>
    </w:p>
    <w:p>
      <w:pPr>
        <w:spacing w:after="0" w:line="164" w:lineRule="exact"/>
        <w:rPr>
          <w:rFonts w:ascii="Courier New" w:cs="Courier New" w:eastAsia="Courier New" w:hAnsi="Courier New"/>
          <w:sz w:val="14"/>
          <w:szCs w:val="14"/>
          <w:color w:val="auto"/>
        </w:rPr>
      </w:pPr>
    </w:p>
    <w:p>
      <w:pPr>
        <w:ind w:left="800" w:right="3759" w:hanging="353"/>
        <w:spacing w:after="0" w:line="235" w:lineRule="auto"/>
        <w:tabs>
          <w:tab w:leader="none" w:pos="800"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reduces the above-stated percentage of outstanding senior debt securities of the affected series the consent of whose holders is necessary to modify or amend or to waive certain provisions of or defaults under the senior indenture;</w:t>
      </w:r>
    </w:p>
    <w:p>
      <w:pPr>
        <w:spacing w:after="0" w:line="175" w:lineRule="exact"/>
        <w:rPr>
          <w:rFonts w:ascii="Courier New" w:cs="Courier New" w:eastAsia="Courier New" w:hAnsi="Courier New"/>
          <w:sz w:val="15"/>
          <w:szCs w:val="15"/>
          <w:color w:val="auto"/>
        </w:rPr>
      </w:pPr>
    </w:p>
    <w:p>
      <w:pPr>
        <w:ind w:left="800" w:right="3499" w:hanging="353"/>
        <w:spacing w:after="0" w:line="234" w:lineRule="auto"/>
        <w:tabs>
          <w:tab w:leader="none" w:pos="800"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waives a default in the payment of principal of, premium, if any, or interest on the senior debt securities; or</w:t>
      </w:r>
    </w:p>
    <w:p>
      <w:pPr>
        <w:spacing w:after="0" w:line="173" w:lineRule="exact"/>
        <w:rPr>
          <w:rFonts w:ascii="Courier New" w:cs="Courier New" w:eastAsia="Courier New" w:hAnsi="Courier New"/>
          <w:sz w:val="15"/>
          <w:szCs w:val="15"/>
          <w:color w:val="auto"/>
        </w:rPr>
      </w:pPr>
    </w:p>
    <w:p>
      <w:pPr>
        <w:ind w:left="800" w:right="3319" w:hanging="353"/>
        <w:spacing w:after="0" w:line="256" w:lineRule="auto"/>
        <w:tabs>
          <w:tab w:leader="none" w:pos="800" w:val="left"/>
        </w:tabs>
        <w:numPr>
          <w:ilvl w:val="0"/>
          <w:numId w:val="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modifies any of the provisions of this paragraph, except to increase any required percentage or to provide that certain other provisions cannot be modified or waived without the consent of the holder of each senior debt security of the series affected by the modification.</w:t>
      </w:r>
    </w:p>
    <w:p>
      <w:pPr>
        <w:spacing w:after="0" w:line="164"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It is not necessary for the consent of the holders under the senior indenture to approve the particular form of any note amendment, supplement or waiver, but it shall be sufficient if such consent approves the substance thereof. After an amendment, supplement or waiver under the senior indenture becomes effective, notice must be given to the holders affected thereby briefly describing the amendment, supplement, or waiver. Supplemental indentures will be mailed to holders upon request. Any failure to mail such notice, or any defect therein, shall not, however, in any way impair or affect the validity of any such supplemental indenture or waiver.</w:t>
      </w:r>
    </w:p>
    <w:p>
      <w:pPr>
        <w:spacing w:after="0" w:line="178" w:lineRule="exact"/>
        <w:rPr>
          <w:sz w:val="20"/>
          <w:szCs w:val="20"/>
          <w:color w:val="auto"/>
        </w:rPr>
      </w:pPr>
    </w:p>
    <w:p>
      <w:pPr>
        <w:ind w:right="3499" w:firstLine="262"/>
        <w:spacing w:after="0" w:line="234" w:lineRule="auto"/>
        <w:rPr>
          <w:sz w:val="20"/>
          <w:szCs w:val="20"/>
          <w:color w:val="auto"/>
        </w:rPr>
      </w:pPr>
      <w:r>
        <w:rPr>
          <w:rFonts w:ascii="Courier New" w:cs="Courier New" w:eastAsia="Courier New" w:hAnsi="Courier New"/>
          <w:sz w:val="15"/>
          <w:szCs w:val="15"/>
          <w:color w:val="auto"/>
        </w:rPr>
        <w:t>No Personal Liability of Incorporators, Stockholders, Officers, Directors, or Employees</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The senior indenture provides that no recourse shall be had under or upon any obligation, covenant, or agreement of ours or the cable guarantors in the senior indenture or any supplemental indenture, or in any of the senior debt securities or because of the creation of any indebtedness represented thereby, against any incorporator, stockholder, officer, director, employee of ours or any cable guarantor or of any successor person thereof under any law, statute or constitutional provision or by the enforcement of any assessment or by any legal or equitable proceeding or otherwise. Each holder, by accepting the senior debt securities, waives and releases all such liability.</w:t>
      </w:r>
    </w:p>
    <w:p>
      <w:pPr>
        <w:spacing w:after="0" w:line="159" w:lineRule="exact"/>
        <w:rPr>
          <w:sz w:val="20"/>
          <w:szCs w:val="20"/>
          <w:color w:val="auto"/>
        </w:rPr>
      </w:pPr>
    </w:p>
    <w:p>
      <w:pPr>
        <w:ind w:left="280"/>
        <w:spacing w:after="0"/>
        <w:rPr>
          <w:sz w:val="20"/>
          <w:szCs w:val="20"/>
          <w:color w:val="auto"/>
        </w:rPr>
      </w:pPr>
      <w:r>
        <w:rPr>
          <w:rFonts w:ascii="Courier New" w:cs="Courier New" w:eastAsia="Courier New" w:hAnsi="Courier New"/>
          <w:sz w:val="15"/>
          <w:szCs w:val="15"/>
          <w:color w:val="auto"/>
        </w:rPr>
        <w:t>Concerning the Trustee</w:t>
      </w:r>
    </w:p>
    <w:p>
      <w:pPr>
        <w:spacing w:after="0" w:line="173"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The senior indenture provides that, except during the continuance of a default, the trustee will not be liable, except for the performance of such duties as are specifically set forth in the senior indenture. If an event of default has occurred and is continuing, the trustee will exercise such rights and powers vested in it under the senior indenture and will use the same degree of care and skill in its exercise as a prudent person would exercise under the circumstances in the conduct of such person's own affairs.</w:t>
      </w:r>
    </w:p>
    <w:p>
      <w:pPr>
        <w:spacing w:after="0" w:line="32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24</w:t>
      </w:r>
    </w:p>
    <w:p>
      <w:pPr>
        <w:sectPr>
          <w:pgSz w:w="11900" w:h="16838" w:orient="portrait"/>
          <w:cols w:equalWidth="0" w:num="1">
            <w:col w:w="10239"/>
          </w:cols>
          <w:pgMar w:left="220" w:top="792" w:right="1440" w:bottom="1440" w:gutter="0" w:footer="0" w:header="0"/>
        </w:sectPr>
      </w:pPr>
    </w:p>
    <w:bookmarkStart w:id="29" w:name="page30"/>
    <w:bookmarkEnd w:id="29"/>
    <w:p>
      <w:pPr>
        <w:ind w:left="280"/>
        <w:spacing w:after="0"/>
        <w:rPr>
          <w:sz w:val="20"/>
          <w:szCs w:val="20"/>
          <w:color w:val="auto"/>
        </w:rPr>
      </w:pPr>
      <w:r>
        <w:rPr>
          <w:rFonts w:ascii="Courier New" w:cs="Courier New" w:eastAsia="Courier New" w:hAnsi="Courier New"/>
          <w:sz w:val="15"/>
          <w:szCs w:val="15"/>
          <w:color w:val="auto"/>
        </w:rPr>
        <w:t>Governing Law</w:t>
      </w:r>
    </w:p>
    <w:p>
      <w:pPr>
        <w:spacing w:after="0" w:line="173" w:lineRule="exact"/>
        <w:rPr>
          <w:sz w:val="20"/>
          <w:szCs w:val="20"/>
          <w:color w:val="auto"/>
        </w:rPr>
      </w:pPr>
    </w:p>
    <w:p>
      <w:pPr>
        <w:ind w:right="3759" w:firstLine="437"/>
        <w:spacing w:after="0" w:line="261" w:lineRule="auto"/>
        <w:rPr>
          <w:sz w:val="20"/>
          <w:szCs w:val="20"/>
          <w:color w:val="auto"/>
        </w:rPr>
      </w:pPr>
      <w:r>
        <w:rPr>
          <w:rFonts w:ascii="Courier New" w:cs="Courier New" w:eastAsia="Courier New" w:hAnsi="Courier New"/>
          <w:sz w:val="14"/>
          <w:szCs w:val="14"/>
          <w:color w:val="auto"/>
        </w:rPr>
        <w:t>The senior indenture and the debt securities will be governed by, and construed in accordance with, the internal laws of the State of New York.</w:t>
      </w:r>
    </w:p>
    <w:p>
      <w:pPr>
        <w:spacing w:after="0" w:line="153" w:lineRule="exact"/>
        <w:rPr>
          <w:sz w:val="20"/>
          <w:szCs w:val="20"/>
          <w:color w:val="auto"/>
        </w:rPr>
      </w:pPr>
    </w:p>
    <w:p>
      <w:pPr>
        <w:ind w:left="280"/>
        <w:spacing w:after="0"/>
        <w:rPr>
          <w:sz w:val="20"/>
          <w:szCs w:val="20"/>
          <w:color w:val="auto"/>
        </w:rPr>
      </w:pPr>
      <w:r>
        <w:rPr>
          <w:rFonts w:ascii="Courier New" w:cs="Courier New" w:eastAsia="Courier New" w:hAnsi="Courier New"/>
          <w:sz w:val="15"/>
          <w:szCs w:val="15"/>
          <w:color w:val="auto"/>
        </w:rPr>
        <w:t>The Trustees</w:t>
      </w:r>
    </w:p>
    <w:p>
      <w:pPr>
        <w:spacing w:after="0" w:line="173" w:lineRule="exact"/>
        <w:rPr>
          <w:sz w:val="20"/>
          <w:szCs w:val="20"/>
          <w:color w:val="auto"/>
        </w:rPr>
      </w:pPr>
    </w:p>
    <w:p>
      <w:pPr>
        <w:ind w:right="3319" w:firstLine="437"/>
        <w:spacing w:after="0" w:line="234" w:lineRule="auto"/>
        <w:rPr>
          <w:sz w:val="20"/>
          <w:szCs w:val="20"/>
          <w:color w:val="auto"/>
        </w:rPr>
      </w:pPr>
      <w:r>
        <w:rPr>
          <w:rFonts w:ascii="Courier New" w:cs="Courier New" w:eastAsia="Courier New" w:hAnsi="Courier New"/>
          <w:sz w:val="15"/>
          <w:szCs w:val="15"/>
          <w:color w:val="auto"/>
        </w:rPr>
        <w:t>We may have normal banking relationships with the trustee under the senior indenture in the ordinary course of business.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Certain Terms of the Subordinated Debt Securities</w:t>
      </w:r>
    </w:p>
    <w:p>
      <w:pPr>
        <w:spacing w:after="0" w:line="173" w:lineRule="exact"/>
        <w:rPr>
          <w:sz w:val="20"/>
          <w:szCs w:val="20"/>
          <w:color w:val="auto"/>
        </w:rPr>
      </w:pPr>
    </w:p>
    <w:p>
      <w:pPr>
        <w:ind w:right="3499" w:firstLine="437"/>
        <w:spacing w:after="0" w:line="236" w:lineRule="auto"/>
        <w:rPr>
          <w:sz w:val="20"/>
          <w:szCs w:val="20"/>
          <w:color w:val="auto"/>
        </w:rPr>
      </w:pPr>
      <w:r>
        <w:rPr>
          <w:rFonts w:ascii="Courier New" w:cs="Courier New" w:eastAsia="Courier New" w:hAnsi="Courier New"/>
          <w:sz w:val="15"/>
          <w:szCs w:val="15"/>
          <w:color w:val="auto"/>
        </w:rPr>
        <w:t>Other than the terms of the subordinated indenture and subordinated debt securities relating to subordination, or otherwise as described in the prospectus supplement relating to a particular series of subordinated debt securities, the terms of the subordinated indenture and subordinated debt securities are identical in all material respects to the terms of the senior indenture and senior debt securities.</w:t>
      </w:r>
    </w:p>
    <w:p>
      <w:pPr>
        <w:spacing w:after="0" w:line="168" w:lineRule="exact"/>
        <w:rPr>
          <w:sz w:val="20"/>
          <w:szCs w:val="20"/>
          <w:color w:val="auto"/>
        </w:rPr>
      </w:pPr>
    </w:p>
    <w:p>
      <w:pPr>
        <w:ind w:left="280"/>
        <w:spacing w:after="0"/>
        <w:rPr>
          <w:sz w:val="20"/>
          <w:szCs w:val="20"/>
          <w:color w:val="auto"/>
        </w:rPr>
      </w:pPr>
      <w:r>
        <w:rPr>
          <w:rFonts w:ascii="Courier New" w:cs="Courier New" w:eastAsia="Courier New" w:hAnsi="Courier New"/>
          <w:sz w:val="15"/>
          <w:szCs w:val="15"/>
          <w:color w:val="auto"/>
        </w:rPr>
        <w:t>Subordination</w:t>
      </w:r>
    </w:p>
    <w:p>
      <w:pPr>
        <w:spacing w:after="0" w:line="173" w:lineRule="exact"/>
        <w:rPr>
          <w:sz w:val="20"/>
          <w:szCs w:val="20"/>
          <w:color w:val="auto"/>
        </w:rPr>
      </w:pPr>
    </w:p>
    <w:p>
      <w:pPr>
        <w:ind w:right="3319" w:firstLine="437"/>
        <w:spacing w:after="0" w:line="237" w:lineRule="auto"/>
        <w:rPr>
          <w:sz w:val="20"/>
          <w:szCs w:val="20"/>
          <w:color w:val="auto"/>
        </w:rPr>
      </w:pPr>
      <w:r>
        <w:rPr>
          <w:rFonts w:ascii="Courier New" w:cs="Courier New" w:eastAsia="Courier New" w:hAnsi="Courier New"/>
          <w:sz w:val="15"/>
          <w:szCs w:val="15"/>
          <w:color w:val="auto"/>
        </w:rPr>
        <w:t>The indebtedness evidenced by the subordinated debt securities is subordinate to the prior payment in full of all our Senior Indebtedness, as defined in the subordinated indenture. During the continuance beyond any applicable grace period of any default in the payment of principal, premium, interest or any other payment due on any of our Senior Indebtedness, we may not make any payment of principal of, or premium, if any, or interest on the subordinated debt securities. In addition, upon any distribution of our assets upon any dissolution, winding up, liquidation or reorganization, the payment of the principal of, or premium, if any, and interest on the subordinated debt securities is to be subordinated to the extent provided in the subordinated indenture in right of payment to the prior payment in full of all our Senior Indebtedness. Because of this subordination, if we dissolve or otherwise liquidate, holders of our subordinated debt securities may receive less, ratably, than holders of our Senior Indebtedness. The subordination provisions do not prevent the occurrence of an event of default under the subordinated indenture.</w:t>
      </w:r>
    </w:p>
    <w:p>
      <w:pPr>
        <w:spacing w:after="0" w:line="175" w:lineRule="exact"/>
        <w:rPr>
          <w:sz w:val="20"/>
          <w:szCs w:val="20"/>
          <w:color w:val="auto"/>
        </w:rPr>
      </w:pPr>
    </w:p>
    <w:p>
      <w:pPr>
        <w:jc w:val="both"/>
        <w:ind w:right="3759" w:firstLine="437"/>
        <w:spacing w:after="0" w:line="261" w:lineRule="auto"/>
        <w:rPr>
          <w:sz w:val="20"/>
          <w:szCs w:val="20"/>
          <w:color w:val="auto"/>
        </w:rPr>
      </w:pPr>
      <w:r>
        <w:rPr>
          <w:rFonts w:ascii="Courier New" w:cs="Courier New" w:eastAsia="Courier New" w:hAnsi="Courier New"/>
          <w:sz w:val="14"/>
          <w:szCs w:val="14"/>
          <w:color w:val="auto"/>
        </w:rPr>
        <w:t>The subordination provisions also apply in the same way to each cable guarantor with respect to the Senior Indebtedness of such cable guarantor.</w:t>
      </w:r>
    </w:p>
    <w:p>
      <w:pPr>
        <w:spacing w:after="0" w:line="160"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The term "Senior Indebtedness" of a person means with respect to such person the principal of, premium, if any, interest on, and any other payment due pursuant to any of the following, whether outstanding today or incurred by that person in the future:</w:t>
      </w:r>
    </w:p>
    <w:p>
      <w:pPr>
        <w:spacing w:after="0" w:line="175" w:lineRule="exact"/>
        <w:rPr>
          <w:sz w:val="20"/>
          <w:szCs w:val="20"/>
          <w:color w:val="auto"/>
        </w:rPr>
      </w:pPr>
    </w:p>
    <w:p>
      <w:pPr>
        <w:ind w:left="800" w:right="3239" w:hanging="353"/>
        <w:spacing w:after="0" w:line="236" w:lineRule="auto"/>
        <w:tabs>
          <w:tab w:leader="none" w:pos="800"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of the indebtedness of that person for money borrowed, including any indebtedness secured by a mortgage or other lien which is (1) given to secure all or part of the purchase price of property subject to the mortgage or lien, whether given to the vendor of that property or to another lender, or (2) existing on property at the time that person acquires it;</w:t>
      </w:r>
    </w:p>
    <w:p>
      <w:pPr>
        <w:spacing w:after="0" w:line="174" w:lineRule="exact"/>
        <w:rPr>
          <w:rFonts w:ascii="Courier New" w:cs="Courier New" w:eastAsia="Courier New" w:hAnsi="Courier New"/>
          <w:sz w:val="15"/>
          <w:szCs w:val="15"/>
          <w:color w:val="auto"/>
        </w:rPr>
      </w:pPr>
    </w:p>
    <w:p>
      <w:pPr>
        <w:ind w:left="800" w:right="3319" w:hanging="353"/>
        <w:spacing w:after="0" w:line="261" w:lineRule="auto"/>
        <w:tabs>
          <w:tab w:leader="none" w:pos="800" w:val="left"/>
        </w:tabs>
        <w:numPr>
          <w:ilvl w:val="0"/>
          <w:numId w:val="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of the indebtedness of that person evidenced by notes, debentures, bonds or other securities sold by that person for money;</w:t>
      </w:r>
    </w:p>
    <w:p>
      <w:pPr>
        <w:spacing w:after="0" w:line="159" w:lineRule="exact"/>
        <w:rPr>
          <w:rFonts w:ascii="Courier New" w:cs="Courier New" w:eastAsia="Courier New" w:hAnsi="Courier New"/>
          <w:sz w:val="14"/>
          <w:szCs w:val="14"/>
          <w:color w:val="auto"/>
        </w:rPr>
      </w:pPr>
    </w:p>
    <w:p>
      <w:pPr>
        <w:ind w:left="800" w:right="3239" w:hanging="353"/>
        <w:spacing w:after="0" w:line="261" w:lineRule="auto"/>
        <w:tabs>
          <w:tab w:leader="none" w:pos="800" w:val="left"/>
        </w:tabs>
        <w:numPr>
          <w:ilvl w:val="0"/>
          <w:numId w:val="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of the lease obligations which are capitalized on the books of that person in accordance with generally accepted accounting principles;</w:t>
      </w:r>
    </w:p>
    <w:p>
      <w:pPr>
        <w:spacing w:after="0" w:line="159" w:lineRule="exact"/>
        <w:rPr>
          <w:rFonts w:ascii="Courier New" w:cs="Courier New" w:eastAsia="Courier New" w:hAnsi="Courier New"/>
          <w:sz w:val="14"/>
          <w:szCs w:val="14"/>
          <w:color w:val="auto"/>
        </w:rPr>
      </w:pPr>
    </w:p>
    <w:p>
      <w:pPr>
        <w:ind w:left="800" w:right="3319" w:hanging="353"/>
        <w:spacing w:after="0" w:line="236" w:lineRule="auto"/>
        <w:tabs>
          <w:tab w:leader="none" w:pos="800"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indebtedness of others of the kinds described in the first two bullet points above and all lease obligations of others of the kind described in the third bullet point above that the person, in any manner, assume or guarantee or that the person in effect guarantees through an agreement to purchase, whether that agreement is contingent or otherwise; and</w:t>
      </w:r>
    </w:p>
    <w:p>
      <w:pPr>
        <w:spacing w:after="0" w:line="33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25</w:t>
      </w:r>
    </w:p>
    <w:p>
      <w:pPr>
        <w:sectPr>
          <w:pgSz w:w="11900" w:h="16838" w:orient="portrait"/>
          <w:cols w:equalWidth="0" w:num="1">
            <w:col w:w="10239"/>
          </w:cols>
          <w:pgMar w:left="220" w:top="785" w:right="1440" w:bottom="1440" w:gutter="0" w:footer="0" w:header="0"/>
        </w:sectPr>
      </w:pPr>
    </w:p>
    <w:bookmarkStart w:id="30" w:name="page31"/>
    <w:bookmarkEnd w:id="30"/>
    <w:p>
      <w:pPr>
        <w:ind w:left="800" w:right="3239" w:hanging="353"/>
        <w:spacing w:after="0" w:line="235" w:lineRule="auto"/>
        <w:tabs>
          <w:tab w:leader="none" w:pos="800"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renewals, extensions or refundings of indebtedness of the kinds described in the first, second or fourth bullet point above and all renewals or extensions of leases of the kinds described in the third or fourth bullet point above;</w:t>
      </w:r>
    </w:p>
    <w:p>
      <w:pPr>
        <w:spacing w:after="0" w:line="175"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unless, in the case of any particular indebtedness, lease, renewal, extension or refunding, the instrument or lease creating or evidencing it or the assumption or guarantee relating to it expressly provides that such indebtedness, lease, renewal, extension or refunding is not superior in right of payment to the subordinated debt securities. Our senior debt securities, and any unsubordinated guarantee obligations of ours or any cable guarantor to which we and the cable guarantors are a party, including the cross guarantees, constitute Senior Indebtedness for purposes of the subordinated debt indenture.</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Convertible Debt Securities</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terms, if any, on which debt securities being offered may be exchanged for or converted into other debt securities or shares of preferred stock, Class A Common Stock or Class A Special Common Stock or other securities or rights of ours (including rights to receive payments in cash or securities based on the value, rate or price of one or more specified commodities, currencies or indices) or securities of other issuers or any combination of the foregoing will be set forth in the prospectus supplement for such debt securities being offered.</w:t>
      </w:r>
    </w:p>
    <w:p>
      <w:pPr>
        <w:spacing w:after="0" w:line="177"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Unless otherwise indicated in the prospectus supplement, the following provisions will apply to debt securities being offered that may be exchanged for or converted into capital stock:</w:t>
      </w:r>
    </w:p>
    <w:p>
      <w:pPr>
        <w:spacing w:after="0" w:line="174"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The holder of any debt securities convertible into capital stock will have the right exercisable at any time during the time period specified in the prospectus supplement, unless previously redeemed by us, to convert such debt securities into shares of capital stock, which may include preferred stock, Class A Common Stock or Class A Special Common Stock, as specified in the prospectus supplement, at the conversion rate for each $1,000 principal amount of debt securities set forth in the prospectus supplement, subject to adjustment.</w:t>
      </w:r>
    </w:p>
    <w:p>
      <w:pPr>
        <w:spacing w:after="0" w:line="177"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The holder of a convertible debt security may convert a portion thereof which is $1,000 or any integral multiple of $1,000. In the case of debt securities called for redemption, conversion rights will expire at the close of business on the business day prior to the date fixed for the redemption as may be specified in the prospectus supplement, except that in the case of redemption at the option of the debt security holder, if applicable, such right will terminate upon receipt of written notice of the exercise of such option.</w:t>
      </w:r>
    </w:p>
    <w:p>
      <w:pPr>
        <w:spacing w:after="0" w:line="166"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Unless the terms of the specific debt securities being offered provide otherwise, in certain events, the conversion rate will be subject to adjustment as set forth in the indentures. Such events include:</w:t>
      </w:r>
    </w:p>
    <w:p>
      <w:pPr>
        <w:spacing w:after="0" w:line="174" w:lineRule="exact"/>
        <w:rPr>
          <w:sz w:val="20"/>
          <w:szCs w:val="20"/>
          <w:color w:val="auto"/>
        </w:rPr>
      </w:pPr>
    </w:p>
    <w:p>
      <w:pPr>
        <w:ind w:left="800" w:right="3399" w:hanging="353"/>
        <w:spacing w:after="0" w:line="235" w:lineRule="auto"/>
        <w:tabs>
          <w:tab w:leader="none" w:pos="800"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issuance of shares of any class of capital stock of ours as a dividend on the class of capital stock into which the debt securities of such series are convertible;</w:t>
      </w:r>
    </w:p>
    <w:p>
      <w:pPr>
        <w:spacing w:after="0" w:line="173" w:lineRule="exact"/>
        <w:rPr>
          <w:rFonts w:ascii="Courier New" w:cs="Courier New" w:eastAsia="Courier New" w:hAnsi="Courier New"/>
          <w:sz w:val="15"/>
          <w:szCs w:val="15"/>
          <w:color w:val="auto"/>
        </w:rPr>
      </w:pPr>
    </w:p>
    <w:p>
      <w:pPr>
        <w:ind w:left="800" w:right="3839" w:hanging="353"/>
        <w:spacing w:after="0" w:line="235" w:lineRule="auto"/>
        <w:tabs>
          <w:tab w:leader="none" w:pos="800"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subdivisions, combinations and reclassifications of the class of capital stock into which debt securities of such series are convertible;</w:t>
      </w:r>
    </w:p>
    <w:p>
      <w:pPr>
        <w:spacing w:after="0" w:line="173" w:lineRule="exact"/>
        <w:rPr>
          <w:rFonts w:ascii="Courier New" w:cs="Courier New" w:eastAsia="Courier New" w:hAnsi="Courier New"/>
          <w:sz w:val="15"/>
          <w:szCs w:val="15"/>
          <w:color w:val="auto"/>
        </w:rPr>
      </w:pPr>
    </w:p>
    <w:p>
      <w:pPr>
        <w:ind w:left="800" w:right="3239" w:hanging="353"/>
        <w:spacing w:after="0" w:line="236" w:lineRule="auto"/>
        <w:tabs>
          <w:tab w:leader="none" w:pos="800"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issuance to all holders of the class of capital stock into which debt securities of such series are convertible of rights or warrants entitling the debt security holders (for a period not exceeding 45 days) to subscribe for or purchase shares of such class of capital stock at a price per share less than the current market price per share of such class of capital stock;</w:t>
      </w:r>
    </w:p>
    <w:p>
      <w:pPr>
        <w:spacing w:after="0" w:line="174" w:lineRule="exact"/>
        <w:rPr>
          <w:rFonts w:ascii="Courier New" w:cs="Courier New" w:eastAsia="Courier New" w:hAnsi="Courier New"/>
          <w:sz w:val="15"/>
          <w:szCs w:val="15"/>
          <w:color w:val="auto"/>
        </w:rPr>
      </w:pPr>
    </w:p>
    <w:p>
      <w:pPr>
        <w:ind w:left="800" w:right="3499" w:hanging="353"/>
        <w:spacing w:after="0" w:line="235" w:lineRule="auto"/>
        <w:tabs>
          <w:tab w:leader="none" w:pos="800"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distribution to all holders of the class of capital stock into which debt securities of such series are convertible of evidences of indebtedness of ours or of assets or subscription rights or warrants (other than those referred to above); and</w:t>
      </w:r>
    </w:p>
    <w:p>
      <w:pPr>
        <w:spacing w:after="0" w:line="168" w:lineRule="exact"/>
        <w:rPr>
          <w:rFonts w:ascii="Courier New" w:cs="Courier New" w:eastAsia="Courier New" w:hAnsi="Courier New"/>
          <w:sz w:val="15"/>
          <w:szCs w:val="15"/>
          <w:color w:val="auto"/>
        </w:rPr>
      </w:pPr>
    </w:p>
    <w:p>
      <w:pPr>
        <w:ind w:left="800" w:hanging="353"/>
        <w:spacing w:after="0"/>
        <w:tabs>
          <w:tab w:leader="none" w:pos="800"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distributions of cash in excess of certain threshold amounts.</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26</w:t>
      </w:r>
    </w:p>
    <w:p>
      <w:pPr>
        <w:sectPr>
          <w:pgSz w:w="11900" w:h="16838" w:orient="portrait"/>
          <w:cols w:equalWidth="0" w:num="1">
            <w:col w:w="10239"/>
          </w:cols>
          <w:pgMar w:left="220" w:top="624" w:right="1440" w:bottom="1440" w:gutter="0" w:footer="0" w:header="0"/>
        </w:sectPr>
      </w:pPr>
    </w:p>
    <w:bookmarkStart w:id="31" w:name="page32"/>
    <w:bookmarkEnd w:id="31"/>
    <w:p>
      <w:pPr>
        <w:ind w:right="3499" w:firstLine="437"/>
        <w:spacing w:after="0" w:line="235" w:lineRule="auto"/>
        <w:rPr>
          <w:sz w:val="20"/>
          <w:szCs w:val="20"/>
          <w:color w:val="auto"/>
        </w:rPr>
      </w:pPr>
      <w:r>
        <w:rPr>
          <w:rFonts w:ascii="Courier New" w:cs="Courier New" w:eastAsia="Courier New" w:hAnsi="Courier New"/>
          <w:sz w:val="15"/>
          <w:szCs w:val="15"/>
          <w:color w:val="auto"/>
        </w:rPr>
        <w:t>In the case of cash dividends in excess of threshold amounts, we may, at our option, choose to set aside the amount of such distribution in cash for distribution to the holder upon conversion rather than adjust the conversion rate; we do not intend to pay interest on the cash set aside.</w:t>
      </w:r>
    </w:p>
    <w:p>
      <w:pPr>
        <w:spacing w:after="0" w:line="175"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No adjustment of the conversion rate will be required unless an adjustment would require a cumulative increase or decrease of at least 1% in such rate. Fractional shares of capital stock will not be issued upon conversion but, in lieu thereof, we will pay a cash adjustment. Convertible debt securities surrendered for conversion between the record date for an interest payment, if any, and the interest payment date, except convertible debt securities called for redemption on a redemption date during such period, must be accompanied by payment of an amount equal to the interest thereon which the registered holder is to receive.</w:t>
      </w:r>
    </w:p>
    <w:p>
      <w:pPr>
        <w:spacing w:after="0" w:line="340"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DESCRIPTION OF WARRANTS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General</w:t>
      </w:r>
    </w:p>
    <w:p>
      <w:pPr>
        <w:spacing w:after="0" w:line="173"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We may issue warrants to purchase securities or other securities or rights of ours, including rights to receive payment in cash or securities based on the value, rate or price of one or more specified commodities, currencies or indices, or securities of other issuers or any combination of the foregoing. Warrants may be issued independently or together with any securities and may be attached to or separate from such securities. Each series of warrants will be issued under a separate warrant agreement to be entered into between us and a warrant agent. The following sets forth certain general terms and provisions of the warrants offered hereby. Further terms of the warrants and the applicable warrant agreement are set forth in the applicable prospectus supplement.</w:t>
      </w:r>
    </w:p>
    <w:p>
      <w:pPr>
        <w:spacing w:after="0" w:line="165" w:lineRule="exact"/>
        <w:rPr>
          <w:sz w:val="20"/>
          <w:szCs w:val="20"/>
          <w:color w:val="auto"/>
        </w:rPr>
      </w:pPr>
    </w:p>
    <w:p>
      <w:pPr>
        <w:ind w:right="3399" w:firstLine="437"/>
        <w:spacing w:after="0" w:line="234" w:lineRule="auto"/>
        <w:rPr>
          <w:sz w:val="20"/>
          <w:szCs w:val="20"/>
          <w:color w:val="auto"/>
        </w:rPr>
      </w:pPr>
      <w:r>
        <w:rPr>
          <w:rFonts w:ascii="Courier New" w:cs="Courier New" w:eastAsia="Courier New" w:hAnsi="Courier New"/>
          <w:sz w:val="15"/>
          <w:szCs w:val="15"/>
          <w:color w:val="auto"/>
        </w:rPr>
        <w:t>The applicable prospectus supplement will describe the following terms of any warrants in respect of which this prospectus is being delivered:</w:t>
      </w:r>
    </w:p>
    <w:p>
      <w:pPr>
        <w:spacing w:after="0" w:line="167" w:lineRule="exact"/>
        <w:rPr>
          <w:sz w:val="20"/>
          <w:szCs w:val="20"/>
          <w:color w:val="auto"/>
        </w:rPr>
      </w:pPr>
    </w:p>
    <w:p>
      <w:pPr>
        <w:ind w:left="800" w:hanging="353"/>
        <w:spacing w:after="0"/>
        <w:tabs>
          <w:tab w:leader="none" w:pos="800" w:val="left"/>
        </w:tabs>
        <w:numPr>
          <w:ilvl w:val="0"/>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title of such warrants;</w:t>
      </w:r>
    </w:p>
    <w:p>
      <w:pPr>
        <w:spacing w:after="0" w:line="166" w:lineRule="exact"/>
        <w:rPr>
          <w:rFonts w:ascii="Courier New" w:cs="Courier New" w:eastAsia="Courier New" w:hAnsi="Courier New"/>
          <w:sz w:val="15"/>
          <w:szCs w:val="15"/>
          <w:color w:val="auto"/>
        </w:rPr>
      </w:pPr>
    </w:p>
    <w:p>
      <w:pPr>
        <w:ind w:left="800" w:hanging="353"/>
        <w:spacing w:after="0"/>
        <w:tabs>
          <w:tab w:leader="none" w:pos="800" w:val="left"/>
        </w:tabs>
        <w:numPr>
          <w:ilvl w:val="0"/>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aggregate number of such warrants;</w:t>
      </w:r>
    </w:p>
    <w:p>
      <w:pPr>
        <w:spacing w:after="0" w:line="166" w:lineRule="exact"/>
        <w:rPr>
          <w:rFonts w:ascii="Courier New" w:cs="Courier New" w:eastAsia="Courier New" w:hAnsi="Courier New"/>
          <w:sz w:val="15"/>
          <w:szCs w:val="15"/>
          <w:color w:val="auto"/>
        </w:rPr>
      </w:pPr>
    </w:p>
    <w:p>
      <w:pPr>
        <w:ind w:left="800" w:hanging="353"/>
        <w:spacing w:after="0"/>
        <w:tabs>
          <w:tab w:leader="none" w:pos="800" w:val="left"/>
        </w:tabs>
        <w:numPr>
          <w:ilvl w:val="0"/>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price or prices at which such warrants will be issued;</w:t>
      </w:r>
    </w:p>
    <w:p>
      <w:pPr>
        <w:spacing w:after="0" w:line="172" w:lineRule="exact"/>
        <w:rPr>
          <w:rFonts w:ascii="Courier New" w:cs="Courier New" w:eastAsia="Courier New" w:hAnsi="Courier New"/>
          <w:sz w:val="15"/>
          <w:szCs w:val="15"/>
          <w:color w:val="auto"/>
        </w:rPr>
      </w:pPr>
    </w:p>
    <w:p>
      <w:pPr>
        <w:ind w:left="800" w:right="3499" w:hanging="353"/>
        <w:spacing w:after="0" w:line="234" w:lineRule="auto"/>
        <w:tabs>
          <w:tab w:leader="none" w:pos="800" w:val="left"/>
        </w:tabs>
        <w:numPr>
          <w:ilvl w:val="0"/>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currency or currencies, including composite currencies, in which the price of such warrants may be payable;</w:t>
      </w:r>
    </w:p>
    <w:p>
      <w:pPr>
        <w:spacing w:after="0" w:line="173" w:lineRule="exact"/>
        <w:rPr>
          <w:rFonts w:ascii="Courier New" w:cs="Courier New" w:eastAsia="Courier New" w:hAnsi="Courier New"/>
          <w:sz w:val="15"/>
          <w:szCs w:val="15"/>
          <w:color w:val="auto"/>
        </w:rPr>
      </w:pPr>
    </w:p>
    <w:p>
      <w:pPr>
        <w:ind w:left="800" w:right="3319" w:hanging="353"/>
        <w:spacing w:after="0" w:line="236" w:lineRule="auto"/>
        <w:tabs>
          <w:tab w:leader="none" w:pos="800" w:val="left"/>
        </w:tabs>
        <w:numPr>
          <w:ilvl w:val="0"/>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securities or other rights, including rights to receive payment in cash or securities based on the value, rate or price of one or more specified commodities, currencies or indices, or securities of other issuers or any combination of the foregoing, purchasable upon exercise of such warrants;</w:t>
      </w:r>
    </w:p>
    <w:p>
      <w:pPr>
        <w:spacing w:after="0" w:line="173" w:lineRule="exact"/>
        <w:rPr>
          <w:rFonts w:ascii="Courier New" w:cs="Courier New" w:eastAsia="Courier New" w:hAnsi="Courier New"/>
          <w:sz w:val="15"/>
          <w:szCs w:val="15"/>
          <w:color w:val="auto"/>
        </w:rPr>
      </w:pPr>
    </w:p>
    <w:p>
      <w:pPr>
        <w:ind w:left="800" w:right="3319" w:hanging="353"/>
        <w:spacing w:after="0" w:line="235" w:lineRule="auto"/>
        <w:tabs>
          <w:tab w:leader="none" w:pos="800" w:val="left"/>
        </w:tabs>
        <w:numPr>
          <w:ilvl w:val="0"/>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price at which and the currency or currencies, including composite currencies, in which the securities purchasable upon exercise of such warrants may be purchased;</w:t>
      </w:r>
    </w:p>
    <w:p>
      <w:pPr>
        <w:spacing w:after="0" w:line="173" w:lineRule="exact"/>
        <w:rPr>
          <w:rFonts w:ascii="Courier New" w:cs="Courier New" w:eastAsia="Courier New" w:hAnsi="Courier New"/>
          <w:sz w:val="15"/>
          <w:szCs w:val="15"/>
          <w:color w:val="auto"/>
        </w:rPr>
      </w:pPr>
    </w:p>
    <w:p>
      <w:pPr>
        <w:ind w:left="800" w:right="3499" w:hanging="353"/>
        <w:spacing w:after="0" w:line="234" w:lineRule="auto"/>
        <w:tabs>
          <w:tab w:leader="none" w:pos="800" w:val="left"/>
        </w:tabs>
        <w:numPr>
          <w:ilvl w:val="0"/>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date on which the right to exercise such warrants shall commence and the date on which such right shall expire;</w:t>
      </w:r>
    </w:p>
    <w:p>
      <w:pPr>
        <w:spacing w:after="0" w:line="173" w:lineRule="exact"/>
        <w:rPr>
          <w:rFonts w:ascii="Courier New" w:cs="Courier New" w:eastAsia="Courier New" w:hAnsi="Courier New"/>
          <w:sz w:val="15"/>
          <w:szCs w:val="15"/>
          <w:color w:val="auto"/>
        </w:rPr>
      </w:pPr>
    </w:p>
    <w:p>
      <w:pPr>
        <w:ind w:left="800" w:right="3239" w:hanging="353"/>
        <w:spacing w:after="0" w:line="234" w:lineRule="auto"/>
        <w:tabs>
          <w:tab w:leader="none" w:pos="800" w:val="left"/>
        </w:tabs>
        <w:numPr>
          <w:ilvl w:val="0"/>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applicable, the minimum or maximum amount of such warrants which may be exercised at any one time;</w:t>
      </w:r>
    </w:p>
    <w:p>
      <w:pPr>
        <w:spacing w:after="0" w:line="173" w:lineRule="exact"/>
        <w:rPr>
          <w:rFonts w:ascii="Courier New" w:cs="Courier New" w:eastAsia="Courier New" w:hAnsi="Courier New"/>
          <w:sz w:val="15"/>
          <w:szCs w:val="15"/>
          <w:color w:val="auto"/>
        </w:rPr>
      </w:pPr>
    </w:p>
    <w:p>
      <w:pPr>
        <w:ind w:left="800" w:right="3399" w:hanging="353"/>
        <w:spacing w:after="0" w:line="235" w:lineRule="auto"/>
        <w:tabs>
          <w:tab w:leader="none" w:pos="800" w:val="left"/>
        </w:tabs>
        <w:numPr>
          <w:ilvl w:val="0"/>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applicable, the designation and terms of the securities with which such warrants are issued and the number of such warrants issued with each such security;</w:t>
      </w:r>
    </w:p>
    <w:p>
      <w:pPr>
        <w:spacing w:after="0" w:line="173" w:lineRule="exact"/>
        <w:rPr>
          <w:rFonts w:ascii="Courier New" w:cs="Courier New" w:eastAsia="Courier New" w:hAnsi="Courier New"/>
          <w:sz w:val="15"/>
          <w:szCs w:val="15"/>
          <w:color w:val="auto"/>
        </w:rPr>
      </w:pPr>
    </w:p>
    <w:p>
      <w:pPr>
        <w:ind w:left="800" w:right="3839" w:hanging="353"/>
        <w:spacing w:after="0" w:line="234" w:lineRule="auto"/>
        <w:tabs>
          <w:tab w:leader="none" w:pos="800" w:val="left"/>
        </w:tabs>
        <w:numPr>
          <w:ilvl w:val="0"/>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applicable, the date on and after which such warrants and the related securities will be separately transferable;</w:t>
      </w:r>
    </w:p>
    <w:p>
      <w:pPr>
        <w:spacing w:after="0" w:line="166" w:lineRule="exact"/>
        <w:rPr>
          <w:rFonts w:ascii="Courier New" w:cs="Courier New" w:eastAsia="Courier New" w:hAnsi="Courier New"/>
          <w:sz w:val="15"/>
          <w:szCs w:val="15"/>
          <w:color w:val="auto"/>
        </w:rPr>
      </w:pPr>
    </w:p>
    <w:p>
      <w:pPr>
        <w:ind w:left="800" w:hanging="353"/>
        <w:spacing w:after="0"/>
        <w:tabs>
          <w:tab w:leader="none" w:pos="800" w:val="left"/>
        </w:tabs>
        <w:numPr>
          <w:ilvl w:val="0"/>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information with respect to book-entry procedures, if any;</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27</w:t>
      </w:r>
    </w:p>
    <w:p>
      <w:pPr>
        <w:sectPr>
          <w:pgSz w:w="11900" w:h="16838" w:orient="portrait"/>
          <w:cols w:equalWidth="0" w:num="1">
            <w:col w:w="10239"/>
          </w:cols>
          <w:pgMar w:left="220" w:top="792" w:right="1440" w:bottom="1440" w:gutter="0" w:footer="0" w:header="0"/>
        </w:sectPr>
      </w:pPr>
    </w:p>
    <w:bookmarkStart w:id="32" w:name="page33"/>
    <w:bookmarkEnd w:id="32"/>
    <w:p>
      <w:pPr>
        <w:ind w:left="800" w:right="3239" w:hanging="353"/>
        <w:spacing w:after="0" w:line="234" w:lineRule="auto"/>
        <w:tabs>
          <w:tab w:leader="none" w:pos="800"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applicable, a discussion of certain United States Federal income tax considerations;</w:t>
      </w:r>
    </w:p>
    <w:p>
      <w:pPr>
        <w:spacing w:after="0" w:line="173" w:lineRule="exact"/>
        <w:rPr>
          <w:rFonts w:ascii="Courier New" w:cs="Courier New" w:eastAsia="Courier New" w:hAnsi="Courier New"/>
          <w:sz w:val="15"/>
          <w:szCs w:val="15"/>
          <w:color w:val="auto"/>
        </w:rPr>
      </w:pPr>
    </w:p>
    <w:p>
      <w:pPr>
        <w:ind w:left="800" w:right="3939" w:hanging="353"/>
        <w:spacing w:after="0" w:line="261" w:lineRule="auto"/>
        <w:tabs>
          <w:tab w:leader="none" w:pos="800" w:val="left"/>
        </w:tabs>
        <w:numPr>
          <w:ilvl w:val="0"/>
          <w:numId w:val="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applicable, the identity of any of our cable subsidiaries guaranteeing our obligations with respect to such warrants; and</w:t>
      </w:r>
    </w:p>
    <w:p>
      <w:pPr>
        <w:spacing w:after="0" w:line="159" w:lineRule="exact"/>
        <w:rPr>
          <w:rFonts w:ascii="Courier New" w:cs="Courier New" w:eastAsia="Courier New" w:hAnsi="Courier New"/>
          <w:sz w:val="14"/>
          <w:szCs w:val="14"/>
          <w:color w:val="auto"/>
        </w:rPr>
      </w:pPr>
    </w:p>
    <w:p>
      <w:pPr>
        <w:ind w:left="800" w:right="3579" w:hanging="353"/>
        <w:spacing w:after="0" w:line="261" w:lineRule="auto"/>
        <w:tabs>
          <w:tab w:leader="none" w:pos="800" w:val="left"/>
        </w:tabs>
        <w:numPr>
          <w:ilvl w:val="0"/>
          <w:numId w:val="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other terms of such warrants, including terms, procedures and limitations relating to the exchange and exercise of such warrants.</w:t>
      </w:r>
    </w:p>
    <w:p>
      <w:pPr>
        <w:spacing w:after="0" w:line="321"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DESCRIPTION OF PURCHASE CONTRACTS</w:t>
      </w:r>
    </w:p>
    <w:p>
      <w:pPr>
        <w:spacing w:after="0" w:line="16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We may issue purchase contracts for the purchase or sale of:</w:t>
      </w:r>
    </w:p>
    <w:p>
      <w:pPr>
        <w:spacing w:after="0" w:line="173" w:lineRule="exact"/>
        <w:rPr>
          <w:sz w:val="20"/>
          <w:szCs w:val="20"/>
          <w:color w:val="auto"/>
        </w:rPr>
      </w:pPr>
    </w:p>
    <w:p>
      <w:pPr>
        <w:ind w:left="800" w:right="3499" w:hanging="353"/>
        <w:spacing w:after="0" w:line="235" w:lineRule="auto"/>
        <w:tabs>
          <w:tab w:leader="none" w:pos="800" w:val="left"/>
        </w:tabs>
        <w:numPr>
          <w:ilvl w:val="0"/>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our securities or securities of an entity unaffiliated or affiliated with us, a basket of such securities, an index or indices of such securities or any combination of the above as specified in the applicable prospectus supplement;</w:t>
      </w:r>
    </w:p>
    <w:p>
      <w:pPr>
        <w:spacing w:after="0" w:line="168" w:lineRule="exact"/>
        <w:rPr>
          <w:rFonts w:ascii="Courier New" w:cs="Courier New" w:eastAsia="Courier New" w:hAnsi="Courier New"/>
          <w:sz w:val="15"/>
          <w:szCs w:val="15"/>
          <w:color w:val="auto"/>
        </w:rPr>
      </w:pPr>
    </w:p>
    <w:p>
      <w:pPr>
        <w:ind w:left="800" w:hanging="353"/>
        <w:spacing w:after="0"/>
        <w:tabs>
          <w:tab w:leader="none" w:pos="800" w:val="left"/>
        </w:tabs>
        <w:numPr>
          <w:ilvl w:val="0"/>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currencies or composite currencies; or</w:t>
      </w:r>
    </w:p>
    <w:p>
      <w:pPr>
        <w:spacing w:after="0" w:line="166" w:lineRule="exact"/>
        <w:rPr>
          <w:rFonts w:ascii="Courier New" w:cs="Courier New" w:eastAsia="Courier New" w:hAnsi="Courier New"/>
          <w:sz w:val="15"/>
          <w:szCs w:val="15"/>
          <w:color w:val="auto"/>
        </w:rPr>
      </w:pPr>
    </w:p>
    <w:p>
      <w:pPr>
        <w:ind w:left="800" w:hanging="353"/>
        <w:spacing w:after="0"/>
        <w:tabs>
          <w:tab w:leader="none" w:pos="800" w:val="left"/>
        </w:tabs>
        <w:numPr>
          <w:ilvl w:val="0"/>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commodities.</w:t>
      </w:r>
    </w:p>
    <w:p>
      <w:pPr>
        <w:spacing w:after="0" w:line="173"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Each purchase contract will entitle the holder thereof to purchase or sell, and obligate us to sell or purchase, on specified dates, such securities, currencies or commodities at a specified purchase price, all as set forth in the applicable prospectus supplement. We must, however, satisfy our obligations, if any, with respect to any purchase contract by delivering the cash value thereof or, in the case of underlying currencies, by delivering the underlying currencies, as set forth in the applicable prospectus supplement. The applicable prospectus supplement will also specify the methods by which the holders may purchase or sell such securities, currencies or commodities, any acceleration, cancellation or termination provisions or other provisions relating to the settlement of a purchase contract and, if applicable, the identity of any of our cable subsidiaries guaranteeing our obligations with respect to such purchase contracts.</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Purchase contracts may require holders to satisfy their obligations thereunder when the purchase contracts are issued. Our obligation to settle such pre-paid purchase contracts on the relevant settlement date may constitute indebtedness. Accordingly, the pre-paid purchase contracts will be issued under one of the indentures.</w:t>
      </w:r>
    </w:p>
    <w:p>
      <w:pPr>
        <w:spacing w:after="0" w:line="335"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DESCRIPTION OF UNITS</w:t>
      </w:r>
    </w:p>
    <w:p>
      <w:pPr>
        <w:spacing w:after="0" w:line="173" w:lineRule="exact"/>
        <w:rPr>
          <w:sz w:val="20"/>
          <w:szCs w:val="20"/>
          <w:color w:val="auto"/>
        </w:rPr>
      </w:pPr>
    </w:p>
    <w:p>
      <w:pPr>
        <w:ind w:right="3239" w:firstLine="437"/>
        <w:spacing w:after="0" w:line="256" w:lineRule="auto"/>
        <w:rPr>
          <w:sz w:val="20"/>
          <w:szCs w:val="20"/>
          <w:color w:val="auto"/>
        </w:rPr>
      </w:pPr>
      <w:r>
        <w:rPr>
          <w:rFonts w:ascii="Courier New" w:cs="Courier New" w:eastAsia="Courier New" w:hAnsi="Courier New"/>
          <w:sz w:val="14"/>
          <w:szCs w:val="14"/>
          <w:color w:val="auto"/>
        </w:rPr>
        <w:t>As specified in the applicable prospectus supplement, units will consist of one or more purchase contracts, warrants, debt securities, preferred stock, Class A Common Stock or Class A Special Common Stock or any combination thereof. Reference is made to the applicable prospectus supplement for:</w:t>
      </w:r>
    </w:p>
    <w:p>
      <w:pPr>
        <w:spacing w:after="0" w:line="164" w:lineRule="exact"/>
        <w:rPr>
          <w:sz w:val="20"/>
          <w:szCs w:val="20"/>
          <w:color w:val="auto"/>
        </w:rPr>
      </w:pPr>
    </w:p>
    <w:p>
      <w:pPr>
        <w:ind w:left="800" w:right="3319" w:hanging="353"/>
        <w:spacing w:after="0" w:line="236" w:lineRule="auto"/>
        <w:tabs>
          <w:tab w:leader="none" w:pos="800" w:val="left"/>
        </w:tabs>
        <w:numPr>
          <w:ilvl w:val="0"/>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terms of the units and of the purchase contracts, warrants, debt securities, shares of preferred stock, shares of Class A Common Stock or shares of Class A Special Common Stock, or any combination thereof, comprising the units, including whether and under what circumstances the securities comprising the units may or may not be traded separately;</w:t>
      </w:r>
    </w:p>
    <w:p>
      <w:pPr>
        <w:spacing w:after="0" w:line="174" w:lineRule="exact"/>
        <w:rPr>
          <w:rFonts w:ascii="Courier New" w:cs="Courier New" w:eastAsia="Courier New" w:hAnsi="Courier New"/>
          <w:sz w:val="15"/>
          <w:szCs w:val="15"/>
          <w:color w:val="auto"/>
        </w:rPr>
      </w:pPr>
    </w:p>
    <w:p>
      <w:pPr>
        <w:ind w:left="800" w:hanging="353"/>
        <w:spacing w:after="0"/>
        <w:tabs>
          <w:tab w:leader="none" w:pos="800" w:val="left"/>
        </w:tabs>
        <w:numPr>
          <w:ilvl w:val="0"/>
          <w:numId w:val="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description of the terms of any unit agreement governing the units;</w:t>
      </w:r>
    </w:p>
    <w:p>
      <w:pPr>
        <w:spacing w:after="0" w:line="177" w:lineRule="exact"/>
        <w:rPr>
          <w:rFonts w:ascii="Courier New" w:cs="Courier New" w:eastAsia="Courier New" w:hAnsi="Courier New"/>
          <w:sz w:val="14"/>
          <w:szCs w:val="14"/>
          <w:color w:val="auto"/>
        </w:rPr>
      </w:pPr>
    </w:p>
    <w:p>
      <w:pPr>
        <w:ind w:left="800" w:right="4279" w:hanging="353"/>
        <w:spacing w:after="0" w:line="234" w:lineRule="auto"/>
        <w:tabs>
          <w:tab w:leader="none" w:pos="800" w:val="left"/>
        </w:tabs>
        <w:numPr>
          <w:ilvl w:val="0"/>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applicable, a description of any guarantee by any of our subsidiaries of our obligations under the units; and</w:t>
      </w:r>
    </w:p>
    <w:p>
      <w:pPr>
        <w:spacing w:after="0" w:line="173" w:lineRule="exact"/>
        <w:rPr>
          <w:rFonts w:ascii="Courier New" w:cs="Courier New" w:eastAsia="Courier New" w:hAnsi="Courier New"/>
          <w:sz w:val="15"/>
          <w:szCs w:val="15"/>
          <w:color w:val="auto"/>
        </w:rPr>
      </w:pPr>
    </w:p>
    <w:p>
      <w:pPr>
        <w:ind w:left="800" w:right="3399" w:hanging="353"/>
        <w:spacing w:after="0" w:line="234" w:lineRule="auto"/>
        <w:tabs>
          <w:tab w:leader="none" w:pos="800" w:val="left"/>
        </w:tabs>
        <w:numPr>
          <w:ilvl w:val="0"/>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description of the provisions for the payment, settlement, transfer or exchange of the units.</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28</w:t>
      </w:r>
    </w:p>
    <w:p>
      <w:pPr>
        <w:sectPr>
          <w:pgSz w:w="11900" w:h="16838" w:orient="portrait"/>
          <w:cols w:equalWidth="0" w:num="1">
            <w:col w:w="10239"/>
          </w:cols>
          <w:pgMar w:left="220" w:top="792" w:right="1440" w:bottom="1440" w:gutter="0" w:footer="0" w:header="0"/>
        </w:sectPr>
      </w:pPr>
    </w:p>
    <w:bookmarkStart w:id="33" w:name="page34"/>
    <w:bookmarkEnd w:id="33"/>
    <w:p>
      <w:pPr>
        <w:ind w:left="2800"/>
        <w:spacing w:after="0"/>
        <w:rPr>
          <w:sz w:val="20"/>
          <w:szCs w:val="20"/>
          <w:color w:val="auto"/>
        </w:rPr>
      </w:pPr>
      <w:r>
        <w:rPr>
          <w:rFonts w:ascii="Courier New" w:cs="Courier New" w:eastAsia="Courier New" w:hAnsi="Courier New"/>
          <w:sz w:val="15"/>
          <w:szCs w:val="15"/>
          <w:color w:val="auto"/>
        </w:rPr>
        <w:t>GLOBAL SECURITIES</w:t>
      </w:r>
    </w:p>
    <w:p>
      <w:pPr>
        <w:spacing w:after="0" w:line="173"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We may issue the debt securities, warrants, purchase contracts and units of any series in the form of one or more fully registered global securities that will be deposited with a depositary or with a nominee for a depositary identified in the prospectus supplement relating to such series and registered in the name of the depositary or its nominee. In that case, one or more global securities will be issued in a denomination or aggregate denominations equal to the portion of the aggregate principal or face amount of outstanding registered securities of the series to be represented by such global securities. Unless and until the depositary exchanges a global security in whole for securities in definitive registered form, the global security may not be transferred except as a whole by the depositary to a nominee of the depositary or by a nominee of the depositary to the depositary or another nominee of the depositary or by the depositary or any of its nominees to a successor of the depositary or a nominee of such successor.</w:t>
      </w:r>
    </w:p>
    <w:p>
      <w:pPr>
        <w:spacing w:after="0" w:line="174" w:lineRule="exact"/>
        <w:rPr>
          <w:sz w:val="20"/>
          <w:szCs w:val="20"/>
          <w:color w:val="auto"/>
        </w:rPr>
      </w:pPr>
    </w:p>
    <w:p>
      <w:pPr>
        <w:ind w:right="3239" w:firstLine="437"/>
        <w:spacing w:after="0" w:line="256" w:lineRule="auto"/>
        <w:rPr>
          <w:sz w:val="20"/>
          <w:szCs w:val="20"/>
          <w:color w:val="auto"/>
        </w:rPr>
      </w:pPr>
      <w:r>
        <w:rPr>
          <w:rFonts w:ascii="Courier New" w:cs="Courier New" w:eastAsia="Courier New" w:hAnsi="Courier New"/>
          <w:sz w:val="14"/>
          <w:szCs w:val="14"/>
          <w:color w:val="auto"/>
        </w:rPr>
        <w:t>The specific terms of the depositary arrangement with respect to any portion of a series of securities to be represented by a global security will be described in the prospectus supplement relating to such series. We anticipate that the following provisions will apply to all depositary arrangements.</w:t>
      </w:r>
    </w:p>
    <w:p>
      <w:pPr>
        <w:spacing w:after="0" w:line="164"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Ownership of beneficial interests in a global security will be limited to persons that have accounts with the depositary for such global security known as "participants" or persons that may hold interests through such participants. Upon the issuance of a global security, the depositary for such global security will credit, on its book-entry registration and transfer system, the participants' accounts with the respective principal or face amounts of the securities represented by such global security beneficially owned by such participants. The accounts to be credited shall be designated by any dealers, underwriters or agents participating in the distribution of such securities. Ownership of beneficial interests in such global security will be shown on, and the transfer of such ownership interests will be effected only through, records maintained by the depositary for such global security (with respect to interests of participants) and on the records of participants (with respect to interests of persons holding through participants). The laws of some states may require that certain purchasers of securities take physical delivery of such securities in definitive form. Such limits and such laws may impair the ability to own, transfer or pledge beneficial interests in global securities.</w:t>
      </w:r>
    </w:p>
    <w:p>
      <w:pPr>
        <w:spacing w:after="0" w:line="174"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So long as the depositary for a global security, or its nominee, is the registered owner of such global security, such depositary or such nominee, as the case may be, will be considered the sole owner or holder of the securities represented by such global security for all purposes under the applicable indenture, warrant agreement, purchase contract or unit agreement. Except as set forth below, owners of beneficial interests in a global security will not be entitled to have the securities represented by such global security registered in their names, will not receive or be entitled to receive physical delivery of such securities in definitive form and will not be considered the owners or holders thereof under the applicable indenture, warrant agreement, purchase contract or unit agreement. Accordingly, each person owning a beneficial interest in a global security must rely on the procedures of the depositary for such global security and, if such person is not a participant, on the procedures of the participant through which such person owns its interest, to exercise any rights of a holder under the applicable indenture, warrant agreement, purchase contract or unit agreement. We understand that under existing industry practices, if we request any action of holders or if an owner of a beneficial interest in a global security desires to give or take any action which a holder is entitled to give or take under the applicable indenture, warrant agreement, purchase contract or unit agreement, the depositary for such global security would authorize the participants holding the relevant beneficial interests to give or take such action, and such participants would authorize beneficial owners owning through such participants to give or take such action or would otherwise act upon the instructions of beneficial owners holding through them.</w:t>
      </w:r>
    </w:p>
    <w:p>
      <w:pPr>
        <w:spacing w:after="0" w:line="177" w:lineRule="exact"/>
        <w:rPr>
          <w:sz w:val="20"/>
          <w:szCs w:val="20"/>
          <w:color w:val="auto"/>
        </w:rPr>
      </w:pPr>
    </w:p>
    <w:p>
      <w:pPr>
        <w:ind w:right="3399" w:firstLine="437"/>
        <w:spacing w:after="0" w:line="255" w:lineRule="auto"/>
        <w:rPr>
          <w:sz w:val="20"/>
          <w:szCs w:val="20"/>
          <w:color w:val="auto"/>
        </w:rPr>
      </w:pPr>
      <w:r>
        <w:rPr>
          <w:rFonts w:ascii="Courier New" w:cs="Courier New" w:eastAsia="Courier New" w:hAnsi="Courier New"/>
          <w:sz w:val="14"/>
          <w:szCs w:val="14"/>
          <w:color w:val="auto"/>
        </w:rPr>
        <w:t>Principal, premium, if any, and interest payments on debt securities, and any payments to holders with respect to warrants, purchase contracts or units represented by a global security registered in the name of a depositary or its nominee will be made to such depositary or its nominee, as the case may be, as the registered owner of such global security. None of us, the trustees, the warrant agents, the unit agents or any of our other agents, agent of the trustees or agent of the warrant agents or unit agents will have any responsibility or liability for any aspect of the records</w:t>
      </w:r>
    </w:p>
    <w:p>
      <w:pPr>
        <w:spacing w:after="0" w:line="32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29</w:t>
      </w:r>
    </w:p>
    <w:p>
      <w:pPr>
        <w:sectPr>
          <w:pgSz w:w="11900" w:h="16838" w:orient="portrait"/>
          <w:cols w:equalWidth="0" w:num="1">
            <w:col w:w="10239"/>
          </w:cols>
          <w:pgMar w:left="220" w:top="785" w:right="1440" w:bottom="1440" w:gutter="0" w:footer="0" w:header="0"/>
        </w:sectPr>
      </w:pPr>
    </w:p>
    <w:bookmarkStart w:id="34" w:name="page35"/>
    <w:bookmarkEnd w:id="34"/>
    <w:p>
      <w:pPr>
        <w:ind w:right="3499"/>
        <w:spacing w:after="0" w:line="235" w:lineRule="auto"/>
        <w:rPr>
          <w:sz w:val="20"/>
          <w:szCs w:val="20"/>
          <w:color w:val="auto"/>
        </w:rPr>
      </w:pPr>
      <w:r>
        <w:rPr>
          <w:rFonts w:ascii="Courier New" w:cs="Courier New" w:eastAsia="Courier New" w:hAnsi="Courier New"/>
          <w:sz w:val="15"/>
          <w:szCs w:val="15"/>
          <w:color w:val="auto"/>
        </w:rPr>
        <w:t>relating to or payments made on account of beneficial ownership interests in such global security or for maintaining, supervising or reviewing any records relating to such beneficial ownership interests.</w:t>
      </w:r>
    </w:p>
    <w:p>
      <w:pPr>
        <w:spacing w:after="0" w:line="174"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We expect that the depositary for any securities represented by a global security, upon receipt of any payment of principal, premium, interest or other distribution of underlying securities or commodities to holders in respect of such global security, will immediately credit participants' accounts in amounts proportionate to their respective beneficial interests in such global security as shown on the records of such depositary. We also expect that payments by participants to owners of beneficial interests in such global security held through such participants will be governed by standing customer instructions and customary practices, as is now the case with the securities held for the accounts of customers in bearer form or registered in "street name," and will be the responsibility of such participants.</w:t>
      </w:r>
    </w:p>
    <w:p>
      <w:pPr>
        <w:spacing w:after="0" w:line="165"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If the depositary for any securities represented by a global security is at any time unwilling or unable to continue as depositary or ceases to be a clearing agency registered under the Securities Exchange Act of 1934, and we do not appoint a successor depositary registered as a clearing agency under the Securities Exchange Act of 1934 within 90 days, we will issue such securities in definitive form in exchange for such global security. In addition, we may at any time and in our sole discretion determine not to have any of the securities of a series represented by one or more global securities and, in such event, will issue securities of such series in definitive form in exchange for all of the global security or securities representing such securities. Any securities issued in definitive form in exchange for a global security will be registered in such name or names as the depositary shall instruct the relevant trustee, warrant agent or other relevant agent of ours. We expect that such instructions will be based upon directions received by the depositary from participants with respect to ownership of beneficial interests in such global security.</w:t>
      </w:r>
    </w:p>
    <w:p>
      <w:pPr>
        <w:spacing w:after="0" w:line="325"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DESCRIPTION OF PREFERRED STOCK</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Our board of directors is authorized to issue in one or more series up to a maximum of 20,000,000 shares of preferred stock, without par value. The shares can be issued with such designations, preferences, qualifications, privileges, limitations, restrictions, options, conversion or exchange rights and other special or relative rights as the board of directors shall from time to time fix by resolution. The dividend, voting, conversion, exchange, repurchase and redemption rights, if applicable, the liquidation preference, and other specific terms of each series of the preferred stock will be set forth in the prospectus supplement.</w:t>
      </w:r>
    </w:p>
    <w:p>
      <w:pPr>
        <w:spacing w:after="0" w:line="178" w:lineRule="exact"/>
        <w:rPr>
          <w:sz w:val="20"/>
          <w:szCs w:val="20"/>
          <w:color w:val="auto"/>
        </w:rPr>
      </w:pPr>
    </w:p>
    <w:p>
      <w:pPr>
        <w:jc w:val="both"/>
        <w:ind w:right="3399" w:firstLine="437"/>
        <w:spacing w:after="0" w:line="235" w:lineRule="auto"/>
        <w:rPr>
          <w:sz w:val="20"/>
          <w:szCs w:val="20"/>
          <w:color w:val="auto"/>
        </w:rPr>
      </w:pPr>
      <w:r>
        <w:rPr>
          <w:rFonts w:ascii="Courier New" w:cs="Courier New" w:eastAsia="Courier New" w:hAnsi="Courier New"/>
          <w:sz w:val="15"/>
          <w:szCs w:val="15"/>
          <w:color w:val="auto"/>
        </w:rPr>
        <w:t>The applicable prospectus supplement will describe the following terms to the extent that they may apply to an issuance of preferred stock in respect of which this prospectus is being delivered:</w:t>
      </w:r>
    </w:p>
    <w:p>
      <w:pPr>
        <w:spacing w:after="0" w:line="174" w:lineRule="exact"/>
        <w:rPr>
          <w:sz w:val="20"/>
          <w:szCs w:val="20"/>
          <w:color w:val="auto"/>
        </w:rPr>
      </w:pPr>
    </w:p>
    <w:p>
      <w:pPr>
        <w:ind w:left="800" w:right="3679" w:hanging="353"/>
        <w:spacing w:after="0" w:line="234" w:lineRule="auto"/>
        <w:tabs>
          <w:tab w:leader="none" w:pos="800" w:val="left"/>
        </w:tabs>
        <w:numPr>
          <w:ilvl w:val="0"/>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specific designation, number of shares, seniority and purchase price;</w:t>
      </w:r>
    </w:p>
    <w:p>
      <w:pPr>
        <w:spacing w:after="0" w:line="166" w:lineRule="exact"/>
        <w:rPr>
          <w:rFonts w:ascii="Courier New" w:cs="Courier New" w:eastAsia="Courier New" w:hAnsi="Courier New"/>
          <w:sz w:val="15"/>
          <w:szCs w:val="15"/>
          <w:color w:val="auto"/>
        </w:rPr>
      </w:pPr>
    </w:p>
    <w:p>
      <w:pPr>
        <w:ind w:left="800" w:hanging="353"/>
        <w:spacing w:after="0"/>
        <w:tabs>
          <w:tab w:leader="none" w:pos="800" w:val="left"/>
        </w:tabs>
        <w:numPr>
          <w:ilvl w:val="0"/>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liquidation preference per share;</w:t>
      </w:r>
    </w:p>
    <w:p>
      <w:pPr>
        <w:spacing w:after="0" w:line="166" w:lineRule="exact"/>
        <w:rPr>
          <w:rFonts w:ascii="Courier New" w:cs="Courier New" w:eastAsia="Courier New" w:hAnsi="Courier New"/>
          <w:sz w:val="15"/>
          <w:szCs w:val="15"/>
          <w:color w:val="auto"/>
        </w:rPr>
      </w:pPr>
    </w:p>
    <w:p>
      <w:pPr>
        <w:ind w:left="800" w:hanging="353"/>
        <w:spacing w:after="0"/>
        <w:tabs>
          <w:tab w:leader="none" w:pos="800" w:val="left"/>
        </w:tabs>
        <w:numPr>
          <w:ilvl w:val="0"/>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date of maturity;</w:t>
      </w:r>
    </w:p>
    <w:p>
      <w:pPr>
        <w:spacing w:after="0" w:line="166" w:lineRule="exact"/>
        <w:rPr>
          <w:rFonts w:ascii="Courier New" w:cs="Courier New" w:eastAsia="Courier New" w:hAnsi="Courier New"/>
          <w:sz w:val="15"/>
          <w:szCs w:val="15"/>
          <w:color w:val="auto"/>
        </w:rPr>
      </w:pPr>
    </w:p>
    <w:p>
      <w:pPr>
        <w:ind w:left="800" w:hanging="353"/>
        <w:spacing w:after="0"/>
        <w:tabs>
          <w:tab w:leader="none" w:pos="800" w:val="left"/>
        </w:tabs>
        <w:numPr>
          <w:ilvl w:val="0"/>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redemption, repayment or sinking fund provisions;</w:t>
      </w:r>
    </w:p>
    <w:p>
      <w:pPr>
        <w:spacing w:after="0" w:line="172" w:lineRule="exact"/>
        <w:rPr>
          <w:rFonts w:ascii="Courier New" w:cs="Courier New" w:eastAsia="Courier New" w:hAnsi="Courier New"/>
          <w:sz w:val="15"/>
          <w:szCs w:val="15"/>
          <w:color w:val="auto"/>
        </w:rPr>
      </w:pPr>
    </w:p>
    <w:p>
      <w:pPr>
        <w:ind w:left="800" w:right="3499" w:hanging="353"/>
        <w:spacing w:after="0" w:line="235" w:lineRule="auto"/>
        <w:tabs>
          <w:tab w:leader="none" w:pos="800" w:val="left"/>
        </w:tabs>
        <w:numPr>
          <w:ilvl w:val="0"/>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dividend rate or rates and the dates on which any such dividends will be payable (or the method by which such rates or dates will be determined);</w:t>
      </w:r>
    </w:p>
    <w:p>
      <w:pPr>
        <w:spacing w:after="0" w:line="167" w:lineRule="exact"/>
        <w:rPr>
          <w:rFonts w:ascii="Courier New" w:cs="Courier New" w:eastAsia="Courier New" w:hAnsi="Courier New"/>
          <w:sz w:val="15"/>
          <w:szCs w:val="15"/>
          <w:color w:val="auto"/>
        </w:rPr>
      </w:pPr>
    </w:p>
    <w:p>
      <w:pPr>
        <w:ind w:left="800" w:hanging="353"/>
        <w:spacing w:after="0"/>
        <w:tabs>
          <w:tab w:leader="none" w:pos="800" w:val="left"/>
        </w:tabs>
        <w:numPr>
          <w:ilvl w:val="0"/>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voting rights;</w:t>
      </w:r>
    </w:p>
    <w:p>
      <w:pPr>
        <w:spacing w:after="0" w:line="172" w:lineRule="exact"/>
        <w:rPr>
          <w:rFonts w:ascii="Courier New" w:cs="Courier New" w:eastAsia="Courier New" w:hAnsi="Courier New"/>
          <w:sz w:val="15"/>
          <w:szCs w:val="15"/>
          <w:color w:val="auto"/>
        </w:rPr>
      </w:pPr>
    </w:p>
    <w:p>
      <w:pPr>
        <w:ind w:left="800" w:right="3319" w:hanging="353"/>
        <w:spacing w:after="0" w:line="235" w:lineRule="auto"/>
        <w:tabs>
          <w:tab w:leader="none" w:pos="800" w:val="left"/>
        </w:tabs>
        <w:numPr>
          <w:ilvl w:val="0"/>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other than the currency of the United States of America, the currency or currencies including composite currencies in which such preferred stock is denominated and/or in which payments will or may be payable;</w:t>
      </w:r>
    </w:p>
    <w:p>
      <w:pPr>
        <w:spacing w:after="0" w:line="175" w:lineRule="exact"/>
        <w:rPr>
          <w:rFonts w:ascii="Courier New" w:cs="Courier New" w:eastAsia="Courier New" w:hAnsi="Courier New"/>
          <w:sz w:val="15"/>
          <w:szCs w:val="15"/>
          <w:color w:val="auto"/>
        </w:rPr>
      </w:pPr>
    </w:p>
    <w:p>
      <w:pPr>
        <w:jc w:val="both"/>
        <w:ind w:left="800" w:right="3399" w:hanging="353"/>
        <w:spacing w:after="0" w:line="235" w:lineRule="auto"/>
        <w:tabs>
          <w:tab w:leader="none" w:pos="800" w:val="left"/>
        </w:tabs>
        <w:numPr>
          <w:ilvl w:val="0"/>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method by which amounts in respect of such preferred stock may be calculated and any commodities, currencies or indices, or value, rate or price, relevant to such calculation;</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30</w:t>
      </w:r>
    </w:p>
    <w:p>
      <w:pPr>
        <w:sectPr>
          <w:pgSz w:w="11900" w:h="16838" w:orient="portrait"/>
          <w:cols w:equalWidth="0" w:num="1">
            <w:col w:w="10239"/>
          </w:cols>
          <w:pgMar w:left="220" w:top="792" w:right="1440" w:bottom="1440" w:gutter="0" w:footer="0" w:header="0"/>
        </w:sectPr>
      </w:pPr>
    </w:p>
    <w:bookmarkStart w:id="35" w:name="page36"/>
    <w:bookmarkEnd w:id="35"/>
    <w:p>
      <w:pPr>
        <w:ind w:left="800" w:right="3239" w:hanging="353"/>
        <w:spacing w:after="0" w:line="236" w:lineRule="auto"/>
        <w:tabs>
          <w:tab w:leader="none" w:pos="800" w:val="left"/>
        </w:tabs>
        <w:numPr>
          <w:ilvl w:val="0"/>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whether the preferred stock is convertible or exchangeable and, if so, the securities or rights into which such preferred stock is convertible or exchangeable, and the terms and conditions upon which such conversions or exchanges will be effected including the initial conversion or exchange prices or rates, the conversion or exchange period and any other related provisions;</w:t>
      </w:r>
    </w:p>
    <w:p>
      <w:pPr>
        <w:spacing w:after="0" w:line="174" w:lineRule="exact"/>
        <w:rPr>
          <w:rFonts w:ascii="Courier New" w:cs="Courier New" w:eastAsia="Courier New" w:hAnsi="Courier New"/>
          <w:sz w:val="15"/>
          <w:szCs w:val="15"/>
          <w:color w:val="auto"/>
        </w:rPr>
      </w:pPr>
    </w:p>
    <w:p>
      <w:pPr>
        <w:ind w:left="800" w:right="3239" w:hanging="353"/>
        <w:spacing w:after="0" w:line="234" w:lineRule="auto"/>
        <w:tabs>
          <w:tab w:leader="none" w:pos="800" w:val="left"/>
        </w:tabs>
        <w:numPr>
          <w:ilvl w:val="0"/>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place or places where dividends and other payments on the preferred stock will be payable; and</w:t>
      </w:r>
    </w:p>
    <w:p>
      <w:pPr>
        <w:spacing w:after="0" w:line="173" w:lineRule="exact"/>
        <w:rPr>
          <w:rFonts w:ascii="Courier New" w:cs="Courier New" w:eastAsia="Courier New" w:hAnsi="Courier New"/>
          <w:sz w:val="15"/>
          <w:szCs w:val="15"/>
          <w:color w:val="auto"/>
        </w:rPr>
      </w:pPr>
    </w:p>
    <w:p>
      <w:pPr>
        <w:ind w:left="800" w:right="3679" w:hanging="353"/>
        <w:spacing w:after="0" w:line="261" w:lineRule="auto"/>
        <w:tabs>
          <w:tab w:leader="none" w:pos="800" w:val="left"/>
        </w:tabs>
        <w:numPr>
          <w:ilvl w:val="0"/>
          <w:numId w:val="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additional voting, dividend, liquidation, redemption and other rights, preferences, privileges, limitations and restrictions.</w:t>
      </w:r>
    </w:p>
    <w:p>
      <w:pPr>
        <w:spacing w:after="0" w:line="160"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As described under "Description of Depositary Shares," we may, at our option, elect to offer depositary shares evidenced by depositary receipts, each representing an interest (to be specified in the prospectus supplement relating to the particular series of the preferred stock) in a share of the particular series of the preferred stock issued and deposited with a bank or trust company selected by us as the depositary.</w:t>
      </w:r>
    </w:p>
    <w:p>
      <w:pPr>
        <w:spacing w:after="0" w:line="175"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All shares of preferred stock offered hereby, or issuable upon conversion, exchange or exercise of securities, will, when issued, be fully paid and non-assessable. We have been advised that the preferred stock will be exempt from existing Pennsylvania personal property tax.</w:t>
      </w:r>
    </w:p>
    <w:p>
      <w:pPr>
        <w:spacing w:after="0" w:line="337"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DESCRIPTION OF DEPOSITARY SHARES</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description set forth below and in any prospectus supplement of certain provisions of the deposit agreement and of the depositary shares and depositary receipts does not purport to be complete and is subject to, and qualified in its entirety by reference to, the form of deposit agreement and form of depositary receipts relating to each series of the preferred stock.</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General</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We may, at our option, elect to have shares of preferred stock be represented by depositary shares. The shares of any series of the preferred stock underlying the depositary shares will be deposited under a separate deposit agreement between us and a bank or trust company selected by us as the depositary. The prospectus supplement relating to a series of depositary shares will set forth the name and address of the depositary. Subject to the terms of the deposit agreement, each owner of a depositary share will be entitled, in proportion to the applicable interest in the number of shares of preferred stock underlying such depositary share, to all the rights and preferences of the preferred stock underlying such depositary share, including dividend, voting, redemption, conversion, exchange and liquidation rights.</w:t>
      </w:r>
    </w:p>
    <w:p>
      <w:pPr>
        <w:spacing w:after="0" w:line="165" w:lineRule="exact"/>
        <w:rPr>
          <w:sz w:val="20"/>
          <w:szCs w:val="20"/>
          <w:color w:val="auto"/>
        </w:rPr>
      </w:pPr>
    </w:p>
    <w:p>
      <w:pPr>
        <w:ind w:right="3399" w:firstLine="437"/>
        <w:spacing w:after="0" w:line="235" w:lineRule="auto"/>
        <w:rPr>
          <w:sz w:val="20"/>
          <w:szCs w:val="20"/>
          <w:color w:val="auto"/>
        </w:rPr>
      </w:pPr>
      <w:r>
        <w:rPr>
          <w:rFonts w:ascii="Courier New" w:cs="Courier New" w:eastAsia="Courier New" w:hAnsi="Courier New"/>
          <w:sz w:val="15"/>
          <w:szCs w:val="15"/>
          <w:color w:val="auto"/>
        </w:rPr>
        <w:t>The depositary shares will be evidenced by depositary receipts issued pursuant to the deposit agreement, each of which will represent the applicable interest in a number of shares of a particular series of the preferred stock described in the applicable prospectus supplement.</w:t>
      </w:r>
    </w:p>
    <w:p>
      <w:pPr>
        <w:spacing w:after="0" w:line="175" w:lineRule="exact"/>
        <w:rPr>
          <w:sz w:val="20"/>
          <w:szCs w:val="20"/>
          <w:color w:val="auto"/>
        </w:rPr>
      </w:pPr>
    </w:p>
    <w:p>
      <w:pPr>
        <w:ind w:right="3759" w:firstLine="437"/>
        <w:spacing w:after="0" w:line="235" w:lineRule="auto"/>
        <w:rPr>
          <w:sz w:val="20"/>
          <w:szCs w:val="20"/>
          <w:color w:val="auto"/>
        </w:rPr>
      </w:pPr>
      <w:r>
        <w:rPr>
          <w:rFonts w:ascii="Courier New" w:cs="Courier New" w:eastAsia="Courier New" w:hAnsi="Courier New"/>
          <w:sz w:val="15"/>
          <w:szCs w:val="15"/>
          <w:color w:val="auto"/>
        </w:rPr>
        <w:t>Unless otherwise specified in the prospectus supplement, a holder of depositary shares is not entitled to receive the shares of preferred stock underlying the depositary shares.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Dividends and Other Distributions</w:t>
      </w:r>
    </w:p>
    <w:p>
      <w:pPr>
        <w:spacing w:after="0" w:line="173" w:lineRule="exact"/>
        <w:rPr>
          <w:sz w:val="20"/>
          <w:szCs w:val="20"/>
          <w:color w:val="auto"/>
        </w:rPr>
      </w:pPr>
    </w:p>
    <w:p>
      <w:pPr>
        <w:ind w:right="3399" w:firstLine="437"/>
        <w:spacing w:after="0" w:line="236" w:lineRule="auto"/>
        <w:rPr>
          <w:sz w:val="20"/>
          <w:szCs w:val="20"/>
          <w:color w:val="auto"/>
        </w:rPr>
      </w:pPr>
      <w:r>
        <w:rPr>
          <w:rFonts w:ascii="Courier New" w:cs="Courier New" w:eastAsia="Courier New" w:hAnsi="Courier New"/>
          <w:sz w:val="15"/>
          <w:szCs w:val="15"/>
          <w:color w:val="auto"/>
        </w:rPr>
        <w:t>The depositary will distribute all cash dividends or other cash distributions received in respect of the preferred stock to the record holders of depositary shares representing such preferred stock in proportion to the numbers of such depositary shares owned by such holders on the relevant record date.</w:t>
      </w:r>
    </w:p>
    <w:p>
      <w:pPr>
        <w:spacing w:after="0" w:line="174" w:lineRule="exact"/>
        <w:rPr>
          <w:sz w:val="20"/>
          <w:szCs w:val="20"/>
          <w:color w:val="auto"/>
        </w:rPr>
      </w:pPr>
    </w:p>
    <w:p>
      <w:pPr>
        <w:ind w:right="3499" w:firstLine="437"/>
        <w:spacing w:after="0" w:line="256" w:lineRule="auto"/>
        <w:rPr>
          <w:sz w:val="20"/>
          <w:szCs w:val="20"/>
          <w:color w:val="auto"/>
        </w:rPr>
      </w:pPr>
      <w:r>
        <w:rPr>
          <w:rFonts w:ascii="Courier New" w:cs="Courier New" w:eastAsia="Courier New" w:hAnsi="Courier New"/>
          <w:sz w:val="14"/>
          <w:szCs w:val="14"/>
          <w:color w:val="auto"/>
        </w:rPr>
        <w:t>In the event of a distribution other than in cash, the depositary will distribute property received by it to the record holders of depositary shares entitled thereto or the depositary may, with our approval, sell such property and distribute the net proceeds from such sale to such holders.</w:t>
      </w:r>
    </w:p>
    <w:p>
      <w:pPr>
        <w:spacing w:after="0" w:line="32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31</w:t>
      </w:r>
    </w:p>
    <w:p>
      <w:pPr>
        <w:sectPr>
          <w:pgSz w:w="11900" w:h="16838" w:orient="portrait"/>
          <w:cols w:equalWidth="0" w:num="1">
            <w:col w:w="10239"/>
          </w:cols>
          <w:pgMar w:left="220" w:top="624" w:right="1440" w:bottom="1440" w:gutter="0" w:footer="0" w:header="0"/>
        </w:sectPr>
      </w:pPr>
    </w:p>
    <w:bookmarkStart w:id="36" w:name="page37"/>
    <w:bookmarkEnd w:id="36"/>
    <w:p>
      <w:pPr>
        <w:jc w:val="both"/>
        <w:ind w:right="3399" w:firstLine="437"/>
        <w:spacing w:after="0" w:line="235" w:lineRule="auto"/>
        <w:rPr>
          <w:sz w:val="20"/>
          <w:szCs w:val="20"/>
          <w:color w:val="auto"/>
        </w:rPr>
      </w:pPr>
      <w:r>
        <w:rPr>
          <w:rFonts w:ascii="Courier New" w:cs="Courier New" w:eastAsia="Courier New" w:hAnsi="Courier New"/>
          <w:sz w:val="15"/>
          <w:szCs w:val="15"/>
          <w:color w:val="auto"/>
        </w:rPr>
        <w:t>The deposit agreement also contains provisions relating to the manner in which any subscription or similar rights offered by us to holders of preferred stock shall be made available to holders of depositary shares.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Conversion and Exchange</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If any preferred stock underlying the depositary shares is subject to provisions relating to its conversion or exchange as set forth in the prospectus supplement relating thereto, each record holder of depositary shares will have the right or obligation to convert or exchange such depositary shares pursuant to the terms thereof.</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Redemption of Depositary Shares</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If preferred stock underlying the depositary shares is subject to redemption, the depositary shares will be redeemed from the proceeds received by the depositary resulting from the redemption, in whole or in part, of the preferred stock held by the depositary. The redemption price per depositary share will be equal to the aggregate redemption price payable with respect to the number of shares of preferred stock underlying the depositary shares. Whenever we redeem preferred stock from the depositary, the depositary will redeem as of the same redemption date a proportionate number of depositary shares representing the shares of preferred stock that were redeemed. If less than all the depositary shares are to be redeemed, the depositary shares to be redeemed will be selected by lot or pro rata as may be determined by us.</w:t>
      </w:r>
    </w:p>
    <w:p>
      <w:pPr>
        <w:spacing w:after="0" w:line="180" w:lineRule="exact"/>
        <w:rPr>
          <w:sz w:val="20"/>
          <w:szCs w:val="20"/>
          <w:color w:val="auto"/>
        </w:rPr>
      </w:pPr>
    </w:p>
    <w:p>
      <w:pPr>
        <w:ind w:right="3499" w:firstLine="437"/>
        <w:spacing w:after="0" w:line="236" w:lineRule="auto"/>
        <w:rPr>
          <w:sz w:val="20"/>
          <w:szCs w:val="20"/>
          <w:color w:val="auto"/>
        </w:rPr>
      </w:pPr>
      <w:r>
        <w:rPr>
          <w:rFonts w:ascii="Courier New" w:cs="Courier New" w:eastAsia="Courier New" w:hAnsi="Courier New"/>
          <w:sz w:val="15"/>
          <w:szCs w:val="15"/>
          <w:color w:val="auto"/>
        </w:rPr>
        <w:t>After the date fixed for redemption, the depositary shares so called for redemption will no longer be deemed to be outstanding and all rights of the holders of the depositary shares will cease, except the right to receive the redemption price payable upon such redemption. Any funds deposited by us with the depositary for any depositary shares which the holders thereof fail to redeem shall be returned to us after a period of two years from the date such funds are so deposited.</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Voting</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Upon receipt of notice of any meeting or action in lieu of any meeting at which the holders of any shares of preferred stock underlying the depositary shares are entitled to vote, the depositary will mail the information contained in such notice to the record holders of the depositary shares relating to such preferred stock. Each record holder of such depositary shares on the record date (which will be the same date as the record date for the preferred stock) will be entitled to instruct the depositary as to the exercise of the voting rights pertaining to the number of shares of preferred stock underlying such holder's depositary shares. The depositary will endeavor, insofar as practicable, to vote the number of shares of preferred stock underlying such depositary shares in accordance with such instructions, and we will agree to take all action which may be deemed necessary by the depositary in order to enable the depositary to do so.</w:t>
      </w:r>
    </w:p>
    <w:p>
      <w:pPr>
        <w:spacing w:after="0" w:line="32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Amendment of the Deposit Agreement</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form of depositary receipt evidencing the depositary shares and any provision of the deposit agreement may at any time be amended by agreement between us and the depositary, provided, however, that any amendment which materially and adversely alters the rights of the existing holders of depositary shares will not be effective unless such amendment has been approved by at least a majority of the depositary shares then outstanding.</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Charges of Depositary</w:t>
      </w:r>
    </w:p>
    <w:p>
      <w:pPr>
        <w:spacing w:after="0" w:line="173" w:lineRule="exact"/>
        <w:rPr>
          <w:sz w:val="20"/>
          <w:szCs w:val="20"/>
          <w:color w:val="auto"/>
        </w:rPr>
      </w:pPr>
    </w:p>
    <w:p>
      <w:pPr>
        <w:ind w:right="3399" w:firstLine="437"/>
        <w:spacing w:after="0" w:line="236" w:lineRule="auto"/>
        <w:rPr>
          <w:sz w:val="20"/>
          <w:szCs w:val="20"/>
          <w:color w:val="auto"/>
        </w:rPr>
      </w:pPr>
      <w:r>
        <w:rPr>
          <w:rFonts w:ascii="Courier New" w:cs="Courier New" w:eastAsia="Courier New" w:hAnsi="Courier New"/>
          <w:sz w:val="15"/>
          <w:szCs w:val="15"/>
          <w:color w:val="auto"/>
        </w:rPr>
        <w:t>We will pay all transfer and other taxes and governmental charges that arise solely from the existence of the depositary arrangements. We will pay charges of the depositary in connection with the initial deposit of the preferred stock and any exchange or redemption of the preferred stock. Holders of depositary shares will pay all other transfer and other taxes and governmental charges, and, in addition, such other charges as are expressly provided in the deposit agreement to be for their accounts.</w:t>
      </w:r>
    </w:p>
    <w:p>
      <w:pPr>
        <w:spacing w:after="0" w:line="33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32</w:t>
      </w:r>
    </w:p>
    <w:p>
      <w:pPr>
        <w:sectPr>
          <w:pgSz w:w="11900" w:h="16838" w:orient="portrait"/>
          <w:cols w:equalWidth="0" w:num="1">
            <w:col w:w="10239"/>
          </w:cols>
          <w:pgMar w:left="220" w:top="792" w:right="1440" w:bottom="1440" w:gutter="0" w:footer="0" w:header="0"/>
        </w:sectPr>
      </w:pPr>
    </w:p>
    <w:bookmarkStart w:id="37" w:name="page38"/>
    <w:bookmarkEnd w:id="37"/>
    <w:p>
      <w:pPr>
        <w:spacing w:after="0"/>
        <w:rPr>
          <w:sz w:val="20"/>
          <w:szCs w:val="20"/>
          <w:color w:val="auto"/>
        </w:rPr>
      </w:pPr>
      <w:r>
        <w:rPr>
          <w:rFonts w:ascii="Courier New" w:cs="Courier New" w:eastAsia="Courier New" w:hAnsi="Courier New"/>
          <w:sz w:val="15"/>
          <w:szCs w:val="15"/>
          <w:color w:val="auto"/>
        </w:rPr>
        <w:t>Miscellaneous</w:t>
      </w:r>
    </w:p>
    <w:p>
      <w:pPr>
        <w:spacing w:after="0" w:line="173" w:lineRule="exact"/>
        <w:rPr>
          <w:sz w:val="20"/>
          <w:szCs w:val="20"/>
          <w:color w:val="auto"/>
        </w:rPr>
      </w:pPr>
    </w:p>
    <w:p>
      <w:pPr>
        <w:ind w:right="3399" w:firstLine="437"/>
        <w:spacing w:after="0" w:line="235" w:lineRule="auto"/>
        <w:rPr>
          <w:sz w:val="20"/>
          <w:szCs w:val="20"/>
          <w:color w:val="auto"/>
        </w:rPr>
      </w:pPr>
      <w:r>
        <w:rPr>
          <w:rFonts w:ascii="Courier New" w:cs="Courier New" w:eastAsia="Courier New" w:hAnsi="Courier New"/>
          <w:sz w:val="15"/>
          <w:szCs w:val="15"/>
          <w:color w:val="auto"/>
        </w:rPr>
        <w:t>We, or at our option, the depositary, will forward to the holders of depositary shares all reports and communications from us which we are required to furnish to the holders of preferred stock.</w:t>
      </w:r>
    </w:p>
    <w:p>
      <w:pPr>
        <w:spacing w:after="0" w:line="174"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Neither the depositary nor we will be liable if either of us is prevented or delayed by law or any circumstances beyond our control in performing our obligations under the deposit agreement. Our obligations and those of the depositary under the deposit agreement will be limited to performance in good faith of our duties thereunder and we and the depositary will not be obligated to prosecute or defend any legal proceeding in respect of any depositary share or preferred stock unless satisfactory indemnity has been furnished. We and the depositary may rely upon written advice of counsel or accountants, or information provided by persons presenting preferred stock for deposit, holders of depositary shares or other persons believed to be competent and on documents believed to be genuine.</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Resignation and Removal of Depositary; Termination of the Deposit Agreement</w:t>
      </w:r>
    </w:p>
    <w:p>
      <w:pPr>
        <w:spacing w:after="0" w:line="173"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The depositary may resign at any time by delivering to us notice of its election to do so, and we may at any time remove the depositary, any such resignation or removal to take effect upon the appointment of a successor depositary and its acceptance of such appointment. Such successor depositary will be appointed by us within 60 days after delivery of the notice of resignation or removal. The deposit agreement may be terminated at our direction or by the depositary if a period of 90 days shall have expired after the depositary has delivered to us written notice of its election to resign and a successor depositary shall not have been appointed. Upon termination of the deposit agreement, the depositary will discontinue the transfer of depositary receipts, will suspend the distribution of dividends to the holders thereof, and will not give any further notices (other than notice of such termination) or perform any further acts under the deposit agreement except that the depositary will continue to deliver preferred stock certificates, together with such dividends and distributions and the net proceeds of any sales of rights, preferences, privileges or other property in exchange for depositary receipts surrendered. Upon our request, the depositary shall deliver all books, records, certificates evidencing preferred stock, depositary receipts and other documents relating to the subject matter of the depositary agreement to us.</w:t>
      </w:r>
    </w:p>
    <w:p>
      <w:pPr>
        <w:spacing w:after="0" w:line="337"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DESCRIPTION OF COMMON STOCK</w:t>
      </w:r>
    </w:p>
    <w:p>
      <w:pPr>
        <w:spacing w:after="0" w:line="173"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The statements made under this caption include summaries of certain provisions contained in our articles of incorporation and by-laws. These statements do not purport to be complete and are qualified in their entirety by reference to such articles of incorporation and by-laws.</w:t>
      </w:r>
    </w:p>
    <w:p>
      <w:pPr>
        <w:spacing w:after="0" w:line="175"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We have three classes of common stock outstanding: Class A Common Stock, $0.01 par value per share; Class A Special Common Stock, $0.01 par value per share; and Class B Common Stock, $0.01 par value per share. There are currently authorized 7.5 billion shares of Class A Common Stock, 7.5 billion shares of Class A Special Common Stock and 75 million shares of Class B Common Stock. At the close of business on December 13, 2002 there were outstanding 1.355 billion shares of Class A Common Stock, 930.6 million shares of Class A Special Common Stock and 9.4 million shares of Class B Common Stock.</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Dividends</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Subject to the preferential rights of any preferred stock then outstanding, Holders of our Class A Common Stock, Class A Special Common Stock, and Class B Common Stock are entitled to receive, from time to time, when, as and if declared, in the discretion of our Board, such cash dividends as our Board may from time to time determine, out of such funds as are legally available therefore, in proportion to the number of shares held by them, respectively, without regard to class.</w:t>
      </w:r>
    </w:p>
    <w:p>
      <w:pPr>
        <w:spacing w:after="0" w:line="176"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Holders of our Class A Common Stock, Class A Special Common Stock, and Class B Common Stock will also be entitled to receive, from time to time, when, as and if declared by our Board, such dividends of our stock or other property as our Board may determine, out of such funds as are legally available therefore. However, stock dividends</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33</w:t>
      </w:r>
    </w:p>
    <w:p>
      <w:pPr>
        <w:sectPr>
          <w:pgSz w:w="11900" w:h="16838" w:orient="portrait"/>
          <w:cols w:equalWidth="0" w:num="1">
            <w:col w:w="10239"/>
          </w:cols>
          <w:pgMar w:left="220" w:top="785" w:right="1440" w:bottom="1440" w:gutter="0" w:footer="0" w:header="0"/>
        </w:sectPr>
      </w:pPr>
    </w:p>
    <w:bookmarkStart w:id="38" w:name="page39"/>
    <w:bookmarkEnd w:id="38"/>
    <w:p>
      <w:pPr>
        <w:jc w:val="both"/>
        <w:ind w:right="3579"/>
        <w:spacing w:after="0" w:line="256" w:lineRule="auto"/>
        <w:rPr>
          <w:sz w:val="20"/>
          <w:szCs w:val="20"/>
          <w:color w:val="auto"/>
        </w:rPr>
      </w:pPr>
      <w:r>
        <w:rPr>
          <w:rFonts w:ascii="Courier New" w:cs="Courier New" w:eastAsia="Courier New" w:hAnsi="Courier New"/>
          <w:sz w:val="14"/>
          <w:szCs w:val="14"/>
          <w:color w:val="auto"/>
        </w:rPr>
        <w:t>on, or stock splits of, any class of common stock will not be paid or issued unless paid or issued on all classes of our common stock, in which case they will be paid or issued only in shares of that class; provided, however, that stock dividends on, or stock splits of, our Class B Common Stock may also be paid or issued in shares of our Class A Special Common Stock.</w:t>
      </w:r>
    </w:p>
    <w:p>
      <w:pPr>
        <w:spacing w:after="0" w:line="163" w:lineRule="exact"/>
        <w:rPr>
          <w:sz w:val="20"/>
          <w:szCs w:val="20"/>
          <w:color w:val="auto"/>
        </w:rPr>
      </w:pPr>
    </w:p>
    <w:p>
      <w:pPr>
        <w:ind w:right="3399" w:firstLine="437"/>
        <w:spacing w:after="0" w:line="234" w:lineRule="auto"/>
        <w:rPr>
          <w:sz w:val="20"/>
          <w:szCs w:val="20"/>
          <w:color w:val="auto"/>
        </w:rPr>
      </w:pPr>
      <w:r>
        <w:rPr>
          <w:rFonts w:ascii="Courier New" w:cs="Courier New" w:eastAsia="Courier New" w:hAnsi="Courier New"/>
          <w:sz w:val="15"/>
          <w:szCs w:val="15"/>
          <w:color w:val="auto"/>
        </w:rPr>
        <w:t>We do not intend to pay dividends on our common stock for the foreseeable future.</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Voting Rights</w:t>
      </w:r>
    </w:p>
    <w:p>
      <w:pPr>
        <w:spacing w:after="0" w:line="173" w:lineRule="exact"/>
        <w:rPr>
          <w:sz w:val="20"/>
          <w:szCs w:val="20"/>
          <w:color w:val="auto"/>
        </w:rPr>
      </w:pPr>
    </w:p>
    <w:p>
      <w:pPr>
        <w:ind w:right="3319" w:firstLine="437"/>
        <w:spacing w:after="0" w:line="256" w:lineRule="auto"/>
        <w:rPr>
          <w:sz w:val="20"/>
          <w:szCs w:val="20"/>
          <w:color w:val="auto"/>
        </w:rPr>
      </w:pPr>
      <w:r>
        <w:rPr>
          <w:rFonts w:ascii="Courier New" w:cs="Courier New" w:eastAsia="Courier New" w:hAnsi="Courier New"/>
          <w:sz w:val="14"/>
          <w:szCs w:val="14"/>
          <w:color w:val="auto"/>
        </w:rPr>
        <w:t>Except as required by law, holders of our Class A Special Common Stock are not be entitled to vote. When holders of our Class A Special Common Stock are entitled to vote by applicable law, each share of our Class A Special Common Stock has the same number of votes as each share of our Class A Common Stock.</w:t>
      </w:r>
    </w:p>
    <w:p>
      <w:pPr>
        <w:spacing w:after="0" w:line="164" w:lineRule="exact"/>
        <w:rPr>
          <w:sz w:val="20"/>
          <w:szCs w:val="20"/>
          <w:color w:val="auto"/>
        </w:rPr>
      </w:pPr>
    </w:p>
    <w:p>
      <w:pPr>
        <w:jc w:val="both"/>
        <w:ind w:right="3239" w:firstLine="437"/>
        <w:spacing w:after="0" w:line="235" w:lineRule="auto"/>
        <w:rPr>
          <w:sz w:val="20"/>
          <w:szCs w:val="20"/>
          <w:color w:val="auto"/>
        </w:rPr>
      </w:pPr>
      <w:r>
        <w:rPr>
          <w:rFonts w:ascii="Courier New" w:cs="Courier New" w:eastAsia="Courier New" w:hAnsi="Courier New"/>
          <w:sz w:val="15"/>
          <w:szCs w:val="15"/>
          <w:color w:val="auto"/>
        </w:rPr>
        <w:t>On all matters submitted for a vote of holders of all classes of our voting stock, holders of our Class A Common Stock in the aggregate hold 66 2/3% of the aggregate voting power of our capital stock as of completion of the AT&amp;T Comcast transaction.</w:t>
      </w:r>
    </w:p>
    <w:p>
      <w:pPr>
        <w:spacing w:after="0" w:line="175"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Each share of our Class A Common Stock has the number of votes equal to a quotient the numerator of which is the excess of (1) the Total Number of Votes (as defined below in this paragraph) over (2) the sum of (A) the Total Number of B Votes (as defined below in this paragraph) and (B) the Total Number of Other Votes (as defined below in this paragraph) and the denominator of which is the number of outstanding shares of our Class A Common Stock. "Total Number of Votes" on any record date is equal to a quotient the numerator of which is the Total Number of B Votes on such record date and the denominator of which is the B Voting Percentage (as defined below in this paragraph) on such record date. "Total Number of B Votes" on any record date is equal to the product of (1) 15 and (2) the number of outstanding shares of our Class B Common Stock on such record date. "Total Number of Other Votes" on any record date means the aggregate number of votes to which holders of all classes of our capital stock other than holders of our Class A Common Stock and our Class B Common Stock are entitled to cast on such record date in an election of directors. "B Voting Percentage" on any record date means the portion (expressed as a percentage) of the total number of votes to which all holders of our Class B Common Stock are entitled to cast on such record date in an election of directors. Initially, the B Voting Percentage will be 33 1/3%.</w:t>
      </w:r>
    </w:p>
    <w:p>
      <w:pPr>
        <w:spacing w:after="0" w:line="343"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If the number of shares of our Class A Common Stock or our Class B Common Stock outstanding is reduced for any reason (e.g., by repurchase or, in the case of our Class B Common Stock only, conversion), the aggregate voting power of the applicable class of our capital stock will be proportionately reduced. If additional shares of our Class A Common Stock or our Class B Common Stock are issued, the relative aggregate voting power of the two classes of our common stock will change (based on the principle that each share of our Class B Common Stock will be entitled to 15 times the vote of each share of our Class A Common Stock) to the extent such issuance is disproportionate as between the relative number of shares of the two classes outstanding prior to the issuance, but the combined aggregate voting power of the two classes of stock will remain constant at approximately 38 47/100% (except to the extent there has been a reduction in the aggregate voting power of either class of stock as described in the preceding sentence).</w:t>
      </w:r>
    </w:p>
    <w:p>
      <w:pPr>
        <w:spacing w:after="0" w:line="174" w:lineRule="exact"/>
        <w:rPr>
          <w:sz w:val="20"/>
          <w:szCs w:val="20"/>
          <w:color w:val="auto"/>
        </w:rPr>
      </w:pPr>
    </w:p>
    <w:p>
      <w:pPr>
        <w:ind w:right="3399" w:firstLine="437"/>
        <w:spacing w:after="0" w:line="236" w:lineRule="auto"/>
        <w:rPr>
          <w:sz w:val="20"/>
          <w:szCs w:val="20"/>
          <w:color w:val="auto"/>
        </w:rPr>
      </w:pPr>
      <w:r>
        <w:rPr>
          <w:rFonts w:ascii="Courier New" w:cs="Courier New" w:eastAsia="Courier New" w:hAnsi="Courier New"/>
          <w:sz w:val="15"/>
          <w:szCs w:val="15"/>
          <w:color w:val="auto"/>
        </w:rPr>
        <w:t>Subject to the next sentence, on all matters submitted for a vote of holders of one or more classes of our voting stock, holders of our Class B Common Stock in the aggregate will hold 33 1/3% of the aggregate voting power of our capital stock, regardless of the number of shares of our Class A Common Stock or any other class of our capital stock outstanding at any time. If the number of shares of our Class B Common Stock outstanding is reduced for any reason (e.g., by repurchase or conversion), the aggregate voting power of our Class B Common Stock will be proportionately reduced.</w:t>
      </w:r>
    </w:p>
    <w:p>
      <w:pPr>
        <w:spacing w:after="0" w:line="17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Each share of our Class B Common Stock has 15 votes.</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34</w:t>
      </w:r>
    </w:p>
    <w:p>
      <w:pPr>
        <w:sectPr>
          <w:pgSz w:w="11900" w:h="16838" w:orient="portrait"/>
          <w:cols w:equalWidth="0" w:num="1">
            <w:col w:w="10239"/>
          </w:cols>
          <w:pgMar w:left="220" w:top="792" w:right="1440" w:bottom="1440" w:gutter="0" w:footer="0" w:header="0"/>
        </w:sectPr>
      </w:pPr>
    </w:p>
    <w:bookmarkStart w:id="39" w:name="page40"/>
    <w:bookmarkEnd w:id="39"/>
    <w:p>
      <w:pPr>
        <w:spacing w:after="0"/>
        <w:rPr>
          <w:sz w:val="20"/>
          <w:szCs w:val="20"/>
          <w:color w:val="auto"/>
        </w:rPr>
      </w:pPr>
      <w:r>
        <w:rPr>
          <w:rFonts w:ascii="Courier New" w:cs="Courier New" w:eastAsia="Courier New" w:hAnsi="Courier New"/>
          <w:sz w:val="15"/>
          <w:szCs w:val="15"/>
          <w:color w:val="auto"/>
        </w:rPr>
        <w:t>Approval Rights</w:t>
      </w:r>
    </w:p>
    <w:p>
      <w:pPr>
        <w:spacing w:after="0" w:line="173" w:lineRule="exact"/>
        <w:rPr>
          <w:sz w:val="20"/>
          <w:szCs w:val="20"/>
          <w:color w:val="auto"/>
        </w:rPr>
      </w:pPr>
    </w:p>
    <w:p>
      <w:pPr>
        <w:ind w:right="3679" w:firstLine="437"/>
        <w:spacing w:after="0" w:line="235" w:lineRule="auto"/>
        <w:rPr>
          <w:sz w:val="20"/>
          <w:szCs w:val="20"/>
          <w:color w:val="auto"/>
        </w:rPr>
      </w:pPr>
      <w:r>
        <w:rPr>
          <w:rFonts w:ascii="Courier New" w:cs="Courier New" w:eastAsia="Courier New" w:hAnsi="Courier New"/>
          <w:sz w:val="15"/>
          <w:szCs w:val="15"/>
          <w:color w:val="auto"/>
        </w:rPr>
        <w:t>Except as required by law, holders of Class A Special Common Stock and Class A Common Stock have no specific approval rights over any corporate actions.</w:t>
      </w:r>
    </w:p>
    <w:p>
      <w:pPr>
        <w:spacing w:after="0" w:line="174"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Holders of our Class B Common Stock have an approval right over (1) any merger of us with another company or any other transaction, in each case that requires our shareholders' approval under applicable law, or any other transaction that would result in any person or group owning shares representing in excess of 10% of the aggregate voting power of the resulting or surviving corporation, or any issuance of securities (other than pursuant to director or officer stock option or purchase plans) requiring our shareholders' approval under the rules and regulations of any stock exchange or quotation system; (2) any issuance of our Class B Common Stock or any securities exercisable or exchangeable for or convertible into our Class B Common Stock; and (3) charter or bylaw amendments (such as a charter amendment to opt in to any of the Pennsylvania antitakeover statutes) and other actions (such as the adoption, amendment or redemption of a shareholder rights plan) that limit the rights of holders of our Class B Common Stock or any subsequent transferee of our Class B Common Stock to transfer, vote or otherwise exercise rights with respect to our capital stock.</w:t>
      </w:r>
    </w:p>
    <w:p>
      <w:pPr>
        <w:spacing w:after="0" w:line="32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Principal Shareholder</w:t>
      </w:r>
    </w:p>
    <w:p>
      <w:pPr>
        <w:spacing w:after="0" w:line="173"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Brian L. Roberts, our CEO and President, through his control of BRCC Holdings LLC and certain trusts, which own all outstanding shares of our Class B Common Stock, holds a nondilutable 33 1/3% of the combined voting power of our stock and also has separate approval rights over certain material transactions involving us, as described above under "--Approval Rights." The Class B Common Stock is convertible on a share-for-share basis into Class A Common Stock or Class A Special Common Stock. As of December 13, 2002, if BRCC Holdings LLC, the trusts and Mr. Roberts were to convert the Class B Common Stock which they are deemed to beneficially own into Class A Common Stock, Mr. Roberts would beneficially own 9,445,731 shares of Class A Common Stock, which is approximately 0.7% of the Class A Common Stock that would be outstanding after the conversion.</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Conversion of Class B Common Stock</w:t>
      </w:r>
    </w:p>
    <w:p>
      <w:pPr>
        <w:spacing w:after="0" w:line="173" w:lineRule="exact"/>
        <w:rPr>
          <w:sz w:val="20"/>
          <w:szCs w:val="20"/>
          <w:color w:val="auto"/>
        </w:rPr>
      </w:pPr>
    </w:p>
    <w:p>
      <w:pPr>
        <w:ind w:right="3579" w:firstLine="437"/>
        <w:spacing w:after="0" w:line="234" w:lineRule="auto"/>
        <w:rPr>
          <w:sz w:val="20"/>
          <w:szCs w:val="20"/>
          <w:color w:val="auto"/>
        </w:rPr>
      </w:pPr>
      <w:r>
        <w:rPr>
          <w:rFonts w:ascii="Courier New" w:cs="Courier New" w:eastAsia="Courier New" w:hAnsi="Courier New"/>
          <w:sz w:val="15"/>
          <w:szCs w:val="15"/>
          <w:color w:val="auto"/>
        </w:rPr>
        <w:t>The Class B Common Stock is convertible share for share into either the Class A Common Stock or the Class A Special Common Stock.</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Preference on Liquidation</w:t>
      </w:r>
    </w:p>
    <w:p>
      <w:pPr>
        <w:spacing w:after="0" w:line="173" w:lineRule="exact"/>
        <w:rPr>
          <w:sz w:val="20"/>
          <w:szCs w:val="20"/>
          <w:color w:val="auto"/>
        </w:rPr>
      </w:pPr>
    </w:p>
    <w:p>
      <w:pPr>
        <w:ind w:right="3399" w:firstLine="437"/>
        <w:spacing w:after="0" w:line="236" w:lineRule="auto"/>
        <w:rPr>
          <w:sz w:val="20"/>
          <w:szCs w:val="20"/>
          <w:color w:val="auto"/>
        </w:rPr>
      </w:pPr>
      <w:r>
        <w:rPr>
          <w:rFonts w:ascii="Courier New" w:cs="Courier New" w:eastAsia="Courier New" w:hAnsi="Courier New"/>
          <w:sz w:val="15"/>
          <w:szCs w:val="15"/>
          <w:color w:val="auto"/>
        </w:rPr>
        <w:t>In the event of our liquidation, dissolution or winding up, either voluntary or involuntary, the holders of Class A Special Common Stock, Class A Common Stock and Class B Common Stock are entitled to receive, subject to any liquidation preference of any preferred stock then outstanding, our remaining assets, if any, in proportion to the number of shares held by them without regard to class.</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Mergers, Consolidations, Etc.</w:t>
      </w:r>
    </w:p>
    <w:p>
      <w:pPr>
        <w:spacing w:after="0" w:line="173" w:lineRule="exact"/>
        <w:rPr>
          <w:sz w:val="20"/>
          <w:szCs w:val="20"/>
          <w:color w:val="auto"/>
        </w:rPr>
      </w:pPr>
    </w:p>
    <w:p>
      <w:pPr>
        <w:ind w:right="3399" w:firstLine="437"/>
        <w:spacing w:after="0" w:line="236" w:lineRule="auto"/>
        <w:rPr>
          <w:sz w:val="20"/>
          <w:szCs w:val="20"/>
          <w:color w:val="auto"/>
        </w:rPr>
      </w:pPr>
      <w:r>
        <w:rPr>
          <w:rFonts w:ascii="Courier New" w:cs="Courier New" w:eastAsia="Courier New" w:hAnsi="Courier New"/>
          <w:sz w:val="15"/>
          <w:szCs w:val="15"/>
          <w:color w:val="auto"/>
        </w:rPr>
        <w:t>Our charter provides that if in a transaction such as a merger, consolidation, share exchange or recapitalization holders of each class of our common stock outstanding on completion of the AT&amp;T Comcast transaction do not receive the same consideration for each of their shares of our common stock (i.e., the same amount of cash or the same number of shares of each class of stock issued in the transaction in proportion to the number of shares of our common stock held by them, respectively, without regard to class), holders of each such class of our common stock will receive "mirror" securities (i.e., shares of a class of stock having substantially equivalent rights as the applicable class of our common stock).</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Miscellaneous</w:t>
      </w:r>
    </w:p>
    <w:p>
      <w:pPr>
        <w:spacing w:after="0" w:line="173" w:lineRule="exact"/>
        <w:rPr>
          <w:sz w:val="20"/>
          <w:szCs w:val="20"/>
          <w:color w:val="auto"/>
        </w:rPr>
      </w:pPr>
    </w:p>
    <w:p>
      <w:pPr>
        <w:ind w:right="3239" w:firstLine="437"/>
        <w:spacing w:after="0" w:line="256" w:lineRule="auto"/>
        <w:rPr>
          <w:sz w:val="20"/>
          <w:szCs w:val="20"/>
          <w:color w:val="auto"/>
        </w:rPr>
      </w:pPr>
      <w:r>
        <w:rPr>
          <w:rFonts w:ascii="Courier New" w:cs="Courier New" w:eastAsia="Courier New" w:hAnsi="Courier New"/>
          <w:sz w:val="14"/>
          <w:szCs w:val="14"/>
          <w:color w:val="auto"/>
        </w:rPr>
        <w:t>The holders of Class A Special Common Stock, Class A Common Stock and Class B Common Stock do not have any preemptive rights. All shares of Class A Special Common Stock, Class A Common Stock and Class B Common Stock presently outstanding are, and all shares of the Class A Special Common Stock and Class A</w:t>
      </w:r>
    </w:p>
    <w:p>
      <w:pPr>
        <w:spacing w:after="0" w:line="32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35</w:t>
      </w:r>
    </w:p>
    <w:p>
      <w:pPr>
        <w:sectPr>
          <w:pgSz w:w="11900" w:h="16838" w:orient="portrait"/>
          <w:cols w:equalWidth="0" w:num="1">
            <w:col w:w="10239"/>
          </w:cols>
          <w:pgMar w:left="220" w:top="785" w:right="1440" w:bottom="1440" w:gutter="0" w:footer="0" w:header="0"/>
        </w:sectPr>
      </w:pPr>
    </w:p>
    <w:bookmarkStart w:id="40" w:name="page41"/>
    <w:bookmarkEnd w:id="40"/>
    <w:p>
      <w:pPr>
        <w:ind w:right="3399"/>
        <w:spacing w:after="0" w:line="236" w:lineRule="auto"/>
        <w:rPr>
          <w:sz w:val="20"/>
          <w:szCs w:val="20"/>
          <w:color w:val="auto"/>
        </w:rPr>
      </w:pPr>
      <w:r>
        <w:rPr>
          <w:rFonts w:ascii="Courier New" w:cs="Courier New" w:eastAsia="Courier New" w:hAnsi="Courier New"/>
          <w:sz w:val="15"/>
          <w:szCs w:val="15"/>
          <w:color w:val="auto"/>
        </w:rPr>
        <w:t>Common Stock offered hereby, or issuable upon conversion, exchange or exercise of securities offered hereby, will, when issued, be, fully paid and non-assessable. We have been advised that the Class A Special Common Stock and Class A Common Stock are exempt from existing Pennsylvania personal property tax.</w:t>
      </w:r>
    </w:p>
    <w:p>
      <w:pPr>
        <w:spacing w:after="0" w:line="174"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The transfer agent and registrar for our Class A Special Common Stock and Class A Common Stock is Equiserve, 525 Washington Blvd., Jersey City, New Jersey 07310. Their telephone number is (888) 883-8903.</w:t>
      </w:r>
    </w:p>
    <w:p>
      <w:pPr>
        <w:spacing w:after="0" w:line="335"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DESCRIPTION OF SHAREHOLDER RIGHTS PLAN</w:t>
      </w:r>
    </w:p>
    <w:p>
      <w:pPr>
        <w:spacing w:after="0" w:line="173"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The following description of the material terms of a rights agreement with respect to a shareholder rights plan which we entered into in connection with the completion of the AT&amp;T Comcast transaction is qualified by reference to the terms of the rights agreement, which is included as an exhibit to the registration statement of which this prospectus is a part.</w:t>
      </w:r>
    </w:p>
    <w:p>
      <w:pPr>
        <w:spacing w:after="0" w:line="174" w:lineRule="exact"/>
        <w:rPr>
          <w:sz w:val="20"/>
          <w:szCs w:val="20"/>
          <w:color w:val="auto"/>
        </w:rPr>
      </w:pPr>
    </w:p>
    <w:p>
      <w:pPr>
        <w:ind w:right="3399" w:firstLine="437"/>
        <w:spacing w:after="0" w:line="236" w:lineRule="auto"/>
        <w:rPr>
          <w:sz w:val="20"/>
          <w:szCs w:val="20"/>
          <w:color w:val="auto"/>
        </w:rPr>
      </w:pPr>
      <w:r>
        <w:rPr>
          <w:rFonts w:ascii="Courier New" w:cs="Courier New" w:eastAsia="Courier New" w:hAnsi="Courier New"/>
          <w:sz w:val="15"/>
          <w:szCs w:val="15"/>
          <w:color w:val="auto"/>
        </w:rPr>
        <w:t>The Rights. Pursuant to the rights agreement, our board declared on November 18, 2002 a dividend of one preferred stock purchase right (the "Rights") for each outstanding share of our Class A Common Stock, Class A Special Common Stock, and Class B Common Stock payable to holders of record at 3:40 p.m., New York City time, on November 18, 2002.</w:t>
      </w:r>
    </w:p>
    <w:p>
      <w:pPr>
        <w:spacing w:after="0" w:line="174"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After giving effect to the closing of AT&amp;T Comcast transaction on November 18, 2002, (i) there were outstanding approximately 1.355 billion shares of Class A Common Stock, 9.4 million shares of Class B Common Stock and 930.6 million shares of Class A Special Common Stock and (ii) there was reserved for issuance under the Company's stock option plans 95.8 million shares of Class A Common Stock and 66.2 million shares of Class A Special Common Stock. Each outstanding share of Common Stock at 3:40 p.m., New York City time, on the record date will receive one Right. Shares of Common Stock issued after the record date and prior to the Distribution Date will be issued with a Right attached so that all shares of Common Stock outstanding prior to the Distribution Date will have Rights attached. 2.5 million shares of Preferred Stock have been reserved for issuance upon exercise of the Rights.</w:t>
      </w:r>
    </w:p>
    <w:p>
      <w:pPr>
        <w:spacing w:after="0" w:line="164" w:lineRule="exact"/>
        <w:rPr>
          <w:sz w:val="20"/>
          <w:szCs w:val="20"/>
          <w:color w:val="auto"/>
        </w:rPr>
      </w:pPr>
    </w:p>
    <w:p>
      <w:pPr>
        <w:ind w:right="3499" w:firstLine="437"/>
        <w:spacing w:after="0" w:line="234" w:lineRule="auto"/>
        <w:rPr>
          <w:sz w:val="20"/>
          <w:szCs w:val="20"/>
          <w:color w:val="auto"/>
        </w:rPr>
      </w:pPr>
      <w:r>
        <w:rPr>
          <w:rFonts w:ascii="Courier New" w:cs="Courier New" w:eastAsia="Courier New" w:hAnsi="Courier New"/>
          <w:sz w:val="15"/>
          <w:szCs w:val="15"/>
          <w:color w:val="auto"/>
        </w:rPr>
        <w:t>Rights holders have no rights as a shareholder of the Company, including the right to vote or to receive dividends.</w:t>
      </w:r>
    </w:p>
    <w:p>
      <w:pPr>
        <w:spacing w:after="0" w:line="173" w:lineRule="exact"/>
        <w:rPr>
          <w:sz w:val="20"/>
          <w:szCs w:val="20"/>
          <w:color w:val="auto"/>
        </w:rPr>
      </w:pPr>
    </w:p>
    <w:p>
      <w:pPr>
        <w:ind w:right="3399" w:firstLine="437"/>
        <w:spacing w:after="0" w:line="234" w:lineRule="auto"/>
        <w:rPr>
          <w:sz w:val="20"/>
          <w:szCs w:val="20"/>
          <w:color w:val="auto"/>
        </w:rPr>
      </w:pPr>
      <w:r>
        <w:rPr>
          <w:rFonts w:ascii="Courier New" w:cs="Courier New" w:eastAsia="Courier New" w:hAnsi="Courier New"/>
          <w:sz w:val="15"/>
          <w:szCs w:val="15"/>
          <w:color w:val="auto"/>
        </w:rPr>
        <w:t>The rights agreement includes antidilution provisions designed to prevent efforts to diminish the effectiveness of the Rights.</w:t>
      </w:r>
    </w:p>
    <w:p>
      <w:pPr>
        <w:spacing w:after="0" w:line="173"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The transferability and exercisability of the Rights will depend on whether a "Distribution Date" has occurred. A Distribution Date generally means the earlier of (1) the close of business on the tenth day after a public announcement that any person or group has become an "Acquiring Person" and (2) the close of business on the tenth business day after the date of the commencement of a tender or exchange offer by any person that could result in such person becoming an Acquiring Person. An Acquiring Person generally means any person or group (other than any holder of our Class B common stock or any of such holder's affiliates) who becomes the beneficial owner of our voting capital stock that represents 10% or more of the total number of votes that holders of our capital stock are entitled to cast with respect to any matter presented for a shareholder vote.</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Transferability. Prior to the Distribution Date, (1) the Rights will be evidenced by the certificates of the relevant underlying common stock and the registered holders of the common stock shall be deemed the registered holders of the associated Rights and (2) the Rights will be transferable only in connection with transfers of shares of the underlying common stock. After the Distribution Date, the rights agent will mail separate certificates evidencing the Rights to each holder of the relevant underlying common stock as of the close of business on the Distribution Date. Thereafter, the Rights will be transferable separately from the common stock.</w:t>
      </w:r>
    </w:p>
    <w:p>
      <w:pPr>
        <w:spacing w:after="0" w:line="178"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Exercisability. The Rights will not be exercisable prior to the Distribution Date. After the Distribution Date, but prior to the occurrence of an event described below under "--'Flip In' Feature" or "--'Flip Over' Feature," each</w:t>
      </w:r>
    </w:p>
    <w:p>
      <w:pPr>
        <w:spacing w:after="0" w:line="33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36</w:t>
      </w:r>
    </w:p>
    <w:p>
      <w:pPr>
        <w:sectPr>
          <w:pgSz w:w="11900" w:h="16838" w:orient="portrait"/>
          <w:cols w:equalWidth="0" w:num="1">
            <w:col w:w="10239"/>
          </w:cols>
          <w:pgMar w:left="220" w:top="792" w:right="1440" w:bottom="1440" w:gutter="0" w:footer="0" w:header="0"/>
        </w:sectPr>
      </w:pPr>
    </w:p>
    <w:bookmarkStart w:id="41" w:name="page42"/>
    <w:bookmarkEnd w:id="41"/>
    <w:p>
      <w:pPr>
        <w:ind w:right="3319"/>
        <w:spacing w:after="0" w:line="234" w:lineRule="auto"/>
        <w:rPr>
          <w:sz w:val="20"/>
          <w:szCs w:val="20"/>
          <w:color w:val="auto"/>
        </w:rPr>
      </w:pPr>
      <w:r>
        <w:rPr>
          <w:rFonts w:ascii="Courier New" w:cs="Courier New" w:eastAsia="Courier New" w:hAnsi="Courier New"/>
          <w:sz w:val="15"/>
          <w:szCs w:val="15"/>
          <w:color w:val="auto"/>
        </w:rPr>
        <w:t>Right will be exercisable to purchase for $125 one one-thousandth of a share of our Series A Participating Cumulative Preferred Stock.</w:t>
      </w:r>
    </w:p>
    <w:p>
      <w:pPr>
        <w:spacing w:after="0" w:line="173"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"Flip In" Feature. If any person becomes an Acquiring Person, each holder of a Right, except for the Acquiring Person or certain affiliated persons, will have the right to acquire, instead of one one-thousandth of a share of our Series A Participating Cumulative Preferred Stock, a number of shares of our Class A common stock, in each case having a market value equal to twice the exercise price of the Right. For example, if an initial purchase price of $125 were in effect on the date that the flip in feature of the Rights were exercised, any holder of a Right, except for the person that has become an Acquiring Person or certain affiliated persons, could exercise his or her Right by paying to us $125 in order to receive shares of our Class A common stock having a value equal to $250.</w:t>
      </w:r>
    </w:p>
    <w:p>
      <w:pPr>
        <w:spacing w:after="0" w:line="180"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"Exchange" Feature. At any time after a person becomes an Acquiring Person (but before any person becomes the beneficial owner of our voting capital stock representing 50% or more of the total number of votes which holders of our capital stock are entitled to cast with respect to any matter presented for a shareholder vote), our Board may exchange all or some of the Rights, except for those held by any Acquiring Person or certain affiliated persons, for our Class A common stock at an exchange ratio of one share of our Class A common stock for each Right. Use of this exchange feature means that eligible Rights holders would not have to pay cash before receiving shares of our Class A common stock.</w:t>
      </w:r>
    </w:p>
    <w:p>
      <w:pPr>
        <w:spacing w:after="0" w:line="165"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"Flip Over" Feature. If, after a person becomes an Acquiring Person, (1) we are involved in a merger or other business combination in which we are not the surviving corporation or any of our common stock is exchanged for other securities or assets or (2) we and/or one or more of our subsidiaries sell or transfer assets or earning power aggregating 50% or more of the assets or earning power of us and/or our subsidiaries, then each Right will entitle the holder, except for any Acquiring Person or certain affiliated persons, to purchase a number of shares of common stock of the other party to the transaction having a value equal to twice the exercise price of the Right.</w:t>
      </w:r>
    </w:p>
    <w:p>
      <w:pPr>
        <w:spacing w:after="0" w:line="178"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Redemption of Rights. Our Board may redeem all of the Rights at a price of $0.001 per Right at any time prior to the time that any person becomes an Acquiring Person. The right to exercise will terminate upon redemption, and at that time, holders of the Rights will have the right to receive only the redemption price for each Right they hold.</w:t>
      </w:r>
    </w:p>
    <w:p>
      <w:pPr>
        <w:spacing w:after="0" w:line="174"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Amendment of Rights. For so long as the Rights are redeemable, the rights agreement may be amended in any respect. At any time when the Rights are no longer redeemable, the rights agreement may be amended in any respect that does not adversely affect Rights holders (other than any Acquiring Person and certain affiliated persons), cause the rights agreement to become amendable except as set forth in this sentence or cause the Rights again to become redeemable.</w:t>
      </w:r>
    </w:p>
    <w:p>
      <w:pPr>
        <w:spacing w:after="0" w:line="166" w:lineRule="exact"/>
        <w:rPr>
          <w:sz w:val="20"/>
          <w:szCs w:val="20"/>
          <w:color w:val="auto"/>
        </w:rPr>
      </w:pPr>
    </w:p>
    <w:p>
      <w:pPr>
        <w:ind w:right="3399" w:firstLine="437"/>
        <w:spacing w:after="0" w:line="234" w:lineRule="auto"/>
        <w:rPr>
          <w:sz w:val="20"/>
          <w:szCs w:val="20"/>
          <w:color w:val="auto"/>
        </w:rPr>
      </w:pPr>
      <w:r>
        <w:rPr>
          <w:rFonts w:ascii="Courier New" w:cs="Courier New" w:eastAsia="Courier New" w:hAnsi="Courier New"/>
          <w:sz w:val="15"/>
          <w:szCs w:val="15"/>
          <w:color w:val="auto"/>
        </w:rPr>
        <w:t>Expiration of Rights. If not previously exercised or redeemed, the Rights will expire on November 18, 2012, unless earlier exchanged.</w:t>
      </w:r>
    </w:p>
    <w:p>
      <w:pPr>
        <w:spacing w:after="0" w:line="173"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Anti-Takeover Effects. The Rights have certain anti-takeover effects. The Rights may cause substantial dilution to a person that attempts to acquire us without a condition to such an offer that a substantial number of the Rights be acquired or that the Rights be redeemed or declared invalid. The Rights should not interfere with any merger or other business combination approved by our Board since the Rights may be redeemed by us as described above.</w:t>
      </w:r>
    </w:p>
    <w:p>
      <w:pPr>
        <w:spacing w:after="0" w:line="166"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Taxation. While the dividend of the Rights will not be taxable to stockholders or to us, stockholders or we may, depending upon the circumstances, recognize taxable income in the event that the Rights become exercisable as set forth above.</w:t>
      </w:r>
    </w:p>
    <w:p>
      <w:pPr>
        <w:spacing w:after="0" w:line="175"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Series A Preferred Stock. In connection with the creation of the Rights, our Board authorized the issuance of shares of our preferred stock designated as our Series A Participating Cumulative Preferred Stock. We will design the dividend, liquidation, voting and redemption features of our Series A Participating Cumulative Preferred Stock so that the value of one-thousandth of a share of our Series A Participating Cumulative Preferred Stock approximates the value of one share of our Class A common stock. Shares of our Series A Participating Cumulative</w:t>
      </w:r>
    </w:p>
    <w:p>
      <w:pPr>
        <w:spacing w:after="0" w:line="33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37</w:t>
      </w:r>
    </w:p>
    <w:p>
      <w:pPr>
        <w:sectPr>
          <w:pgSz w:w="11900" w:h="16838" w:orient="portrait"/>
          <w:cols w:equalWidth="0" w:num="1">
            <w:col w:w="10239"/>
          </w:cols>
          <w:pgMar w:left="220" w:top="792" w:right="1440" w:bottom="1440" w:gutter="0" w:footer="0" w:header="0"/>
        </w:sectPr>
      </w:pPr>
    </w:p>
    <w:bookmarkStart w:id="42" w:name="page43"/>
    <w:bookmarkEnd w:id="42"/>
    <w:p>
      <w:pPr>
        <w:ind w:right="3239"/>
        <w:spacing w:after="0" w:line="235" w:lineRule="auto"/>
        <w:rPr>
          <w:sz w:val="20"/>
          <w:szCs w:val="20"/>
          <w:color w:val="auto"/>
        </w:rPr>
      </w:pPr>
      <w:r>
        <w:rPr>
          <w:rFonts w:ascii="Courier New" w:cs="Courier New" w:eastAsia="Courier New" w:hAnsi="Courier New"/>
          <w:sz w:val="15"/>
          <w:szCs w:val="15"/>
          <w:color w:val="auto"/>
        </w:rPr>
        <w:t>Preferred Stock will be purchasable only after the Rights have become exercisable. The rights of our Series A Participating Cumulative Preferred Stock as to dividends, liquidation and voting, and in the event of mergers or consolidations, are protected by customary antidilution provisions.</w:t>
      </w:r>
    </w:p>
    <w:p>
      <w:pPr>
        <w:spacing w:after="0" w:line="337"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DESCRIPTION OF AT&amp;T COMCAST TRANSACTION</w:t>
      </w:r>
    </w:p>
    <w:p>
      <w:pPr>
        <w:spacing w:after="0" w:line="173"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The following summary of our continuing obligations under the terms of the merger agreement for the AT&amp;T Comcast transaction is qualified by reference to the merger agreement, as amended, which is included as an exhibit to the registration statement of which this prospectus is a part.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Merger Agreement</w:t>
      </w:r>
    </w:p>
    <w:p>
      <w:pPr>
        <w:spacing w:after="0" w:line="166" w:lineRule="exact"/>
        <w:rPr>
          <w:sz w:val="20"/>
          <w:szCs w:val="20"/>
          <w:color w:val="auto"/>
        </w:rPr>
      </w:pPr>
    </w:p>
    <w:p>
      <w:pPr>
        <w:ind w:left="280"/>
        <w:spacing w:after="0"/>
        <w:rPr>
          <w:sz w:val="20"/>
          <w:szCs w:val="20"/>
          <w:color w:val="auto"/>
        </w:rPr>
      </w:pPr>
      <w:r>
        <w:rPr>
          <w:rFonts w:ascii="Courier New" w:cs="Courier New" w:eastAsia="Courier New" w:hAnsi="Courier New"/>
          <w:sz w:val="15"/>
          <w:szCs w:val="15"/>
          <w:color w:val="auto"/>
        </w:rPr>
        <w:t>Governance Arrangements.</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Our Board of Directors. Our Board has twelve members, five of whom were designated at the time of the AT&amp;T Comcast transaction by Comcast Holdings from the then-existing Comcast Holdings Board, five of whom were designated by AT&amp;T from the then-existing AT&amp;T Board and two of whom were independent persons jointly designated by Comcast Holdings and AT&amp;T. At all times, our Board will consist of a majority of independent persons. Except for pre-approved designees, the individuals designated by each of Comcast Holdings and AT&amp;T were mutually agreed upon by Comcast Holdings and AT&amp;T. Ralph J. Roberts, Brian L. Roberts, Sheldon M. Bonovitz, Julian A. Brodsky and Decker Anstrom were the pre-approved Comcast Holdings director designees and C. Michael Armstrong was a pre-approved AT&amp;T director designee. All of the initial director designees will hold office until the 2004 annual meeting of our shareholders, which will be held in April 2004. After this initial term, our entire Board will be elected annually. Brian L. Roberts, through his control of BRCC Holdings LLC, holds a 33 1/3% nondilutable voting interest in our stock.</w:t>
      </w:r>
    </w:p>
    <w:p>
      <w:pPr>
        <w:spacing w:after="0" w:line="16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Management. Under the merger agreement, C. Michael Armstrong, AT&amp;T's Chairman of the Board, will be our Chairman of the Board until the 2005 annual meeting of our shareholders and will serve as non-executive Chairman of the Board from April 1, 2004 until the 2005 annual meeting of our shareholders. Thereafter, Brian L. Roberts will be the Chairman of the Board. Removal of the Chairman of the Board will require the vote of at least 75% of the entire Board until the earlier to occur of (1) the date on which neither C. Michael Armstrong nor Brian L. Roberts is Chairman of the Board and (2) the sixth anniversary of the 2004 annual meeting of our shareholders.</w:t>
      </w:r>
    </w:p>
    <w:p>
      <w:pPr>
        <w:spacing w:after="0" w:line="178" w:lineRule="exact"/>
        <w:rPr>
          <w:sz w:val="20"/>
          <w:szCs w:val="20"/>
          <w:color w:val="auto"/>
        </w:rPr>
      </w:pPr>
    </w:p>
    <w:p>
      <w:pPr>
        <w:ind w:right="3239" w:firstLine="437"/>
        <w:spacing w:after="0" w:line="256" w:lineRule="auto"/>
        <w:rPr>
          <w:sz w:val="20"/>
          <w:szCs w:val="20"/>
          <w:color w:val="auto"/>
        </w:rPr>
      </w:pPr>
      <w:r>
        <w:rPr>
          <w:rFonts w:ascii="Courier New" w:cs="Courier New" w:eastAsia="Courier New" w:hAnsi="Courier New"/>
          <w:sz w:val="14"/>
          <w:szCs w:val="14"/>
          <w:color w:val="auto"/>
        </w:rPr>
        <w:t>Upon completion of the AT&amp;T Comcast transaction, Brian L. Roberts, Comcast Holdings' President, became our CEO. Brian L. Roberts will also be President for as long as he is the CEO. Removal of the CEO requires the vote of at least 75% of our entire Board until the earlier of the date when Brian L. Roberts is not the CEO and the sixth anniversary of the 2004 annual meeting of shareholders.</w:t>
      </w:r>
    </w:p>
    <w:p>
      <w:pPr>
        <w:spacing w:after="0" w:line="163"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We will also have an Office of the Chairman comprised of the Chairman of the Board and the CEO until the earlier to occur of (1) the 2005 annual meeting of our shareholders and (2) the date on which C. Michael Armstrong ceases to be the Chairman of the Board. The Office of the Chairman will be our principal executive deliberative body with responsibility for corporate strategy, policy and direction, governmental affairs and other significant matters.</w:t>
      </w:r>
    </w:p>
    <w:p>
      <w:pPr>
        <w:spacing w:after="0" w:line="166" w:lineRule="exact"/>
        <w:rPr>
          <w:sz w:val="20"/>
          <w:szCs w:val="20"/>
          <w:color w:val="auto"/>
        </w:rPr>
      </w:pPr>
    </w:p>
    <w:p>
      <w:pPr>
        <w:ind w:right="3579" w:firstLine="437"/>
        <w:spacing w:after="0" w:line="234" w:lineRule="auto"/>
        <w:rPr>
          <w:sz w:val="20"/>
          <w:szCs w:val="20"/>
          <w:color w:val="auto"/>
        </w:rPr>
      </w:pPr>
      <w:r>
        <w:rPr>
          <w:rFonts w:ascii="Courier New" w:cs="Courier New" w:eastAsia="Courier New" w:hAnsi="Courier New"/>
          <w:sz w:val="15"/>
          <w:szCs w:val="15"/>
          <w:color w:val="auto"/>
        </w:rPr>
        <w:t>Our initial senior officers have been designated by Brian L. Roberts in consultation with C. Michael Armstrong.</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Our charter provisions that implement the foregoing governance arrangements may not be amended or changed except with the approval of at least 75% of our entire Board until the earlier to occur of (1) the date on which Brian L. Roberts is no longer serving as Chairman of the Board or CEO and (2) the sixth anniversary of the 2004 annual meeting of our shareholders.</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38</w:t>
      </w:r>
    </w:p>
    <w:p>
      <w:pPr>
        <w:sectPr>
          <w:pgSz w:w="11900" w:h="16838" w:orient="portrait"/>
          <w:cols w:equalWidth="0" w:num="1">
            <w:col w:w="10239"/>
          </w:cols>
          <w:pgMar w:left="220" w:top="792" w:right="1440" w:bottom="1440" w:gutter="0" w:footer="0" w:header="0"/>
        </w:sectPr>
      </w:pPr>
    </w:p>
    <w:bookmarkStart w:id="43" w:name="page44"/>
    <w:bookmarkEnd w:id="43"/>
    <w:p>
      <w:pPr>
        <w:ind w:right="3239" w:firstLine="437"/>
        <w:spacing w:after="0" w:line="235" w:lineRule="auto"/>
        <w:rPr>
          <w:sz w:val="20"/>
          <w:szCs w:val="20"/>
          <w:color w:val="auto"/>
        </w:rPr>
      </w:pPr>
      <w:r>
        <w:rPr>
          <w:rFonts w:ascii="Courier New" w:cs="Courier New" w:eastAsia="Courier New" w:hAnsi="Courier New"/>
          <w:sz w:val="15"/>
          <w:szCs w:val="15"/>
          <w:color w:val="auto"/>
        </w:rPr>
        <w:t>BRCC Holdings LLC hold shares of our Class B common stock constituting 33 1/3% of the combined voting power of our common stock. Brian L. Roberts has sole voting power over membership interests representing a majority of the voting power of all BRCC Holdings LLC equity.</w:t>
      </w:r>
    </w:p>
    <w:p>
      <w:pPr>
        <w:spacing w:after="0" w:line="169" w:lineRule="exact"/>
        <w:rPr>
          <w:sz w:val="20"/>
          <w:szCs w:val="20"/>
          <w:color w:val="auto"/>
        </w:rPr>
      </w:pPr>
    </w:p>
    <w:p>
      <w:pPr>
        <w:ind w:left="280"/>
        <w:spacing w:after="0"/>
        <w:rPr>
          <w:sz w:val="20"/>
          <w:szCs w:val="20"/>
          <w:color w:val="auto"/>
        </w:rPr>
      </w:pPr>
      <w:r>
        <w:rPr>
          <w:rFonts w:ascii="Courier New" w:cs="Courier New" w:eastAsia="Courier New" w:hAnsi="Courier New"/>
          <w:sz w:val="15"/>
          <w:szCs w:val="15"/>
          <w:color w:val="auto"/>
        </w:rPr>
        <w:t>Employee Benefits Matters; Indemnification and Insurance.</w:t>
      </w:r>
    </w:p>
    <w:p>
      <w:pPr>
        <w:spacing w:after="0" w:line="173"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In the merger agreement, we agreed to honor the terms of all Comcast Cable Communications Holdings' employee benefit plans and arrangements and to pay and provide the benefits required thereunder, recognizing that the AT&amp;T Comcast transaction is a change in control under the plans, and to provide, until December 31, 2003, to employees of Comcast Cable Communications Holdings and its subsidiaries (other than those subject to collective bargaining obligations or agreements) aggregate employee benefits and compensation that are substantially comparable in the aggregate to those provided by Comcast Cable Communications Holdings and its subsidiaries as of the completion of the AT&amp;T Comcast transaction, other than benefits provided under severance or separation plans of Comcast Cable Communications Holdings or its subsidiaries. Until December 31, 2003, we have agreed to continue certain severance plans of Comcast Cable Communications Holdings and its subsidiaries without adverse change, including those that provide certain enhanced benefits to AT&amp;T executive officers who became employees of Comcast Cable Communications Holdings prior to consummation of the AT&amp;T Comcast transaction. Based on currently available information, if all such executive officers were terminated without cause immediately following completion of the AT&amp;T Comcast transaction, they would receive severance payments equal in the aggregate to approximately $44.7 million.</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Obligations Relating to Comcast Cable Communications Holdings' TOPrS Securities.</w:t>
      </w:r>
    </w:p>
    <w:p>
      <w:pPr>
        <w:spacing w:after="0" w:line="178"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We have agreed, on the earliest date on which the Comcast Cable Communications Holdings debt known by the acronym TOPrS as to which AT&amp;T has guaranteed certain obligations may be redeemed, to either redeem such series of TOPrS, cause AT&amp;T to be released from any such guarantee or post a letter of credit in respect of such debt. As of the date of this filing, approximately $500 million of outstanding TOPrS remains subject to this obligation.</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Separation and Distribution Agreement</w:t>
      </w:r>
    </w:p>
    <w:p>
      <w:pPr>
        <w:spacing w:after="0" w:line="173" w:lineRule="exact"/>
        <w:rPr>
          <w:sz w:val="20"/>
          <w:szCs w:val="20"/>
          <w:color w:val="auto"/>
        </w:rPr>
      </w:pPr>
    </w:p>
    <w:p>
      <w:pPr>
        <w:ind w:right="3399" w:firstLine="437"/>
        <w:spacing w:after="0" w:line="235" w:lineRule="auto"/>
        <w:rPr>
          <w:sz w:val="20"/>
          <w:szCs w:val="20"/>
          <w:color w:val="auto"/>
        </w:rPr>
      </w:pPr>
      <w:r>
        <w:rPr>
          <w:rFonts w:ascii="Courier New" w:cs="Courier New" w:eastAsia="Courier New" w:hAnsi="Courier New"/>
          <w:sz w:val="15"/>
          <w:szCs w:val="15"/>
          <w:color w:val="auto"/>
        </w:rPr>
        <w:t>The following summary of the separation and distribution agreement, as amended, is qualified in its entirety by reference to the complete text of the agreement which is incorporated by reference in this prospectus.</w:t>
      </w:r>
    </w:p>
    <w:p>
      <w:pPr>
        <w:spacing w:after="0" w:line="167" w:lineRule="exact"/>
        <w:rPr>
          <w:sz w:val="20"/>
          <w:szCs w:val="20"/>
          <w:color w:val="auto"/>
        </w:rPr>
      </w:pPr>
    </w:p>
    <w:p>
      <w:pPr>
        <w:ind w:left="280"/>
        <w:spacing w:after="0"/>
        <w:rPr>
          <w:sz w:val="20"/>
          <w:szCs w:val="20"/>
          <w:color w:val="auto"/>
        </w:rPr>
      </w:pPr>
      <w:r>
        <w:rPr>
          <w:rFonts w:ascii="Courier New" w:cs="Courier New" w:eastAsia="Courier New" w:hAnsi="Courier New"/>
          <w:sz w:val="15"/>
          <w:szCs w:val="15"/>
          <w:color w:val="auto"/>
        </w:rPr>
        <w:t>The Separation.</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Assignment. AT&amp;T assigned and transferred to Comcast Cable Communications Holdings all of AT&amp;T's and its subsidiaries' right, title and interest in all of the assets of AT&amp;T's broadband business which are not already held by Comcast Cable Communications Holdings or a Comcast Cable Communications Holdings subsidiary. The assets comprising AT&amp;T's broadband business are generally determined in the following manner:</w:t>
      </w:r>
    </w:p>
    <w:p>
      <w:pPr>
        <w:spacing w:after="0" w:line="175" w:lineRule="exact"/>
        <w:rPr>
          <w:sz w:val="20"/>
          <w:szCs w:val="20"/>
          <w:color w:val="auto"/>
        </w:rPr>
      </w:pPr>
    </w:p>
    <w:p>
      <w:pPr>
        <w:ind w:left="800" w:right="3319" w:hanging="353"/>
        <w:spacing w:after="0" w:line="235" w:lineRule="auto"/>
        <w:tabs>
          <w:tab w:leader="none" w:pos="800"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assets reflected in the AT&amp;T Broadband Group balance sheet dated as of December 31, 2000 are assets of AT&amp;T's broadband business, except as described below;</w:t>
      </w:r>
    </w:p>
    <w:p>
      <w:pPr>
        <w:spacing w:after="0" w:line="173" w:lineRule="exact"/>
        <w:rPr>
          <w:rFonts w:ascii="Courier New" w:cs="Courier New" w:eastAsia="Courier New" w:hAnsi="Courier New"/>
          <w:sz w:val="15"/>
          <w:szCs w:val="15"/>
          <w:color w:val="auto"/>
        </w:rPr>
      </w:pPr>
    </w:p>
    <w:p>
      <w:pPr>
        <w:ind w:left="800" w:right="3319" w:hanging="353"/>
        <w:spacing w:after="0" w:line="235" w:lineRule="auto"/>
        <w:tabs>
          <w:tab w:leader="none" w:pos="800"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assets reflected in the AT&amp;T Communications balance sheet dated as of December 31, 2000 are assets of AT&amp;T's communications business, except as described below;</w:t>
      </w:r>
    </w:p>
    <w:p>
      <w:pPr>
        <w:spacing w:after="0" w:line="173" w:lineRule="exact"/>
        <w:rPr>
          <w:rFonts w:ascii="Courier New" w:cs="Courier New" w:eastAsia="Courier New" w:hAnsi="Courier New"/>
          <w:sz w:val="15"/>
          <w:szCs w:val="15"/>
          <w:color w:val="auto"/>
        </w:rPr>
      </w:pPr>
    </w:p>
    <w:p>
      <w:pPr>
        <w:ind w:left="800" w:right="3399" w:hanging="353"/>
        <w:spacing w:after="0" w:line="235" w:lineRule="auto"/>
        <w:tabs>
          <w:tab w:leader="none" w:pos="800"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assets acquired after December 31, 2000 by AT&amp;T or any of its subsidiaries utilizing assets of AT&amp;T's broadband business are assets of AT&amp;T's broadband business, except as described below;</w:t>
      </w:r>
    </w:p>
    <w:p>
      <w:pPr>
        <w:spacing w:after="0" w:line="173" w:lineRule="exact"/>
        <w:rPr>
          <w:rFonts w:ascii="Courier New" w:cs="Courier New" w:eastAsia="Courier New" w:hAnsi="Courier New"/>
          <w:sz w:val="15"/>
          <w:szCs w:val="15"/>
          <w:color w:val="auto"/>
        </w:rPr>
      </w:pPr>
    </w:p>
    <w:p>
      <w:pPr>
        <w:ind w:left="880" w:right="3399" w:hanging="433"/>
        <w:spacing w:after="0" w:line="258" w:lineRule="auto"/>
        <w:tabs>
          <w:tab w:leader="none" w:pos="880" w:val="left"/>
        </w:tabs>
        <w:numPr>
          <w:ilvl w:val="0"/>
          <w:numId w:val="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assets acquired after December 31, 2000 by AT&amp;T or any of its subsidiaries utilizing assets of AT&amp;T's communications business are assets of AT&amp;T's communications business, except as described below;</w:t>
      </w:r>
    </w:p>
    <w:p>
      <w:pPr>
        <w:spacing w:after="0" w:line="161" w:lineRule="exact"/>
        <w:rPr>
          <w:rFonts w:ascii="Courier New" w:cs="Courier New" w:eastAsia="Courier New" w:hAnsi="Courier New"/>
          <w:sz w:val="14"/>
          <w:szCs w:val="14"/>
          <w:color w:val="auto"/>
        </w:rPr>
      </w:pPr>
    </w:p>
    <w:p>
      <w:pPr>
        <w:jc w:val="both"/>
        <w:ind w:left="800" w:right="3399" w:hanging="353"/>
        <w:spacing w:after="0" w:line="235" w:lineRule="auto"/>
        <w:tabs>
          <w:tab w:leader="none" w:pos="800"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certain assets are specifically assigned to AT&amp;T's broadband business regardless of whether or not they are reflected in the AT&amp;T Broadband Group balance sheet dated as of December 31, 2000;</w:t>
      </w:r>
    </w:p>
    <w:p>
      <w:pPr>
        <w:spacing w:after="0" w:line="173" w:lineRule="exact"/>
        <w:rPr>
          <w:rFonts w:ascii="Courier New" w:cs="Courier New" w:eastAsia="Courier New" w:hAnsi="Courier New"/>
          <w:sz w:val="15"/>
          <w:szCs w:val="15"/>
          <w:color w:val="auto"/>
        </w:rPr>
      </w:pPr>
    </w:p>
    <w:p>
      <w:pPr>
        <w:ind w:left="800" w:right="3499" w:hanging="353"/>
        <w:spacing w:after="0" w:line="258" w:lineRule="auto"/>
        <w:tabs>
          <w:tab w:leader="none" w:pos="800" w:val="left"/>
        </w:tabs>
        <w:numPr>
          <w:ilvl w:val="0"/>
          <w:numId w:val="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certain assets are specifically assigned to AT&amp;T's communications business regardless of whether or not they are reflected in the AT&amp;T Communications balance sheet dated as of December 31, 2000; and</w:t>
      </w:r>
    </w:p>
    <w:p>
      <w:pPr>
        <w:spacing w:after="0" w:line="32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39</w:t>
      </w:r>
    </w:p>
    <w:p>
      <w:pPr>
        <w:sectPr>
          <w:pgSz w:w="11900" w:h="16838" w:orient="portrait"/>
          <w:cols w:equalWidth="0" w:num="1">
            <w:col w:w="10239"/>
          </w:cols>
          <w:pgMar w:left="220" w:top="792" w:right="1440" w:bottom="1440" w:gutter="0" w:footer="0" w:header="0"/>
        </w:sectPr>
      </w:pPr>
    </w:p>
    <w:bookmarkStart w:id="44" w:name="page45"/>
    <w:bookmarkEnd w:id="44"/>
    <w:p>
      <w:pPr>
        <w:ind w:left="800" w:right="3239" w:hanging="353"/>
        <w:spacing w:after="0" w:line="236" w:lineRule="auto"/>
        <w:tabs>
          <w:tab w:leader="none" w:pos="800" w:val="left"/>
        </w:tabs>
        <w:numPr>
          <w:ilvl w:val="0"/>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assets that are not reflected in the AT&amp;T Broadband Group balance sheet or the AT&amp;T Communications balance sheet, in each case dated as of December 31, 2000, or specifically assigned to AT&amp;T's broadband business or AT&amp;T's communications business are assigned to the business to which they primarily relate.</w:t>
      </w:r>
    </w:p>
    <w:p>
      <w:pPr>
        <w:spacing w:after="0" w:line="174" w:lineRule="exact"/>
        <w:rPr>
          <w:sz w:val="20"/>
          <w:szCs w:val="20"/>
          <w:color w:val="auto"/>
        </w:rPr>
      </w:pPr>
    </w:p>
    <w:p>
      <w:pPr>
        <w:ind w:right="3319" w:firstLine="437"/>
        <w:spacing w:after="0" w:line="256" w:lineRule="auto"/>
        <w:rPr>
          <w:sz w:val="20"/>
          <w:szCs w:val="20"/>
          <w:color w:val="auto"/>
        </w:rPr>
      </w:pPr>
      <w:r>
        <w:rPr>
          <w:rFonts w:ascii="Courier New" w:cs="Courier New" w:eastAsia="Courier New" w:hAnsi="Courier New"/>
          <w:sz w:val="14"/>
          <w:szCs w:val="14"/>
          <w:color w:val="auto"/>
        </w:rPr>
        <w:t>Assumption. At the same time as the assignment, Comcast Cable Communications Holdings assumed all of the liabilities of AT&amp;T's broadband business that were not already liabilities of Comcast Cable Communications Holdings or a Comcast Cable Communications Holdings subsidiary. The liabilities of AT&amp;T's broadband business were generally determined in the following manner:</w:t>
      </w:r>
    </w:p>
    <w:p>
      <w:pPr>
        <w:spacing w:after="0" w:line="163" w:lineRule="exact"/>
        <w:rPr>
          <w:sz w:val="20"/>
          <w:szCs w:val="20"/>
          <w:color w:val="auto"/>
        </w:rPr>
      </w:pPr>
    </w:p>
    <w:p>
      <w:pPr>
        <w:jc w:val="both"/>
        <w:ind w:left="800" w:right="3399" w:hanging="353"/>
        <w:spacing w:after="0" w:line="235" w:lineRule="auto"/>
        <w:tabs>
          <w:tab w:leader="none" w:pos="800" w:val="left"/>
        </w:tabs>
        <w:numPr>
          <w:ilvl w:val="0"/>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liabilities reflected in the AT&amp;T Broadband Group balance sheet dated as of December 31, 2000 are liabilities of AT&amp;T's broadband business, except as described below;</w:t>
      </w:r>
    </w:p>
    <w:p>
      <w:pPr>
        <w:spacing w:after="0" w:line="173" w:lineRule="exact"/>
        <w:rPr>
          <w:rFonts w:ascii="Courier New" w:cs="Courier New" w:eastAsia="Courier New" w:hAnsi="Courier New"/>
          <w:sz w:val="15"/>
          <w:szCs w:val="15"/>
          <w:color w:val="auto"/>
        </w:rPr>
      </w:pPr>
    </w:p>
    <w:p>
      <w:pPr>
        <w:jc w:val="both"/>
        <w:ind w:left="800" w:right="3239" w:hanging="353"/>
        <w:spacing w:after="0" w:line="235" w:lineRule="auto"/>
        <w:tabs>
          <w:tab w:leader="none" w:pos="800" w:val="left"/>
        </w:tabs>
        <w:numPr>
          <w:ilvl w:val="0"/>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liabilities reflected in the AT&amp;T Communications balance sheet dated as of December 31, 2000 are liabilities of AT&amp;T's communications business, except as described below;</w:t>
      </w:r>
    </w:p>
    <w:p>
      <w:pPr>
        <w:spacing w:after="0" w:line="173" w:lineRule="exact"/>
        <w:rPr>
          <w:rFonts w:ascii="Courier New" w:cs="Courier New" w:eastAsia="Courier New" w:hAnsi="Courier New"/>
          <w:sz w:val="15"/>
          <w:szCs w:val="15"/>
          <w:color w:val="auto"/>
        </w:rPr>
      </w:pPr>
    </w:p>
    <w:p>
      <w:pPr>
        <w:ind w:left="800" w:right="3499" w:hanging="353"/>
        <w:spacing w:after="0" w:line="235" w:lineRule="auto"/>
        <w:tabs>
          <w:tab w:leader="none" w:pos="800" w:val="left"/>
        </w:tabs>
        <w:numPr>
          <w:ilvl w:val="0"/>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liabilities incurred after December 31, 2000 by entities transferred as part of AT&amp;T's broadband business are liabilities of AT&amp;T's broadband business, except as described below;</w:t>
      </w:r>
    </w:p>
    <w:p>
      <w:pPr>
        <w:spacing w:after="0" w:line="173" w:lineRule="exact"/>
        <w:rPr>
          <w:rFonts w:ascii="Courier New" w:cs="Courier New" w:eastAsia="Courier New" w:hAnsi="Courier New"/>
          <w:sz w:val="15"/>
          <w:szCs w:val="15"/>
          <w:color w:val="auto"/>
        </w:rPr>
      </w:pPr>
    </w:p>
    <w:p>
      <w:pPr>
        <w:ind w:left="800" w:right="3579" w:hanging="353"/>
        <w:spacing w:after="0" w:line="235" w:lineRule="auto"/>
        <w:tabs>
          <w:tab w:leader="none" w:pos="800" w:val="left"/>
        </w:tabs>
        <w:numPr>
          <w:ilvl w:val="0"/>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liabilities incurred after December 31, 2000 by entities not transferred as part of broadband business are liabilities of AT&amp;T's communications business, except as described below;</w:t>
      </w:r>
    </w:p>
    <w:p>
      <w:pPr>
        <w:spacing w:after="0" w:line="173" w:lineRule="exact"/>
        <w:rPr>
          <w:rFonts w:ascii="Courier New" w:cs="Courier New" w:eastAsia="Courier New" w:hAnsi="Courier New"/>
          <w:sz w:val="15"/>
          <w:szCs w:val="15"/>
          <w:color w:val="auto"/>
        </w:rPr>
      </w:pPr>
    </w:p>
    <w:p>
      <w:pPr>
        <w:ind w:left="800" w:right="3499" w:hanging="353"/>
        <w:spacing w:after="0" w:line="235" w:lineRule="auto"/>
        <w:tabs>
          <w:tab w:leader="none" w:pos="800" w:val="left"/>
        </w:tabs>
        <w:numPr>
          <w:ilvl w:val="0"/>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certain liabilities are specifically assigned to AT&amp;T's broadband business regardless of whether or not they are reflected in the AT&amp;T Broadband Group balance sheet dated as of December 31, 2000;</w:t>
      </w:r>
    </w:p>
    <w:p>
      <w:pPr>
        <w:spacing w:after="0" w:line="173" w:lineRule="exact"/>
        <w:rPr>
          <w:rFonts w:ascii="Courier New" w:cs="Courier New" w:eastAsia="Courier New" w:hAnsi="Courier New"/>
          <w:sz w:val="15"/>
          <w:szCs w:val="15"/>
          <w:color w:val="auto"/>
        </w:rPr>
      </w:pPr>
    </w:p>
    <w:p>
      <w:pPr>
        <w:ind w:left="800" w:right="3319" w:hanging="353"/>
        <w:spacing w:after="0" w:line="258" w:lineRule="auto"/>
        <w:tabs>
          <w:tab w:leader="none" w:pos="800" w:val="left"/>
        </w:tabs>
        <w:numPr>
          <w:ilvl w:val="0"/>
          <w:numId w:val="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certain liabilities are specifically assigned to AT&amp;T's communications business regardless of whether or not they are reflected in the AT&amp;T Communications balance sheet dated as of December 31, 2000;</w:t>
      </w:r>
    </w:p>
    <w:p>
      <w:pPr>
        <w:spacing w:after="0" w:line="161" w:lineRule="exact"/>
        <w:rPr>
          <w:rFonts w:ascii="Courier New" w:cs="Courier New" w:eastAsia="Courier New" w:hAnsi="Courier New"/>
          <w:sz w:val="14"/>
          <w:szCs w:val="14"/>
          <w:color w:val="auto"/>
        </w:rPr>
      </w:pPr>
    </w:p>
    <w:p>
      <w:pPr>
        <w:ind w:left="800" w:right="3239" w:hanging="353"/>
        <w:spacing w:after="0" w:line="255" w:lineRule="auto"/>
        <w:tabs>
          <w:tab w:leader="none" w:pos="800" w:val="left"/>
        </w:tabs>
        <w:numPr>
          <w:ilvl w:val="0"/>
          <w:numId w:val="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certain liabilities such as liabilities arising out of the AT&amp;T Comcast transaction or involving At Home or AT&amp;T Wireless (to the extent AT&amp;T is not indemnified by AT&amp;T Wireless for such liabilities) are divided evenly between AT&amp;T's broadband business and AT&amp;T's communications business regardless of whether or not they are reflected in the AT&amp;T Broadband Group balance sheet or the AT&amp;T Communications balance sheet, in each case dated as of December 31, 2000; and</w:t>
      </w:r>
    </w:p>
    <w:p>
      <w:pPr>
        <w:spacing w:after="0" w:line="166" w:lineRule="exact"/>
        <w:rPr>
          <w:rFonts w:ascii="Courier New" w:cs="Courier New" w:eastAsia="Courier New" w:hAnsi="Courier New"/>
          <w:sz w:val="14"/>
          <w:szCs w:val="14"/>
          <w:color w:val="auto"/>
        </w:rPr>
      </w:pPr>
    </w:p>
    <w:p>
      <w:pPr>
        <w:ind w:left="800" w:right="3239" w:hanging="353"/>
        <w:spacing w:after="0" w:line="236" w:lineRule="auto"/>
        <w:tabs>
          <w:tab w:leader="none" w:pos="800" w:val="left"/>
        </w:tabs>
        <w:numPr>
          <w:ilvl w:val="0"/>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liabilities that are not reflected in the AT&amp;T Broadband Group balance sheet or the AT&amp;T Communications balance sheet, in each case dated as of December 31, 2000, or specifically assigned to AT&amp;T's broadband business or AT&amp;T's communications business are assigned to the business to which they primarily relate.</w:t>
      </w:r>
    </w:p>
    <w:p>
      <w:pPr>
        <w:spacing w:after="0" w:line="174" w:lineRule="exact"/>
        <w:rPr>
          <w:sz w:val="20"/>
          <w:szCs w:val="20"/>
          <w:color w:val="auto"/>
        </w:rPr>
      </w:pPr>
    </w:p>
    <w:p>
      <w:pPr>
        <w:ind w:right="3679" w:firstLine="437"/>
        <w:spacing w:after="0" w:line="234" w:lineRule="auto"/>
        <w:rPr>
          <w:sz w:val="20"/>
          <w:szCs w:val="20"/>
          <w:color w:val="auto"/>
        </w:rPr>
      </w:pPr>
      <w:r>
        <w:rPr>
          <w:rFonts w:ascii="Courier New" w:cs="Courier New" w:eastAsia="Courier New" w:hAnsi="Courier New"/>
          <w:sz w:val="15"/>
          <w:szCs w:val="15"/>
          <w:color w:val="auto"/>
        </w:rPr>
        <w:t>The separation occurred on November 18, 2002, immediately prior to the mergers.</w:t>
      </w:r>
    </w:p>
    <w:p>
      <w:pPr>
        <w:spacing w:after="0" w:line="167" w:lineRule="exact"/>
        <w:rPr>
          <w:sz w:val="20"/>
          <w:szCs w:val="20"/>
          <w:color w:val="auto"/>
        </w:rPr>
      </w:pPr>
    </w:p>
    <w:p>
      <w:pPr>
        <w:ind w:left="280"/>
        <w:spacing w:after="0"/>
        <w:rPr>
          <w:sz w:val="20"/>
          <w:szCs w:val="20"/>
          <w:color w:val="auto"/>
        </w:rPr>
      </w:pPr>
      <w:r>
        <w:rPr>
          <w:rFonts w:ascii="Courier New" w:cs="Courier New" w:eastAsia="Courier New" w:hAnsi="Courier New"/>
          <w:sz w:val="15"/>
          <w:szCs w:val="15"/>
          <w:color w:val="auto"/>
        </w:rPr>
        <w:t>Repayment of Intracompany Debt.</w:t>
      </w:r>
    </w:p>
    <w:p>
      <w:pPr>
        <w:spacing w:after="0" w:line="173"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In connection with the closing of the AT&amp;T Comcast transaction, Comcast Cable Communications Holdings repaid all intracompany debt owed by AT&amp;T's broadband business to AT&amp;T's communications business. Comcast Cable Communications Holdings effected this repayment by making a cash payment to AT&amp;T in an amount equal to $5.85 billion and by issuing approximately $3.50 billion in debt to retire existing AT&amp;T debt. The cash payment referred to in the preceding sentence reflected certain adjustments and was made with the proceeds of (i) a borrowing by Comcast Cable Communications Holdings of $4 billion under a bridge credit agreement dated April 26, 2002 among Comcast Cable Communications Holdings, us, the lenders party thereto and JPMorgan Chase Bank, as administrative agent, Citibank N.A., as syndication agent, and Bank of America, N.A., Merrill Lynch, Pierce, Fenner &amp; Smith Incorporated and Morgan Stanley Senior Funding, Inc., as co-documentation agents, and (ii) a borrowing by Comcast Cable Communications Holdings of $2.5 billion under a credit agreement dated April 26, 2002 among Comcast Cable Communications Holdings, us, the lenders party thereto and JPMorgan Chase Bank, as administrative agent, swingline lender and issuing lender, Citibank N.A., as syndication agent, and Bank of America, N.A., Merrill Lynch, Pierce, Fenner &amp; Smith Incorporated and Morgan Stanley Senior Funding, Inc., as co-documentation agents, together referred to as the New Credit Facility in this prospectus. The retirement of existing AT&amp;T debt by Comcast Cable Communications Holdings referred to above resulted from a recently completed debt exchange offer pursuant to which Comcast Cable Communications Holdings issued debt guaranteed by us and the cable guarantors in an aggregate principal amount of approximately $3.50 billion consisting of approximately $2.43 billion of 8.375% Notes Due 2013 and approximately $1.07 billion of 9.455% Notes Due 2022.</w:t>
      </w:r>
    </w:p>
    <w:p>
      <w:pPr>
        <w:spacing w:after="0" w:line="200" w:lineRule="exact"/>
        <w:rPr>
          <w:sz w:val="20"/>
          <w:szCs w:val="20"/>
          <w:color w:val="auto"/>
        </w:rPr>
      </w:pPr>
    </w:p>
    <w:p>
      <w:pPr>
        <w:spacing w:after="0" w:line="30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40</w:t>
      </w:r>
    </w:p>
    <w:p>
      <w:pPr>
        <w:sectPr>
          <w:pgSz w:w="11900" w:h="16838" w:orient="portrait"/>
          <w:cols w:equalWidth="0" w:num="1">
            <w:col w:w="10239"/>
          </w:cols>
          <w:pgMar w:left="220" w:top="792" w:right="1440" w:bottom="1440" w:gutter="0" w:footer="0" w:header="0"/>
        </w:sectPr>
      </w:pPr>
    </w:p>
    <w:bookmarkStart w:id="45" w:name="page46"/>
    <w:bookmarkEnd w:id="45"/>
    <w:p>
      <w:pPr>
        <w:ind w:left="280"/>
        <w:spacing w:after="0"/>
        <w:rPr>
          <w:sz w:val="20"/>
          <w:szCs w:val="20"/>
          <w:color w:val="auto"/>
        </w:rPr>
      </w:pPr>
      <w:r>
        <w:rPr>
          <w:rFonts w:ascii="Courier New" w:cs="Courier New" w:eastAsia="Courier New" w:hAnsi="Courier New"/>
          <w:sz w:val="15"/>
          <w:szCs w:val="15"/>
          <w:color w:val="auto"/>
        </w:rPr>
        <w:t>Post-Spin-Off Transactions.</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Our ability and the ability of Comcast Cable Communications Holdings to engage in specified acquisitions, redeem stock, issue equity securities or take any other action or actions that in the aggregate would be reasonably likely to have the effect of causing or permitting one or more persons to acquire directly or indirectly stock representing a 50% or greater interest, within the meaning of Section 355(e) of the Code, in Comcast Cable Communications Holdings or otherwise jeopardize the non-recognition of taxable gain or loss for U.S. federal income tax purposes to AT&amp;T, AT&amp;T affiliates and AT&amp;T shareholders in connection with the separation and the Comcast Cable Communications Holdings spin-off may be limited until December 18, 2004.</w:t>
      </w:r>
    </w:p>
    <w:p>
      <w:pPr>
        <w:spacing w:after="0" w:line="159" w:lineRule="exact"/>
        <w:rPr>
          <w:sz w:val="20"/>
          <w:szCs w:val="20"/>
          <w:color w:val="auto"/>
        </w:rPr>
      </w:pPr>
    </w:p>
    <w:p>
      <w:pPr>
        <w:ind w:left="280"/>
        <w:spacing w:after="0"/>
        <w:rPr>
          <w:sz w:val="20"/>
          <w:szCs w:val="20"/>
          <w:color w:val="auto"/>
        </w:rPr>
      </w:pPr>
      <w:r>
        <w:rPr>
          <w:rFonts w:ascii="Courier New" w:cs="Courier New" w:eastAsia="Courier New" w:hAnsi="Courier New"/>
          <w:sz w:val="15"/>
          <w:szCs w:val="15"/>
          <w:color w:val="auto"/>
        </w:rPr>
        <w:t>Disposition of Time Warner Entertainment Interest.</w:t>
      </w:r>
    </w:p>
    <w:p>
      <w:pPr>
        <w:spacing w:after="0" w:line="173"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Sharing of Proceeds. The separation and distribution agreement provides that upon any disposition of all or any portion of its interest in TWE after the signing of the merger agreement, Comcast Cable Communications Holdings will pay AT&amp;T 50% of the proceeds received from such disposition in excess of the threshold amount described in the next sentence reduced by taxes on 50% of such excess. The threshold amount is equal to the balance, plus 7% simple interest per annum on the balance, of $10.2 billion reduced by the aggregate proceeds of any previous dispositions of any portion of the TWE interest. If the TWE interest has not been fully disposed of within 54 months of the completion of the AT&amp;T Comcast transaction, the remaining TWE interest will be appraised at fair market value. To the extent that the amount of such appraisal exceeds the threshold amount specified above, Comcast Cable Communications Holdings has agreed to pay AT&amp;T 50% of such excess, on a tax-adjusted basis.</w:t>
      </w:r>
    </w:p>
    <w:p>
      <w:pPr>
        <w:spacing w:after="0" w:line="164"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Restructuring Agreement. On August 21, 2002, AT&amp;T and Comcast Holdings announced that they had entered into an agreement with AOL Time Warner providing for the restructuring of TWE. The restructuring agreement was intended to provide for a more orderly and timely disposition of AT&amp;T Broadband Group's entire stake in TWE than would likely be available under the registration rights provisions of the TWE partnership agreement, which AT&amp;T Broadband Group had been pursuing. Upon consummation of the AT&amp;T Comcast transaction, we assumed all of AT&amp;T's interest in TWE and in the restructuring agreement.</w:t>
      </w:r>
    </w:p>
    <w:p>
      <w:pPr>
        <w:spacing w:after="0" w:line="166"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Under the restructuring agreement, which is expected to close in the first quarter of 2003, for its 27.64% interest in TWE, Comcast Cable Communications Holdings will receive $1.5 billion in common stock of AOL Time Warner Inc. (valued at the time of the closing and subject to certain limitations) and an effective 21% equity interest in all of AOL Time Warner's cable properties, including those already in TWE, and Comcast Cable Communications Holdings will also receive $2.1 billion in cash. As part of the restructuring, TWE will distribute to AOL Time Warner all of TWE's major content assets, which include Home Box Office (HBO), Warner Bros., and stakes in The WB Network, Comedy Central and Court TV. Time Warner Cable, which will own substantially all of AOL Time Warner's cable interests, is expected to conduct an initial public offering of common stock following the restructuring. Under the restructuring agreement, Comcast Cable Communications Holdings has registration rights enabling it to dispose of its shares in Time Warner Cable and in AOL Time Warner. In connection with the transactions, Comcast Holdings and Comcast Cable Communications Holdings will also enter into a three-year non-exclusive agreement with AOL Time Warner under which AOL High-Speed Broadband service would be made available on certain of our cable systems which pass approximately 10 million homes.</w:t>
      </w:r>
    </w:p>
    <w:p>
      <w:pPr>
        <w:spacing w:after="0" w:line="174"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On November 13, 2002, the FCC gave conditional approval to the transfer of certain FCC licenses required to complete the AT&amp;T Comcast transaction. The Memorandum Opinion and Order issued by the FCC ordered AT&amp;T and Comcast Holdings to place Comcast Cable Communications Holdings' interest in TWE into irrevocable trust prior to completion of the transaction and to fully divest the TWE interest within five-and-a-half years after completion of the transaction. During the divestiture period, the divestiture order prohibits us from any involvement in the video programming activities of TWE. Copies of the trust agreements pursuant to which Comcast Cable Communications Holdings' TWE interest will be placed into irrevocable trust are attached as exhibits to our Current Report on Form 8-K filed on November 18, 2002 incorporated by reference herein.</w:t>
      </w:r>
    </w:p>
    <w:p>
      <w:pPr>
        <w:spacing w:after="0" w:line="32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41</w:t>
      </w:r>
    </w:p>
    <w:p>
      <w:pPr>
        <w:sectPr>
          <w:pgSz w:w="11900" w:h="16838" w:orient="portrait"/>
          <w:cols w:equalWidth="0" w:num="1">
            <w:col w:w="10239"/>
          </w:cols>
          <w:pgMar w:left="220" w:top="785" w:right="1440" w:bottom="1440" w:gutter="0" w:footer="0" w:header="0"/>
        </w:sectPr>
      </w:pPr>
    </w:p>
    <w:bookmarkStart w:id="46" w:name="page47"/>
    <w:bookmarkEnd w:id="46"/>
    <w:p>
      <w:pPr>
        <w:ind w:right="3239" w:firstLine="437"/>
        <w:spacing w:after="0" w:line="237" w:lineRule="auto"/>
        <w:rPr>
          <w:sz w:val="20"/>
          <w:szCs w:val="20"/>
          <w:color w:val="auto"/>
        </w:rPr>
      </w:pPr>
      <w:r>
        <w:rPr>
          <w:rFonts w:ascii="Courier New" w:cs="Courier New" w:eastAsia="Courier New" w:hAnsi="Courier New"/>
          <w:sz w:val="15"/>
          <w:szCs w:val="15"/>
          <w:color w:val="auto"/>
        </w:rPr>
        <w:t>AT&amp;T acquired its stake in TWE as part of its June 2000 acquisition of the MediaOne Group. In February of 2001, AT&amp;T requested that TWE convert from a limited partnership into a corporation and create equity securities for registration with the Securities and Exchange Commission. On July 30, 2002, AT&amp;T and TWE agreed to suspend the registration process to explore alternative approaches that led to the transactions contemplated by the restructuring agreement. In connection with the Comcast Cable Communications Holdings spin-off, all of AT&amp;T Broadband Group's interests and rights with respect to TWE were transferred to Comcast Cable Communications Holdings subsidiaries, and subsequently placed in trust for orderly disposition. The TWE restructuring is subject to receipt of certain regulatory approvals and other closing conditions, certain of which are outside our control. There can be no assurance that the transactions contemplated by the TWE restructuring agreement will be consummated. If the restructuring agreement is terminated without the restructuring being consummated, the parties will return to the registration rights process under the TWE partnership agreement.</w:t>
      </w:r>
    </w:p>
    <w:p>
      <w:pPr>
        <w:spacing w:after="0" w:line="168" w:lineRule="exact"/>
        <w:rPr>
          <w:sz w:val="20"/>
          <w:szCs w:val="20"/>
          <w:color w:val="auto"/>
        </w:rPr>
      </w:pPr>
    </w:p>
    <w:p>
      <w:pPr>
        <w:ind w:left="280"/>
        <w:spacing w:after="0"/>
        <w:rPr>
          <w:sz w:val="20"/>
          <w:szCs w:val="20"/>
          <w:color w:val="auto"/>
        </w:rPr>
      </w:pPr>
      <w:r>
        <w:rPr>
          <w:rFonts w:ascii="Courier New" w:cs="Courier New" w:eastAsia="Courier New" w:hAnsi="Courier New"/>
          <w:sz w:val="15"/>
          <w:szCs w:val="15"/>
          <w:color w:val="auto"/>
        </w:rPr>
        <w:t>Mutual Release; Indemnification.</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Mutual Release of Pre-Closing Claims. AT&amp;T and Comcast Cable Communications Holdings have each released the other from any and all claims that it may have against the other party arising from any acts or events occurring or failing to occur prior to the completion of the Comcast Cable Communications Holdings spin-off, subject to certain exceptions specified in the separation and distribution agreement.</w:t>
      </w:r>
    </w:p>
    <w:p>
      <w:pPr>
        <w:spacing w:after="0" w:line="175" w:lineRule="exact"/>
        <w:rPr>
          <w:sz w:val="20"/>
          <w:szCs w:val="20"/>
          <w:color w:val="auto"/>
        </w:rPr>
      </w:pPr>
    </w:p>
    <w:p>
      <w:pPr>
        <w:jc w:val="both"/>
        <w:ind w:right="3319" w:firstLine="437"/>
        <w:spacing w:after="0" w:line="235" w:lineRule="auto"/>
        <w:rPr>
          <w:sz w:val="20"/>
          <w:szCs w:val="20"/>
          <w:color w:val="auto"/>
        </w:rPr>
      </w:pPr>
      <w:r>
        <w:rPr>
          <w:rFonts w:ascii="Courier New" w:cs="Courier New" w:eastAsia="Courier New" w:hAnsi="Courier New"/>
          <w:sz w:val="15"/>
          <w:szCs w:val="15"/>
          <w:color w:val="auto"/>
        </w:rPr>
        <w:t>Indemnification by AT&amp;T. AT&amp;T has indemnified Comcast Cable Communications Holdings from any and all liabilities relating to, arising out of or resulting from any of the following:</w:t>
      </w:r>
    </w:p>
    <w:p>
      <w:pPr>
        <w:spacing w:after="0" w:line="174" w:lineRule="exact"/>
        <w:rPr>
          <w:sz w:val="20"/>
          <w:szCs w:val="20"/>
          <w:color w:val="auto"/>
        </w:rPr>
      </w:pPr>
    </w:p>
    <w:p>
      <w:pPr>
        <w:ind w:left="800" w:right="3399" w:hanging="353"/>
        <w:spacing w:after="0" w:line="235" w:lineRule="auto"/>
        <w:tabs>
          <w:tab w:leader="none" w:pos="800" w:val="left"/>
        </w:tabs>
        <w:numPr>
          <w:ilvl w:val="0"/>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failure of AT&amp;T or any of its subsidiaries or any other person to pay any liabilities, or perform under any contracts, of AT&amp;T's communications business;</w:t>
      </w:r>
    </w:p>
    <w:p>
      <w:pPr>
        <w:spacing w:after="0" w:line="167" w:lineRule="exact"/>
        <w:rPr>
          <w:rFonts w:ascii="Courier New" w:cs="Courier New" w:eastAsia="Courier New" w:hAnsi="Courier New"/>
          <w:sz w:val="15"/>
          <w:szCs w:val="15"/>
          <w:color w:val="auto"/>
        </w:rPr>
      </w:pPr>
    </w:p>
    <w:p>
      <w:pPr>
        <w:ind w:left="800" w:hanging="353"/>
        <w:spacing w:after="0"/>
        <w:tabs>
          <w:tab w:leader="none" w:pos="800" w:val="left"/>
        </w:tabs>
        <w:numPr>
          <w:ilvl w:val="0"/>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assets or contracts of AT&amp;T's communications business; and</w:t>
      </w:r>
    </w:p>
    <w:p>
      <w:pPr>
        <w:spacing w:after="0" w:line="172" w:lineRule="exact"/>
        <w:rPr>
          <w:rFonts w:ascii="Courier New" w:cs="Courier New" w:eastAsia="Courier New" w:hAnsi="Courier New"/>
          <w:sz w:val="15"/>
          <w:szCs w:val="15"/>
          <w:color w:val="auto"/>
        </w:rPr>
      </w:pPr>
    </w:p>
    <w:p>
      <w:pPr>
        <w:ind w:left="800" w:right="3399" w:hanging="353"/>
        <w:spacing w:after="0" w:line="234" w:lineRule="auto"/>
        <w:tabs>
          <w:tab w:leader="none" w:pos="800" w:val="left"/>
        </w:tabs>
        <w:numPr>
          <w:ilvl w:val="0"/>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breach of the separation and distribution agreement or any of the ancillary agreements by AT&amp;T.</w:t>
      </w:r>
    </w:p>
    <w:p>
      <w:pPr>
        <w:spacing w:after="0" w:line="173" w:lineRule="exact"/>
        <w:rPr>
          <w:sz w:val="20"/>
          <w:szCs w:val="20"/>
          <w:color w:val="auto"/>
        </w:rPr>
      </w:pPr>
    </w:p>
    <w:p>
      <w:pPr>
        <w:ind w:right="3579" w:firstLine="437"/>
        <w:spacing w:after="0" w:line="258" w:lineRule="auto"/>
        <w:rPr>
          <w:sz w:val="20"/>
          <w:szCs w:val="20"/>
          <w:color w:val="auto"/>
        </w:rPr>
      </w:pPr>
      <w:r>
        <w:rPr>
          <w:rFonts w:ascii="Courier New" w:cs="Courier New" w:eastAsia="Courier New" w:hAnsi="Courier New"/>
          <w:sz w:val="14"/>
          <w:szCs w:val="14"/>
          <w:color w:val="auto"/>
        </w:rPr>
        <w:t>Indemnification by Comcast Cable Communications Holdings. Comcast Cable Communications Holdings has indemnified AT&amp;T from any and all liabilities relating to, arising out of or resulting from any of the following:</w:t>
      </w:r>
    </w:p>
    <w:p>
      <w:pPr>
        <w:spacing w:after="0" w:line="161" w:lineRule="exact"/>
        <w:rPr>
          <w:sz w:val="20"/>
          <w:szCs w:val="20"/>
          <w:color w:val="auto"/>
        </w:rPr>
      </w:pPr>
    </w:p>
    <w:p>
      <w:pPr>
        <w:ind w:left="800" w:right="3579" w:hanging="353"/>
        <w:spacing w:after="0" w:line="235" w:lineRule="auto"/>
        <w:tabs>
          <w:tab w:leader="none" w:pos="800" w:val="left"/>
        </w:tabs>
        <w:numPr>
          <w:ilvl w:val="0"/>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failure of Comcast Cable Communications Holdings or any of its subsidiaries or any other person to pay any liabilities, or perform under any contracts, of AT&amp;T's broadband business;</w:t>
      </w:r>
    </w:p>
    <w:p>
      <w:pPr>
        <w:spacing w:after="0" w:line="167" w:lineRule="exact"/>
        <w:rPr>
          <w:rFonts w:ascii="Courier New" w:cs="Courier New" w:eastAsia="Courier New" w:hAnsi="Courier New"/>
          <w:sz w:val="15"/>
          <w:szCs w:val="15"/>
          <w:color w:val="auto"/>
        </w:rPr>
      </w:pPr>
    </w:p>
    <w:p>
      <w:pPr>
        <w:ind w:left="800" w:hanging="353"/>
        <w:spacing w:after="0"/>
        <w:tabs>
          <w:tab w:leader="none" w:pos="800" w:val="left"/>
        </w:tabs>
        <w:numPr>
          <w:ilvl w:val="0"/>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assets or contracts of AT&amp;T's broadband business; and</w:t>
      </w:r>
    </w:p>
    <w:p>
      <w:pPr>
        <w:spacing w:after="0" w:line="172" w:lineRule="exact"/>
        <w:rPr>
          <w:rFonts w:ascii="Courier New" w:cs="Courier New" w:eastAsia="Courier New" w:hAnsi="Courier New"/>
          <w:sz w:val="15"/>
          <w:szCs w:val="15"/>
          <w:color w:val="auto"/>
        </w:rPr>
      </w:pPr>
    </w:p>
    <w:p>
      <w:pPr>
        <w:ind w:left="800" w:right="3399" w:hanging="353"/>
        <w:spacing w:after="0" w:line="234" w:lineRule="auto"/>
        <w:tabs>
          <w:tab w:leader="none" w:pos="800" w:val="left"/>
        </w:tabs>
        <w:numPr>
          <w:ilvl w:val="0"/>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breach of the separation and distribution agreement or any of the ancillary agreements by Comcast Cable Communications Holdings;</w:t>
      </w:r>
    </w:p>
    <w:p>
      <w:pPr>
        <w:spacing w:after="0" w:line="173"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Tax Indemnification. Subject to the exceptions described below, Comcast Cable Communications Holdings has indemnified AT&amp;T against 50% of the taxes and related costs assessed against AT&amp;T resulting from the disqualification of the separation and the Comcast Cable Communications Holdings spin-off as tax-free transactions under Section 355 of the Code.</w:t>
      </w:r>
    </w:p>
    <w:p>
      <w:pPr>
        <w:spacing w:after="0" w:line="174"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If such disqualification results from a transaction involving the stock or assets of Comcast Cable Communications Holdings occurring after the Comcast Cable Communications Holdings spin-off, from Comcast Cable Communications Holdings' failure to remain actively engaged in a trade or business or from the failure of any representation made with respect to Comcast Cable Communications Holdings in connection with certain tax opinions and Internal Revenue Service rulings, then Comcast Cable Communications Holdings will be required to indemnify AT&amp;T against all such taxes and related costs.</w:t>
      </w:r>
    </w:p>
    <w:p>
      <w:pPr>
        <w:spacing w:after="0" w:line="166"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If such disqualification results from a transaction involving the stock or assets of AT&amp;T occurring after the Comcast Cable Communications Holdings spin-off, from AT&amp;T's failure to remain actively engaged in a trade or business or from the failure of any representation made with respect to AT&amp;T in connection with certain tax</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42</w:t>
      </w:r>
    </w:p>
    <w:p>
      <w:pPr>
        <w:sectPr>
          <w:pgSz w:w="11900" w:h="16838" w:orient="portrait"/>
          <w:cols w:equalWidth="0" w:num="1">
            <w:col w:w="10239"/>
          </w:cols>
          <w:pgMar w:left="220" w:top="792" w:right="1440" w:bottom="1440" w:gutter="0" w:footer="0" w:header="0"/>
        </w:sectPr>
      </w:pPr>
    </w:p>
    <w:bookmarkStart w:id="47" w:name="page48"/>
    <w:bookmarkEnd w:id="47"/>
    <w:p>
      <w:pPr>
        <w:ind w:right="3239"/>
        <w:spacing w:after="0" w:line="235" w:lineRule="auto"/>
        <w:rPr>
          <w:sz w:val="20"/>
          <w:szCs w:val="20"/>
          <w:color w:val="auto"/>
        </w:rPr>
      </w:pPr>
      <w:r>
        <w:rPr>
          <w:rFonts w:ascii="Courier New" w:cs="Courier New" w:eastAsia="Courier New" w:hAnsi="Courier New"/>
          <w:sz w:val="15"/>
          <w:szCs w:val="15"/>
          <w:color w:val="auto"/>
        </w:rPr>
        <w:t>opinions and Internal Revenue Service rulings, then Comcast Cable Communications Holdings is not required to indemnify AT&amp;T against any such taxes or related costs.</w:t>
      </w:r>
    </w:p>
    <w:p>
      <w:pPr>
        <w:spacing w:after="0" w:line="174"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Comcast Cable Communications Holdings has also indemnified AT&amp;T against 50% of the taxes and related costs resulting from the Liberty Media or AT&amp;T Wireless spin-offs failing to be tax-free, unless either spin-off becomes taxable as a result of an action taken by AT&amp;T or Comcast Cable Communications Holdings, in which case the acting party bears full responsibility for any resulting AT&amp;T liabilities. Comcast Cable Communications Holdings' obligation described in the preceding sentence is reduced by Comcast Cable Communications Holdings' share of any indemnification that AT&amp;T receives from Liberty Media or AT&amp;T Wireless as a result of the relevant spin-off failing to qualify as tax-free.</w:t>
      </w:r>
    </w:p>
    <w:p>
      <w:pPr>
        <w:spacing w:after="0" w:line="165"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Other Indemnification. Subject to the next sentence, AT&amp;T and Comcast Cable Communications Holdings have indemnified each other for 50% of any liability resulting from any untrue statement or omission of a material fact in any registration statement relating to the Comcast Cable Communications Holdings spin-off or in any other filing made by AT&amp;T or Comcast Cable Communications Holdings with the Securities and Exchange Commission in connection with the separation, the Comcast Cable Communications Holdings spin-off, the Comcast Cable Communications Holdings merger or any related agreements. AT&amp;T also indemnified us and Comcast Cable Communications Holdings for any liability resulting from any untrue statement or omission of a material fact in any registration statement relating to the Consumer Services charter amendment proposal, any other proposal related to the creation of AT&amp;T Consumer Services Group tracking stock, the reverse stock split proposal or any AT&amp;T 2002 annual meeting proposal other than the AT&amp;T transaction proposal or the AT&amp;T Comcast charter proposal.</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Tax Sharing Agreement</w:t>
      </w:r>
    </w:p>
    <w:p>
      <w:pPr>
        <w:spacing w:after="0" w:line="173" w:lineRule="exact"/>
        <w:rPr>
          <w:sz w:val="20"/>
          <w:szCs w:val="20"/>
          <w:color w:val="auto"/>
        </w:rPr>
      </w:pPr>
    </w:p>
    <w:p>
      <w:pPr>
        <w:ind w:right="3399" w:firstLine="437"/>
        <w:spacing w:after="0" w:line="235" w:lineRule="auto"/>
        <w:rPr>
          <w:sz w:val="20"/>
          <w:szCs w:val="20"/>
          <w:color w:val="auto"/>
        </w:rPr>
      </w:pPr>
      <w:r>
        <w:rPr>
          <w:rFonts w:ascii="Courier New" w:cs="Courier New" w:eastAsia="Courier New" w:hAnsi="Courier New"/>
          <w:sz w:val="15"/>
          <w:szCs w:val="15"/>
          <w:color w:val="auto"/>
        </w:rPr>
        <w:t>The following summary of the tax sharing agreement is qualified by reference to the tax sharing agreement, which is included as an exhibit to the registration statement of which this prospectus is a part.</w:t>
      </w:r>
    </w:p>
    <w:p>
      <w:pPr>
        <w:spacing w:after="0" w:line="174"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In General. Comcast Cable Communications Holdings' tax liability, as described below, for the period beginning January 1, 2002 through November 18, 2002 will be included in the consolidated federal income tax return of AT&amp;T for 2002 and for the period beginning November 19, 2002 through December 31, 2002 will be included in the consolidated federal income tax return of Comcast. The tax sharing agreement provides for tax sharing payments between Comcast Cable Communications Holdings and AT&amp;T for periods prior to the Comcast Cable Communications Holdings spin-off, based on the taxes or tax benefits of hypothetical affiliated groups consisting of the businesses, assets and liabilities that make up Comcast Cable Communications Holdings, on the one hand, and all other businesses, assets and liabilities of AT&amp;T, on the other hand. Each group is generally responsible for the taxes attributable to its lines of business and entities comprising its group.</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AT&amp;T and Comcast Cable Communications Holdings have agreed that the consolidated tax liability (before credits) of the hypothetical group will be allocated to each group based on such group's contribution to consolidated taxable income. This allocation will take into account losses, deductions and other tax attributes that are utilized by the hypothetical group even if these attributes could not be utilized on a stand-alone basis. Tax sharing payments in respect of the consolidated tax liability of the hypothetical group, after allocation of consolidated tax credits, will be made between AT&amp;T and Comcast Cable Communications Holdings consistent with the allocations under the tax sharing agreement. As between AT&amp;T and Comcast Cable Communications Holdings, certain tax items are specially allocated to the AT&amp;T group and Comcast Cable Communications Holdings group under the tax sharing agreement.</w:t>
      </w:r>
    </w:p>
    <w:p>
      <w:pPr>
        <w:spacing w:after="0" w:line="164" w:lineRule="exact"/>
        <w:rPr>
          <w:sz w:val="20"/>
          <w:szCs w:val="20"/>
          <w:color w:val="auto"/>
        </w:rPr>
      </w:pPr>
    </w:p>
    <w:p>
      <w:pPr>
        <w:ind w:right="3399" w:firstLine="437"/>
        <w:spacing w:after="0" w:line="256" w:lineRule="auto"/>
        <w:rPr>
          <w:sz w:val="20"/>
          <w:szCs w:val="20"/>
          <w:color w:val="auto"/>
        </w:rPr>
      </w:pPr>
      <w:r>
        <w:rPr>
          <w:rFonts w:ascii="Courier New" w:cs="Courier New" w:eastAsia="Courier New" w:hAnsi="Courier New"/>
          <w:sz w:val="14"/>
          <w:szCs w:val="14"/>
          <w:color w:val="auto"/>
        </w:rPr>
        <w:t>Comcast Cable Communications Holdings Spin-off. AT&amp;T and Comcast Cable Communications Holdings have agreed that taxes related to intercompany transactions that are triggered by the Comcast Cable Communications Holdings spin-off will be generally allocated to Comcast Cable Communications Holdings.</w:t>
      </w:r>
    </w:p>
    <w:p>
      <w:pPr>
        <w:spacing w:after="0" w:line="164"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Non-Income Tax Liabilities. AT&amp;T and Comcast Cable Communications Holdings have agreed that joint non-income tax liabilities will generally be allocated between AT&amp;T and Comcast Cable Communications Holdings based on the amount of such taxes attributable to each group's line of business. If the line of business with respect to</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43</w:t>
      </w:r>
    </w:p>
    <w:p>
      <w:pPr>
        <w:sectPr>
          <w:pgSz w:w="11900" w:h="16838" w:orient="portrait"/>
          <w:cols w:equalWidth="0" w:num="1">
            <w:col w:w="10239"/>
          </w:cols>
          <w:pgMar w:left="220" w:top="792" w:right="1440" w:bottom="1440" w:gutter="0" w:footer="0" w:header="0"/>
        </w:sectPr>
      </w:pPr>
    </w:p>
    <w:bookmarkStart w:id="48" w:name="page49"/>
    <w:bookmarkEnd w:id="48"/>
    <w:p>
      <w:pPr>
        <w:ind w:right="3499"/>
        <w:spacing w:after="0" w:line="234" w:lineRule="auto"/>
        <w:rPr>
          <w:sz w:val="20"/>
          <w:szCs w:val="20"/>
          <w:color w:val="auto"/>
        </w:rPr>
      </w:pPr>
      <w:r>
        <w:rPr>
          <w:rFonts w:ascii="Courier New" w:cs="Courier New" w:eastAsia="Courier New" w:hAnsi="Courier New"/>
          <w:sz w:val="15"/>
          <w:szCs w:val="15"/>
          <w:color w:val="auto"/>
        </w:rPr>
        <w:t>which the liability is appropriately associated cannot be readily determined, the tax liability will be allocated to the AT&amp;T group.</w:t>
      </w:r>
    </w:p>
    <w:p>
      <w:pPr>
        <w:spacing w:after="0" w:line="173" w:lineRule="exact"/>
        <w:rPr>
          <w:sz w:val="20"/>
          <w:szCs w:val="20"/>
          <w:color w:val="auto"/>
        </w:rPr>
      </w:pPr>
    </w:p>
    <w:p>
      <w:pPr>
        <w:ind w:right="3399" w:firstLine="437"/>
        <w:spacing w:after="0" w:line="256" w:lineRule="auto"/>
        <w:rPr>
          <w:sz w:val="20"/>
          <w:szCs w:val="20"/>
          <w:color w:val="auto"/>
        </w:rPr>
      </w:pPr>
      <w:r>
        <w:rPr>
          <w:rFonts w:ascii="Courier New" w:cs="Courier New" w:eastAsia="Courier New" w:hAnsi="Courier New"/>
          <w:sz w:val="14"/>
          <w:szCs w:val="14"/>
          <w:color w:val="auto"/>
        </w:rPr>
        <w:t>Audit Adjustments. AT&amp;T and Comcast Cable Communications Holdings have agreed that taxes resulting from audit adjustments will generally be allocated between the two groups based on line of business. In general, AT&amp;T controls audits and administrative matters related to pre-spin-off periods.</w:t>
      </w:r>
    </w:p>
    <w:p>
      <w:pPr>
        <w:spacing w:after="0" w:line="164" w:lineRule="exact"/>
        <w:rPr>
          <w:sz w:val="20"/>
          <w:szCs w:val="20"/>
          <w:color w:val="auto"/>
        </w:rPr>
      </w:pPr>
    </w:p>
    <w:p>
      <w:pPr>
        <w:ind w:right="3499" w:firstLine="437"/>
        <w:spacing w:after="0" w:line="255" w:lineRule="auto"/>
        <w:rPr>
          <w:sz w:val="20"/>
          <w:szCs w:val="20"/>
          <w:color w:val="auto"/>
        </w:rPr>
      </w:pPr>
      <w:r>
        <w:rPr>
          <w:rFonts w:ascii="Courier New" w:cs="Courier New" w:eastAsia="Courier New" w:hAnsi="Courier New"/>
          <w:sz w:val="14"/>
          <w:szCs w:val="14"/>
          <w:color w:val="auto"/>
        </w:rPr>
        <w:t>Post-Spin-off Tax Attributes. Generally, Comcast Cable Communications Holdings may not carry back a loss, credit or other tax attribute from a post-spin-off period to a pre-spin-off period, unless Comcast Cable Communications Holdings obtains AT&amp;T's consent (which, in the case of significant net operating or capital loss carrybacks, may not be unreasonably withheld) and then only to the extent permitted by applicable law.</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Ancillary Agreements</w:t>
      </w:r>
    </w:p>
    <w:p>
      <w:pPr>
        <w:spacing w:after="0" w:line="173" w:lineRule="exact"/>
        <w:rPr>
          <w:sz w:val="20"/>
          <w:szCs w:val="20"/>
          <w:color w:val="auto"/>
        </w:rPr>
      </w:pPr>
    </w:p>
    <w:p>
      <w:pPr>
        <w:ind w:right="3399" w:firstLine="437"/>
        <w:spacing w:after="0" w:line="235" w:lineRule="auto"/>
        <w:rPr>
          <w:sz w:val="20"/>
          <w:szCs w:val="20"/>
          <w:color w:val="auto"/>
        </w:rPr>
      </w:pPr>
      <w:r>
        <w:rPr>
          <w:rFonts w:ascii="Courier New" w:cs="Courier New" w:eastAsia="Courier New" w:hAnsi="Courier New"/>
          <w:sz w:val="15"/>
          <w:szCs w:val="15"/>
          <w:color w:val="auto"/>
        </w:rPr>
        <w:t>In addition to the other agreements described in this section, AT&amp;T and Comcast Cable Communications Holdings entered into various other commercial agreements in connection with the AT&amp;T Comcast transaction. A brief summary of these agreements follows:</w:t>
      </w:r>
    </w:p>
    <w:p>
      <w:pPr>
        <w:spacing w:after="0" w:line="175" w:lineRule="exact"/>
        <w:rPr>
          <w:sz w:val="20"/>
          <w:szCs w:val="20"/>
          <w:color w:val="auto"/>
        </w:rPr>
      </w:pPr>
    </w:p>
    <w:p>
      <w:pPr>
        <w:ind w:right="4019" w:firstLine="437"/>
        <w:spacing w:after="0" w:line="261" w:lineRule="auto"/>
        <w:rPr>
          <w:sz w:val="20"/>
          <w:szCs w:val="20"/>
          <w:color w:val="auto"/>
        </w:rPr>
      </w:pPr>
      <w:r>
        <w:rPr>
          <w:rFonts w:ascii="Courier New" w:cs="Courier New" w:eastAsia="Courier New" w:hAnsi="Courier New"/>
          <w:sz w:val="14"/>
          <w:szCs w:val="14"/>
          <w:color w:val="auto"/>
        </w:rPr>
        <w:t>Network Service Agreements. AT&amp;T and Comcast Cable Communications Holdings entered into principal network service agreements as follows.</w:t>
      </w:r>
    </w:p>
    <w:p>
      <w:pPr>
        <w:spacing w:after="0" w:line="160" w:lineRule="exact"/>
        <w:rPr>
          <w:sz w:val="20"/>
          <w:szCs w:val="20"/>
          <w:color w:val="auto"/>
        </w:rPr>
      </w:pPr>
    </w:p>
    <w:p>
      <w:pPr>
        <w:ind w:left="800" w:right="3239" w:hanging="353"/>
        <w:spacing w:after="0" w:line="255" w:lineRule="auto"/>
        <w:tabs>
          <w:tab w:leader="none" w:pos="800" w:val="left"/>
        </w:tabs>
        <w:numPr>
          <w:ilvl w:val="0"/>
          <w:numId w:val="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Master Carrier Agreement. This agreement reflects the rates, terms and conditions on which AT&amp;T Business Services Group will provide voice, data and Internet services to Comcast Cable Communications Holdings, including both wholesale services (those used as a component in Comcast Cable Communications Holdings' services to its customers) and "administrative" services (for internal Comcast Cable Communications Holdings usage). Pricing is market based, with provisions defining an ongoing process to ensure that the prices remain competitive.</w:t>
      </w:r>
    </w:p>
    <w:p>
      <w:pPr>
        <w:spacing w:after="0" w:line="165" w:lineRule="exact"/>
        <w:rPr>
          <w:rFonts w:ascii="Courier New" w:cs="Courier New" w:eastAsia="Courier New" w:hAnsi="Courier New"/>
          <w:sz w:val="14"/>
          <w:szCs w:val="14"/>
          <w:color w:val="auto"/>
        </w:rPr>
      </w:pPr>
    </w:p>
    <w:p>
      <w:pPr>
        <w:ind w:left="800" w:right="3319" w:hanging="353"/>
        <w:spacing w:after="0" w:line="255" w:lineRule="auto"/>
        <w:tabs>
          <w:tab w:leader="none" w:pos="800" w:val="left"/>
        </w:tabs>
        <w:numPr>
          <w:ilvl w:val="0"/>
          <w:numId w:val="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First Amended and Restated Local Network Connectivity Services Agreement. This agreement reflects the rates, terms and conditions on which AT&amp;T Business Services Group will provide certain local network connectivity services to Comcast Cable Communications Holdings for use in providing local telephone services to Comcast Cable Communications Holdings' subscribers. This agreement consists of two parts:</w:t>
      </w:r>
    </w:p>
    <w:p>
      <w:pPr>
        <w:spacing w:after="0" w:line="166" w:lineRule="exact"/>
        <w:rPr>
          <w:sz w:val="20"/>
          <w:szCs w:val="20"/>
          <w:color w:val="auto"/>
        </w:rPr>
      </w:pPr>
    </w:p>
    <w:p>
      <w:pPr>
        <w:ind w:left="1240" w:right="3239" w:hanging="356"/>
        <w:spacing w:after="0" w:line="256" w:lineRule="auto"/>
        <w:tabs>
          <w:tab w:leader="none" w:pos="1240" w:val="left"/>
        </w:tabs>
        <w:numPr>
          <w:ilvl w:val="0"/>
          <w:numId w:val="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capital lease from AT&amp;T Business Services Group to Comcast Cable Communications Holdings of certain network switching and transport assets to be used exclusively by Comcast Cable Communications Holdings for a term of up to ten years, commencing January 1, 2002 for initial assets leased under the agreement; and</w:t>
      </w:r>
    </w:p>
    <w:p>
      <w:pPr>
        <w:spacing w:after="0" w:line="163" w:lineRule="exact"/>
        <w:rPr>
          <w:rFonts w:ascii="Courier New" w:cs="Courier New" w:eastAsia="Courier New" w:hAnsi="Courier New"/>
          <w:sz w:val="14"/>
          <w:szCs w:val="14"/>
          <w:color w:val="auto"/>
        </w:rPr>
      </w:pPr>
    </w:p>
    <w:p>
      <w:pPr>
        <w:ind w:left="1240" w:right="3319" w:hanging="356"/>
        <w:spacing w:after="0" w:line="236" w:lineRule="auto"/>
        <w:tabs>
          <w:tab w:leader="none" w:pos="1240" w:val="left"/>
        </w:tabs>
        <w:numPr>
          <w:ilvl w:val="0"/>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operating agreement for the provision of local network connectivity, management and operational services in support of Comcast Cable Communications Holdings' local cable telephone services, with a minimum term of five years commencing January 1, 2002.</w:t>
      </w:r>
    </w:p>
    <w:p>
      <w:pPr>
        <w:spacing w:after="0" w:line="174" w:lineRule="exact"/>
        <w:rPr>
          <w:sz w:val="20"/>
          <w:szCs w:val="20"/>
          <w:color w:val="auto"/>
        </w:rPr>
      </w:pPr>
    </w:p>
    <w:p>
      <w:pPr>
        <w:ind w:left="800" w:right="3239" w:hanging="353"/>
        <w:spacing w:after="0" w:line="237" w:lineRule="auto"/>
        <w:tabs>
          <w:tab w:leader="none" w:pos="800" w:val="left"/>
        </w:tabs>
        <w:numPr>
          <w:ilvl w:val="0"/>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Master Facilities Agreement. This agreement permits AT&amp;T or any of its subsidiaries to use existing fiber facilities owned or leased by Comcast Cable Communications Holdings or its controlled affiliates, together with related services. In addition, Comcast Cable Communications Holdings will construct and lease to AT&amp;T new fiber facilities in the areas served by Comcast Cable Communications Holdings' cable systems for use in providing telecommunications services. The term of the build-out period will expire on January 8, 2012. Subject to certain termination rights specified in this agreement, the term of AT&amp;T's right to use facilities leased under this agreement will expire on January 8, 2028, renewable at AT&amp;T's option for successive 20-year terms in perpetuity.</w:t>
      </w:r>
    </w:p>
    <w:p>
      <w:pPr>
        <w:spacing w:after="0" w:line="173" w:lineRule="exact"/>
        <w:rPr>
          <w:rFonts w:ascii="Courier New" w:cs="Courier New" w:eastAsia="Courier New" w:hAnsi="Courier New"/>
          <w:sz w:val="15"/>
          <w:szCs w:val="15"/>
          <w:color w:val="auto"/>
        </w:rPr>
      </w:pPr>
    </w:p>
    <w:p>
      <w:pPr>
        <w:ind w:left="800" w:right="3319" w:hanging="353"/>
        <w:spacing w:after="0" w:line="235" w:lineRule="auto"/>
        <w:tabs>
          <w:tab w:leader="none" w:pos="800" w:val="left"/>
        </w:tabs>
        <w:numPr>
          <w:ilvl w:val="0"/>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Interconnection and Intercarrier Compensation Term Sheet. This agreement, which has a five-year initial term commencing January 1, 2002, specifies the terms of interconnection of the parties' networks, and compensation for:</w:t>
      </w:r>
    </w:p>
    <w:p>
      <w:pPr>
        <w:spacing w:after="0" w:line="33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44</w:t>
      </w:r>
    </w:p>
    <w:p>
      <w:pPr>
        <w:sectPr>
          <w:pgSz w:w="11900" w:h="16838" w:orient="portrait"/>
          <w:cols w:equalWidth="0" w:num="1">
            <w:col w:w="10239"/>
          </w:cols>
          <w:pgMar w:left="220" w:top="792" w:right="1440" w:bottom="1440" w:gutter="0" w:footer="0" w:header="0"/>
        </w:sectPr>
      </w:pPr>
    </w:p>
    <w:bookmarkStart w:id="49" w:name="page50"/>
    <w:bookmarkEnd w:id="49"/>
    <w:p>
      <w:pPr>
        <w:ind w:left="1240" w:right="3499" w:hanging="356"/>
        <w:spacing w:after="0" w:line="234" w:lineRule="auto"/>
        <w:tabs>
          <w:tab w:leader="none" w:pos="1240" w:val="left"/>
        </w:tabs>
        <w:numPr>
          <w:ilvl w:val="0"/>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origination or termination of interexchange traffic for the other party; and</w:t>
      </w:r>
    </w:p>
    <w:p>
      <w:pPr>
        <w:spacing w:after="0" w:line="173" w:lineRule="exact"/>
        <w:rPr>
          <w:rFonts w:ascii="Courier New" w:cs="Courier New" w:eastAsia="Courier New" w:hAnsi="Courier New"/>
          <w:sz w:val="15"/>
          <w:szCs w:val="15"/>
          <w:color w:val="auto"/>
        </w:rPr>
      </w:pPr>
    </w:p>
    <w:p>
      <w:pPr>
        <w:ind w:left="1240" w:right="4099" w:hanging="356"/>
        <w:spacing w:after="0" w:line="234" w:lineRule="auto"/>
        <w:tabs>
          <w:tab w:leader="none" w:pos="1240" w:val="left"/>
        </w:tabs>
        <w:numPr>
          <w:ilvl w:val="0"/>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exchange of local traffic between the parties' local customers.</w:t>
      </w:r>
    </w:p>
    <w:p>
      <w:pPr>
        <w:spacing w:after="0" w:line="173" w:lineRule="exact"/>
        <w:rPr>
          <w:sz w:val="20"/>
          <w:szCs w:val="20"/>
          <w:color w:val="auto"/>
        </w:rPr>
      </w:pPr>
    </w:p>
    <w:p>
      <w:pPr>
        <w:ind w:left="800" w:right="3239" w:hanging="353"/>
        <w:spacing w:after="0" w:line="236" w:lineRule="auto"/>
        <w:tabs>
          <w:tab w:leader="none" w:pos="800" w:val="left"/>
        </w:tabs>
        <w:numPr>
          <w:ilvl w:val="0"/>
          <w:numId w:val="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High Speed Internet Services Binding Term Sheet. This agreement reflects the rates, terms and conditions on which AT&amp;T will provide specified processes, procedures and services to support Comcast Cable Communications Holdings in its provision of broadband Internet services to Comcast Cable Communications Holdings subscribers. This agreement has a four-year initial term commencing December 4, 2001.</w:t>
      </w:r>
    </w:p>
    <w:p>
      <w:pPr>
        <w:spacing w:after="0" w:line="174" w:lineRule="exact"/>
        <w:rPr>
          <w:rFonts w:ascii="Courier New" w:cs="Courier New" w:eastAsia="Courier New" w:hAnsi="Courier New"/>
          <w:sz w:val="15"/>
          <w:szCs w:val="15"/>
          <w:color w:val="auto"/>
        </w:rPr>
      </w:pPr>
    </w:p>
    <w:p>
      <w:pPr>
        <w:ind w:left="800" w:right="3239" w:hanging="353"/>
        <w:spacing w:after="0" w:line="255" w:lineRule="auto"/>
        <w:tabs>
          <w:tab w:leader="none" w:pos="800" w:val="left"/>
        </w:tabs>
        <w:numPr>
          <w:ilvl w:val="0"/>
          <w:numId w:val="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Intellectual Property Agreement. This agreement specifies the ownership and license rights granted by each party to the other in specified patents, software, copyrights and trade secrets. Among other rights granted, the effect of this agreement is to allow Comcast Cable Communications Holdings and AT&amp;T to continue to have the same rights to use the intellectual property that they had at the time of the separation and Comcast Cable Communications Holdings spin-off.</w:t>
      </w:r>
    </w:p>
    <w:p>
      <w:pPr>
        <w:spacing w:after="0" w:line="166" w:lineRule="exact"/>
        <w:rPr>
          <w:rFonts w:ascii="Courier New" w:cs="Courier New" w:eastAsia="Courier New" w:hAnsi="Courier New"/>
          <w:sz w:val="14"/>
          <w:szCs w:val="14"/>
          <w:color w:val="auto"/>
        </w:rPr>
      </w:pPr>
    </w:p>
    <w:p>
      <w:pPr>
        <w:ind w:left="800" w:right="3239" w:hanging="353"/>
        <w:spacing w:after="0" w:line="255" w:lineRule="auto"/>
        <w:tabs>
          <w:tab w:leader="none" w:pos="800" w:val="left"/>
        </w:tabs>
        <w:numPr>
          <w:ilvl w:val="0"/>
          <w:numId w:val="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Corporate Name Agreement. AT&amp;T and we entered into a corporate name agreement immediately prior to the completion of the AT&amp;T Comcast transaction pursuant to which AT&amp;T will grant to us the right to use the term "AT&amp;T" as part of our full corporate name, but prohibit any use of "AT&amp;T" as a trade name, trademark, or service mark, or in a domain name other than specified domain names permitted for certain purposes. Such grant of rights will be perpetual unless terminated as a result of the Roberts family's voting power falling below 33% or pursuant to any other terms of the agreement. On November 18, 2002, we changed our name from AT&amp;T Comcast Corporation to Comcast Corporation.</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QUIPS Exchange</w:t>
      </w:r>
    </w:p>
    <w:p>
      <w:pPr>
        <w:spacing w:after="0" w:line="173"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Prior to the AT&amp;T Comcast transaction, Microsoft (through a wholly owned subsidiary) held $5 billion in aggregate liquidation preference amount of 5% Convertible Quarterly Income Preferred Securities, referred to in this prospectus by their acronym "QUIPS," of AT&amp;T Finance Trust I, a Delaware business trust. The QUIPS were convertible into $5 billion aggregate face amount of 5% Junior Convertible Subordinated Debentures due 2029 of AT&amp;T, which were in turn convertible into AT&amp;T common stock. In connection with the AT&amp;T Comcast transaction, Comcast Holdings and Microsoft entered into an exchange agreement dated December 7, 2001 relating to the exchange of the QUIPS for a combination of our voting and non-voting shares to be issued in the merger, and on December 19, 2001 we became a party to the exchange agreement by executing the instrument of admission. On March 11, 2002, the parties amended the exchange agreement and instrument of admission. The following summary of the exchange agreement and the instrument of admission, in each case as amended, is qualified in its entirety by reference to the complete texts of the exchange agreement and the instrument of admission, in each case as amended, which are incorporated by reference and attached as exhibits to the registration statement in which this prospectus is included.</w:t>
      </w:r>
    </w:p>
    <w:p>
      <w:pPr>
        <w:spacing w:after="0" w:line="175"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The Exchange. In the exchange agreement and instrument of admission, we agreed to exchange the QUIPS for approximately 100.6 million shares of our Class A Common Stock, and approximately 14.4 million shares of our non-voting Class A Special Common Stock in the AT&amp;T Comcast transaction. If Microsoft transfers shares of our Class A Common Stock or its voting interest in us is diluted below 4.95%, subject to certain conditions, Microsoft will have the right to cause us to exchange the shares of our non-voting Class A Special Common Stock received in the AT&amp;T Comcast transaction for shares of our voting Class A Common Stock provided that its voting interest in us does not exceed 4.95% after the exchange. Prior to six months after completion of the Microsoft transaction, subject to certain exceptions, Microsoft has agreed that neither Microsoft nor any of its wholly-owned subsidiaries will sell, or enter into any agreement, arrangement or negotiations relating to the sale of, any of the shares of our Class A Special Common Stock that it received in connection with the Microsoft transaction. Comcast Holdings agreed to indemnify Microsoft against any claim by Comcast Holdings, AT&amp;T or any shareholder of Comcast Holdings, AT&amp;T or us for any loss arising as a result of the Comcast Cable Communications Holdings spin-off or the mergers failing to be tax-free, except to the extent such a failure results directly from a breach by Microsoft of</w:t>
      </w:r>
    </w:p>
    <w:p>
      <w:pPr>
        <w:spacing w:after="0" w:line="200" w:lineRule="exact"/>
        <w:rPr>
          <w:sz w:val="20"/>
          <w:szCs w:val="20"/>
          <w:color w:val="auto"/>
        </w:rPr>
      </w:pPr>
    </w:p>
    <w:p>
      <w:pPr>
        <w:spacing w:after="0" w:line="304"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45</w:t>
      </w:r>
    </w:p>
    <w:p>
      <w:pPr>
        <w:sectPr>
          <w:pgSz w:w="11900" w:h="16838" w:orient="portrait"/>
          <w:cols w:equalWidth="0" w:num="1">
            <w:col w:w="10239"/>
          </w:cols>
          <w:pgMar w:left="220" w:top="792" w:right="1440" w:bottom="1440" w:gutter="0" w:footer="0" w:header="0"/>
        </w:sectPr>
      </w:pPr>
    </w:p>
    <w:bookmarkStart w:id="50" w:name="page51"/>
    <w:bookmarkEnd w:id="50"/>
    <w:p>
      <w:pPr>
        <w:ind w:right="3939"/>
        <w:spacing w:after="0" w:line="261" w:lineRule="auto"/>
        <w:rPr>
          <w:sz w:val="20"/>
          <w:szCs w:val="20"/>
          <w:color w:val="auto"/>
        </w:rPr>
      </w:pPr>
      <w:r>
        <w:rPr>
          <w:rFonts w:ascii="Courier New" w:cs="Courier New" w:eastAsia="Courier New" w:hAnsi="Courier New"/>
          <w:sz w:val="14"/>
          <w:szCs w:val="14"/>
          <w:color w:val="auto"/>
        </w:rPr>
        <w:t>the lock-up agreement described above or of the failure of a related representation and warranty made by Microsoft in the exchange agreement.</w:t>
      </w:r>
    </w:p>
    <w:p>
      <w:pPr>
        <w:spacing w:after="0" w:line="160"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Internet Access. Until the fifth anniversary of the Microsoft transaction, we have agreed that if we offer a high-speed Internet access agreement to any third party, then we will be obligated to offer an agreement on nondiscriminatory terms with respect to the same cable systems to Microsoft for its ISP, The Microsoft Network. In connection with Comcast Holdings' and AT&amp;T's agreement with AOL Time Warner providing for the restructuring of TWE, Comcast Holdings and Comcast Cable Communications will enter into a three-year non-exclusive access agreement with AOL Time Warner. Because Comcast Holdings has also entered into an access agreement with United Online and Comcast Cable Communications Holdings has also entered into an access agreement with each of Earthlink, Internet Central, Connected Data Systems, Galaxy Internet Services and Connect Plus International, we will be required after the consummation of the AT&amp;T Comcast transaction, with respect to each such agreement with another ISP, including the agreement to be entered into with AOL Time Warner, to offer an access agreement to Microsoft on terms no less favorable than those provided to the other ISP with respect to the specific cable systems covered under the agreement with the other ISP.</w:t>
      </w:r>
    </w:p>
    <w:p>
      <w:pPr>
        <w:spacing w:after="0" w:line="331"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Interactive Technology Agreement. In connection with the exchange agreement, Microsoft and Comcast Cable entered into a letter of intent and are currently negotiating a definitive agreement pursuant to which the parties will conduct a trial during 2003 of an interactive television platform, including set-top box middleware. If the trial results meet agreed technical standards, the platform meets defined competitive requirements and a launch would meet Comcast Cable's reasonable business objectives, Comcast Cable has agreed that it will commercially launch the Microsoft platform to at least 25% of its newly installed middleware customer base.</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Cross Guarantees</w:t>
      </w:r>
    </w:p>
    <w:p>
      <w:pPr>
        <w:spacing w:after="0" w:line="173"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To simplify our capital structure and to insure that our traded debt securities and those of Comcast Cable, Comcast Cable Communications Holdings, Comcast Cable Holdings and Comcast MO Group will be treated equally, upon completion of the AT&amp;T Comcast transaction, we, Comcast Cable, Comcast Cable Communications Holdings, Comcast Cable Holdings and Comcast MO Group each fully and unconditionally guaranteed each other's traded debt securities.</w:t>
      </w:r>
    </w:p>
    <w:p>
      <w:pPr>
        <w:spacing w:after="0" w:line="166"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Comcast Holdings did not become a guarantor, and its debt securities were not guaranteed, because we believe that future investors will be interested in "pure play" debt securities of our cable communications operations and not Comcast Holdings' commerce and content assets, such as QVC, E! Entertainment and Comcast Spectacor. Comcast MO of Delaware, Inc., formerly known as MediaOne of Delaware, Inc., and one of AT&amp;T's cable subsidiaries that was transferred to Comcast Cable Communications Holdings in the AT&amp;T Comcast transaction, which we refer to in this prospectus as Continental, also did not become a guarantor, and its debt securities were not guaranteed, because Continental's indentures contain covenants that effectively prohibit Continental from guaranteeing its affiliates' debt obligations. If these indentures were amended to permit guarantees of affiliate debt obligations, Continental might become a guarantor and its debt securities might be cross-guaranteed.</w:t>
      </w:r>
    </w:p>
    <w:p>
      <w:pPr>
        <w:spacing w:after="0" w:line="164"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The following table presents as of September 30, 2002 for each of Comcast Cable, Comcast Cable Holdings, Comcast MO Group and Continental, their pro forma payment obligations for principal, excluding obligations of their subsidiaries and excluding interest but including principal accreted under discount obligations, under (a) debt securities that are subject, or in the case of Continental, might be subject, to the cross guarantees, (b) other contractual liabilities, including capital leases, none of which will be subject to the cross-guarantees and (c) operating leases, none of which will be subject to the cross guarantees. For purposes of the table, amounts set forth opposite "guaranteed debt securities" only include amounts with respect to the person who is the primary obligor and not with respect to amounts for which that person may be secondarily liable as guarantor. The table presents for Comcast Cable Communications Holdings the pro forma effect of its issuance in connection with the AT&amp;T Comcast transaction of approximately $3.50 billion in debt securities to retire existing AT&amp;T debt. The table also presents for us the pro forma effect of our borrowings under the New Credit Facility in connection with the closing of the AT&amp;T Comcast transaction.</w:t>
      </w:r>
    </w:p>
    <w:p>
      <w:pPr>
        <w:spacing w:after="0" w:line="33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46</w:t>
      </w:r>
    </w:p>
    <w:p>
      <w:pPr>
        <w:sectPr>
          <w:pgSz w:w="11900" w:h="16838" w:orient="portrait"/>
          <w:cols w:equalWidth="0" w:num="1">
            <w:col w:w="10239"/>
          </w:cols>
          <w:pgMar w:left="220" w:top="792" w:right="1440" w:bottom="1440" w:gutter="0" w:footer="0" w:header="0"/>
        </w:sectPr>
      </w:pPr>
    </w:p>
    <w:bookmarkStart w:id="51" w:name="page52"/>
    <w:bookmarkEnd w:id="51"/>
    <w:tbl>
      <w:tblPr>
        <w:tblLayout w:type="fixed"/>
        <w:tblInd w:w="0" w:type="dxa"/>
        <w:tblCellMar>
          <w:top w:w="0" w:type="dxa"/>
          <w:left w:w="0" w:type="dxa"/>
          <w:bottom w:w="0" w:type="dxa"/>
          <w:right w:w="0" w:type="dxa"/>
        </w:tblCellMar>
      </w:tblPr>
      <w:tr>
        <w:trPr>
          <w:trHeight w:val="170"/>
        </w:trPr>
        <w:tc>
          <w:tcPr>
            <w:tcW w:w="46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30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w w:val="97"/>
              </w:rPr>
              <w:t>Payments Due by Period</w:t>
            </w:r>
          </w:p>
        </w:tc>
        <w:tc>
          <w:tcPr>
            <w:tcW w:w="1140" w:type="dxa"/>
            <w:vAlign w:val="bottom"/>
          </w:tcPr>
          <w:p>
            <w:pPr>
              <w:spacing w:after="0"/>
              <w:rPr>
                <w:sz w:val="14"/>
                <w:szCs w:val="14"/>
                <w:color w:val="auto"/>
              </w:rPr>
            </w:pPr>
          </w:p>
        </w:tc>
      </w:tr>
      <w:tr>
        <w:trPr>
          <w:trHeight w:val="168"/>
        </w:trPr>
        <w:tc>
          <w:tcPr>
            <w:tcW w:w="46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540" w:type="dxa"/>
            <w:vAlign w:val="bottom"/>
            <w:gridSpan w:val="5"/>
          </w:tcPr>
          <w:p>
            <w:pPr>
              <w:jc w:val="right"/>
              <w:ind w:right="87"/>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4680" w:type="dxa"/>
            <w:vAlign w:val="bottom"/>
          </w:tcPr>
          <w:p>
            <w:pPr>
              <w:spacing w:after="0"/>
              <w:rPr>
                <w:sz w:val="14"/>
                <w:szCs w:val="14"/>
                <w:color w:val="auto"/>
              </w:rPr>
            </w:pP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Payment</w:t>
            </w:r>
          </w:p>
        </w:tc>
        <w:tc>
          <w:tcPr>
            <w:tcW w:w="100" w:type="dxa"/>
            <w:vAlign w:val="bottom"/>
          </w:tcPr>
          <w:p>
            <w:pPr>
              <w:spacing w:after="0"/>
              <w:rPr>
                <w:sz w:val="14"/>
                <w:szCs w:val="14"/>
                <w:color w:val="auto"/>
              </w:rPr>
            </w:pPr>
          </w:p>
        </w:tc>
        <w:tc>
          <w:tcPr>
            <w:tcW w:w="110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Remainder</w:t>
            </w:r>
          </w:p>
        </w:tc>
        <w:tc>
          <w:tcPr>
            <w:tcW w:w="1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After 5</w:t>
            </w:r>
          </w:p>
        </w:tc>
      </w:tr>
      <w:tr>
        <w:trPr>
          <w:trHeight w:val="168"/>
        </w:trPr>
        <w:tc>
          <w:tcPr>
            <w:tcW w:w="4680" w:type="dxa"/>
            <w:vAlign w:val="bottom"/>
          </w:tcPr>
          <w:p>
            <w:pPr>
              <w:spacing w:after="0" w:line="168" w:lineRule="exact"/>
              <w:rPr>
                <w:sz w:val="20"/>
                <w:szCs w:val="20"/>
                <w:color w:val="auto"/>
              </w:rPr>
            </w:pPr>
            <w:r>
              <w:rPr>
                <w:rFonts w:ascii="Courier New" w:cs="Courier New" w:eastAsia="Courier New" w:hAnsi="Courier New"/>
                <w:sz w:val="15"/>
                <w:szCs w:val="15"/>
                <w:color w:val="auto"/>
              </w:rPr>
              <w:t>Contractual Obligation</w:t>
            </w:r>
          </w:p>
        </w:tc>
        <w:tc>
          <w:tcPr>
            <w:tcW w:w="118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Total</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line="168" w:lineRule="exact"/>
              <w:rPr>
                <w:sz w:val="20"/>
                <w:szCs w:val="20"/>
                <w:color w:val="auto"/>
              </w:rPr>
            </w:pPr>
            <w:r>
              <w:rPr>
                <w:rFonts w:ascii="Courier New" w:cs="Courier New" w:eastAsia="Courier New" w:hAnsi="Courier New"/>
                <w:sz w:val="15"/>
                <w:szCs w:val="15"/>
                <w:color w:val="auto"/>
              </w:rPr>
              <w:t>of 2002</w:t>
            </w:r>
          </w:p>
        </w:tc>
        <w:tc>
          <w:tcPr>
            <w:tcW w:w="12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1-2 Years</w:t>
            </w:r>
          </w:p>
        </w:tc>
        <w:tc>
          <w:tcPr>
            <w:tcW w:w="108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3-5 Years</w:t>
            </w:r>
          </w:p>
        </w:tc>
        <w:tc>
          <w:tcPr>
            <w:tcW w:w="11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Years</w:t>
            </w:r>
          </w:p>
        </w:tc>
      </w:tr>
      <w:tr>
        <w:trPr>
          <w:trHeight w:val="168"/>
        </w:trPr>
        <w:tc>
          <w:tcPr>
            <w:tcW w:w="468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118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w w:val="93"/>
              </w:rPr>
              <w:t>---------</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w:t>
            </w:r>
          </w:p>
        </w:tc>
        <w:tc>
          <w:tcPr>
            <w:tcW w:w="1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6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20" w:type="dxa"/>
            <w:vAlign w:val="bottom"/>
            <w:gridSpan w:val="3"/>
          </w:tcPr>
          <w:p>
            <w:pPr>
              <w:jc w:val="right"/>
              <w:ind w:right="707"/>
              <w:spacing w:after="0" w:line="168" w:lineRule="exact"/>
              <w:rPr>
                <w:sz w:val="20"/>
                <w:szCs w:val="20"/>
                <w:color w:val="auto"/>
              </w:rPr>
            </w:pPr>
            <w:r>
              <w:rPr>
                <w:rFonts w:ascii="Courier New" w:cs="Courier New" w:eastAsia="Courier New" w:hAnsi="Courier New"/>
                <w:sz w:val="15"/>
                <w:szCs w:val="15"/>
                <w:color w:val="auto"/>
              </w:rPr>
              <w:t>(In millions, unaudited)</w:t>
            </w:r>
          </w:p>
        </w:tc>
        <w:tc>
          <w:tcPr>
            <w:tcW w:w="1140" w:type="dxa"/>
            <w:vAlign w:val="bottom"/>
          </w:tcPr>
          <w:p>
            <w:pPr>
              <w:spacing w:after="0"/>
              <w:rPr>
                <w:sz w:val="14"/>
                <w:szCs w:val="14"/>
                <w:color w:val="auto"/>
              </w:rPr>
            </w:pPr>
          </w:p>
        </w:tc>
      </w:tr>
      <w:tr>
        <w:trPr>
          <w:trHeight w:val="336"/>
        </w:trPr>
        <w:tc>
          <w:tcPr>
            <w:tcW w:w="4680" w:type="dxa"/>
            <w:vAlign w:val="bottom"/>
          </w:tcPr>
          <w:p>
            <w:pPr>
              <w:spacing w:after="0"/>
              <w:rPr>
                <w:sz w:val="20"/>
                <w:szCs w:val="20"/>
                <w:color w:val="auto"/>
              </w:rPr>
            </w:pPr>
            <w:r>
              <w:rPr>
                <w:rFonts w:ascii="Courier New" w:cs="Courier New" w:eastAsia="Courier New" w:hAnsi="Courier New"/>
                <w:sz w:val="15"/>
                <w:szCs w:val="15"/>
                <w:color w:val="auto"/>
              </w:rPr>
              <w:t>Comcast:</w:t>
            </w: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68"/>
        </w:trPr>
        <w:tc>
          <w:tcPr>
            <w:tcW w:w="468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New Credit Facility...........................</w:t>
            </w:r>
          </w:p>
        </w:tc>
        <w:tc>
          <w:tcPr>
            <w:tcW w:w="11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$7,180.0</w:t>
            </w:r>
          </w:p>
        </w:tc>
        <w:tc>
          <w:tcPr>
            <w:tcW w:w="100" w:type="dxa"/>
            <w:vAlign w:val="bottom"/>
          </w:tcPr>
          <w:p>
            <w:pPr>
              <w:spacing w:after="0"/>
              <w:rPr>
                <w:sz w:val="14"/>
                <w:szCs w:val="14"/>
                <w:color w:val="auto"/>
              </w:rPr>
            </w:pPr>
          </w:p>
        </w:tc>
        <w:tc>
          <w:tcPr>
            <w:tcW w:w="1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88"/>
              </w:rPr>
              <w:t>$</w:t>
            </w:r>
          </w:p>
        </w:tc>
        <w:tc>
          <w:tcPr>
            <w:tcW w:w="9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$7,180.0</w:t>
            </w:r>
          </w:p>
        </w:tc>
        <w:tc>
          <w:tcPr>
            <w:tcW w:w="108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68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Other liabilities, including capital leases...</w:t>
            </w:r>
          </w:p>
        </w:tc>
        <w:tc>
          <w:tcPr>
            <w:tcW w:w="11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68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Operating leases..............................</w:t>
            </w:r>
          </w:p>
        </w:tc>
        <w:tc>
          <w:tcPr>
            <w:tcW w:w="11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680" w:type="dxa"/>
            <w:vAlign w:val="bottom"/>
          </w:tcPr>
          <w:p>
            <w:pPr>
              <w:spacing w:after="0"/>
              <w:rPr>
                <w:sz w:val="14"/>
                <w:szCs w:val="14"/>
                <w:color w:val="auto"/>
              </w:rPr>
            </w:pPr>
          </w:p>
        </w:tc>
        <w:tc>
          <w:tcPr>
            <w:tcW w:w="11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00" w:type="dxa"/>
            <w:vAlign w:val="bottom"/>
          </w:tcPr>
          <w:p>
            <w:pPr>
              <w:spacing w:after="0"/>
              <w:rPr>
                <w:sz w:val="14"/>
                <w:szCs w:val="14"/>
                <w:color w:val="auto"/>
              </w:rPr>
            </w:pPr>
          </w:p>
        </w:tc>
        <w:tc>
          <w:tcPr>
            <w:tcW w:w="110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w w:val="93"/>
              </w:rPr>
              <w:t>---------</w:t>
            </w:r>
          </w:p>
        </w:tc>
        <w:tc>
          <w:tcPr>
            <w:tcW w:w="12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w w:val="97"/>
              </w:rPr>
              <w:t>----------</w:t>
            </w:r>
          </w:p>
        </w:tc>
        <w:tc>
          <w:tcPr>
            <w:tcW w:w="10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w w:val="99"/>
              </w:rPr>
              <w:t>--------</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68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Total Comcast...............................</w:t>
            </w:r>
          </w:p>
        </w:tc>
        <w:tc>
          <w:tcPr>
            <w:tcW w:w="11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7,180.0</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7,180.0</w:t>
            </w:r>
          </w:p>
        </w:tc>
        <w:tc>
          <w:tcPr>
            <w:tcW w:w="1080" w:type="dxa"/>
            <w:vAlign w:val="bottom"/>
          </w:tcPr>
          <w:p>
            <w:pPr>
              <w:spacing w:after="0"/>
              <w:rPr>
                <w:sz w:val="14"/>
                <w:szCs w:val="14"/>
                <w:color w:val="auto"/>
              </w:rPr>
            </w:pP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680" w:type="dxa"/>
            <w:vAlign w:val="bottom"/>
          </w:tcPr>
          <w:p>
            <w:pPr>
              <w:spacing w:after="0" w:line="168" w:lineRule="exact"/>
              <w:rPr>
                <w:sz w:val="20"/>
                <w:szCs w:val="20"/>
                <w:color w:val="auto"/>
              </w:rPr>
            </w:pPr>
            <w:r>
              <w:rPr>
                <w:rFonts w:ascii="Courier New" w:cs="Courier New" w:eastAsia="Courier New" w:hAnsi="Courier New"/>
                <w:sz w:val="15"/>
                <w:szCs w:val="15"/>
                <w:color w:val="auto"/>
              </w:rPr>
              <w:t>Comcast Cable:</w:t>
            </w: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468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Guaranteed debt securities....................</w:t>
            </w:r>
          </w:p>
        </w:tc>
        <w:tc>
          <w:tcPr>
            <w:tcW w:w="11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7,821.7</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315.8</w:t>
            </w:r>
          </w:p>
        </w:tc>
        <w:tc>
          <w:tcPr>
            <w:tcW w:w="10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2,887.6</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4,618.3</w:t>
            </w:r>
          </w:p>
        </w:tc>
      </w:tr>
      <w:tr>
        <w:trPr>
          <w:trHeight w:val="168"/>
        </w:trPr>
        <w:tc>
          <w:tcPr>
            <w:tcW w:w="468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Other liabilities, including capital leases...</w:t>
            </w:r>
          </w:p>
        </w:tc>
        <w:tc>
          <w:tcPr>
            <w:tcW w:w="11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6.8</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1.1</w:t>
            </w:r>
          </w:p>
        </w:tc>
        <w:tc>
          <w:tcPr>
            <w:tcW w:w="12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2.8</w:t>
            </w:r>
          </w:p>
        </w:tc>
        <w:tc>
          <w:tcPr>
            <w:tcW w:w="10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0.5</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2.4</w:t>
            </w:r>
          </w:p>
        </w:tc>
      </w:tr>
      <w:tr>
        <w:trPr>
          <w:trHeight w:val="168"/>
        </w:trPr>
        <w:tc>
          <w:tcPr>
            <w:tcW w:w="468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Operating leases..............................</w:t>
            </w:r>
          </w:p>
        </w:tc>
        <w:tc>
          <w:tcPr>
            <w:tcW w:w="11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680" w:type="dxa"/>
            <w:vAlign w:val="bottom"/>
          </w:tcPr>
          <w:p>
            <w:pPr>
              <w:spacing w:after="0"/>
              <w:rPr>
                <w:sz w:val="14"/>
                <w:szCs w:val="14"/>
                <w:color w:val="auto"/>
              </w:rPr>
            </w:pPr>
          </w:p>
        </w:tc>
        <w:tc>
          <w:tcPr>
            <w:tcW w:w="11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00" w:type="dxa"/>
            <w:vAlign w:val="bottom"/>
          </w:tcPr>
          <w:p>
            <w:pPr>
              <w:spacing w:after="0"/>
              <w:rPr>
                <w:sz w:val="14"/>
                <w:szCs w:val="14"/>
                <w:color w:val="auto"/>
              </w:rPr>
            </w:pPr>
          </w:p>
        </w:tc>
        <w:tc>
          <w:tcPr>
            <w:tcW w:w="110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w w:val="93"/>
              </w:rPr>
              <w:t>---------</w:t>
            </w:r>
          </w:p>
        </w:tc>
        <w:tc>
          <w:tcPr>
            <w:tcW w:w="12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w w:val="97"/>
              </w:rPr>
              <w:t>----------</w:t>
            </w:r>
          </w:p>
        </w:tc>
        <w:tc>
          <w:tcPr>
            <w:tcW w:w="10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w w:val="99"/>
              </w:rPr>
              <w:t>--------</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68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Total Comcast Cable.........................</w:t>
            </w:r>
          </w:p>
        </w:tc>
        <w:tc>
          <w:tcPr>
            <w:tcW w:w="11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7,828.5</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1.1</w:t>
            </w:r>
          </w:p>
        </w:tc>
        <w:tc>
          <w:tcPr>
            <w:tcW w:w="12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318.6</w:t>
            </w:r>
          </w:p>
        </w:tc>
        <w:tc>
          <w:tcPr>
            <w:tcW w:w="10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2,888.1</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4,620.7</w:t>
            </w:r>
          </w:p>
        </w:tc>
      </w:tr>
      <w:tr>
        <w:trPr>
          <w:trHeight w:val="168"/>
        </w:trPr>
        <w:tc>
          <w:tcPr>
            <w:tcW w:w="4680" w:type="dxa"/>
            <w:vAlign w:val="bottom"/>
          </w:tcPr>
          <w:p>
            <w:pPr>
              <w:spacing w:after="0" w:line="168" w:lineRule="exact"/>
              <w:rPr>
                <w:sz w:val="20"/>
                <w:szCs w:val="20"/>
                <w:color w:val="auto"/>
              </w:rPr>
            </w:pPr>
            <w:r>
              <w:rPr>
                <w:rFonts w:ascii="Courier New" w:cs="Courier New" w:eastAsia="Courier New" w:hAnsi="Courier New"/>
                <w:sz w:val="15"/>
                <w:szCs w:val="15"/>
                <w:color w:val="auto"/>
              </w:rPr>
              <w:t>Comcast Cable Communications Holdings:</w:t>
            </w: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468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Guaranteed debt securities....................</w:t>
            </w:r>
          </w:p>
        </w:tc>
        <w:tc>
          <w:tcPr>
            <w:tcW w:w="11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3,505.1</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3,505.1</w:t>
            </w:r>
          </w:p>
        </w:tc>
      </w:tr>
      <w:tr>
        <w:trPr>
          <w:trHeight w:val="168"/>
        </w:trPr>
        <w:tc>
          <w:tcPr>
            <w:tcW w:w="468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Other liabilities, including capital leases...</w:t>
            </w:r>
          </w:p>
        </w:tc>
        <w:tc>
          <w:tcPr>
            <w:tcW w:w="11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68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Operating leases..............................</w:t>
            </w:r>
          </w:p>
        </w:tc>
        <w:tc>
          <w:tcPr>
            <w:tcW w:w="11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680" w:type="dxa"/>
            <w:vAlign w:val="bottom"/>
          </w:tcPr>
          <w:p>
            <w:pPr>
              <w:spacing w:after="0"/>
              <w:rPr>
                <w:sz w:val="14"/>
                <w:szCs w:val="14"/>
                <w:color w:val="auto"/>
              </w:rPr>
            </w:pPr>
          </w:p>
        </w:tc>
        <w:tc>
          <w:tcPr>
            <w:tcW w:w="11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00" w:type="dxa"/>
            <w:vAlign w:val="bottom"/>
          </w:tcPr>
          <w:p>
            <w:pPr>
              <w:spacing w:after="0"/>
              <w:rPr>
                <w:sz w:val="14"/>
                <w:szCs w:val="14"/>
                <w:color w:val="auto"/>
              </w:rPr>
            </w:pPr>
          </w:p>
        </w:tc>
        <w:tc>
          <w:tcPr>
            <w:tcW w:w="110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w w:val="93"/>
              </w:rPr>
              <w:t>---------</w:t>
            </w:r>
          </w:p>
        </w:tc>
        <w:tc>
          <w:tcPr>
            <w:tcW w:w="12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w w:val="97"/>
              </w:rPr>
              <w:t>----------</w:t>
            </w:r>
          </w:p>
        </w:tc>
        <w:tc>
          <w:tcPr>
            <w:tcW w:w="10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w w:val="99"/>
              </w:rPr>
              <w:t>--------</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68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Total Comcast Cable Communications Holdings..</w:t>
            </w:r>
          </w:p>
        </w:tc>
        <w:tc>
          <w:tcPr>
            <w:tcW w:w="11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3,505.1</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3,505.1</w:t>
            </w:r>
          </w:p>
        </w:tc>
      </w:tr>
      <w:tr>
        <w:trPr>
          <w:trHeight w:val="336"/>
        </w:trPr>
        <w:tc>
          <w:tcPr>
            <w:tcW w:w="4680" w:type="dxa"/>
            <w:vAlign w:val="bottom"/>
          </w:tcPr>
          <w:p>
            <w:pPr>
              <w:spacing w:after="0"/>
              <w:rPr>
                <w:sz w:val="20"/>
                <w:szCs w:val="20"/>
                <w:color w:val="auto"/>
              </w:rPr>
            </w:pPr>
            <w:r>
              <w:rPr>
                <w:rFonts w:ascii="Courier New" w:cs="Courier New" w:eastAsia="Courier New" w:hAnsi="Courier New"/>
                <w:sz w:val="15"/>
                <w:szCs w:val="15"/>
                <w:color w:val="auto"/>
              </w:rPr>
              <w:t>Comcast Cable Holdings:</w:t>
            </w: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68"/>
        </w:trPr>
        <w:tc>
          <w:tcPr>
            <w:tcW w:w="468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Guaranteed debt securities....................</w:t>
            </w:r>
          </w:p>
        </w:tc>
        <w:tc>
          <w:tcPr>
            <w:tcW w:w="11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5,883.9</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30.0</w:t>
            </w:r>
          </w:p>
        </w:tc>
        <w:tc>
          <w:tcPr>
            <w:tcW w:w="12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1,748.7</w:t>
            </w:r>
          </w:p>
        </w:tc>
        <w:tc>
          <w:tcPr>
            <w:tcW w:w="10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1,165.5</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2,939.7</w:t>
            </w:r>
          </w:p>
        </w:tc>
      </w:tr>
      <w:tr>
        <w:trPr>
          <w:trHeight w:val="168"/>
        </w:trPr>
        <w:tc>
          <w:tcPr>
            <w:tcW w:w="468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Other liabilities, including capital leases...</w:t>
            </w:r>
          </w:p>
        </w:tc>
        <w:tc>
          <w:tcPr>
            <w:tcW w:w="11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68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Operating leases..............................</w:t>
            </w:r>
          </w:p>
        </w:tc>
        <w:tc>
          <w:tcPr>
            <w:tcW w:w="11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52.2</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3.6</w:t>
            </w:r>
          </w:p>
        </w:tc>
        <w:tc>
          <w:tcPr>
            <w:tcW w:w="12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25.8</w:t>
            </w:r>
          </w:p>
        </w:tc>
        <w:tc>
          <w:tcPr>
            <w:tcW w:w="10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15.9</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6.9</w:t>
            </w:r>
          </w:p>
        </w:tc>
      </w:tr>
      <w:tr>
        <w:trPr>
          <w:trHeight w:val="168"/>
        </w:trPr>
        <w:tc>
          <w:tcPr>
            <w:tcW w:w="4680" w:type="dxa"/>
            <w:vAlign w:val="bottom"/>
          </w:tcPr>
          <w:p>
            <w:pPr>
              <w:spacing w:after="0"/>
              <w:rPr>
                <w:sz w:val="14"/>
                <w:szCs w:val="14"/>
                <w:color w:val="auto"/>
              </w:rPr>
            </w:pPr>
          </w:p>
        </w:tc>
        <w:tc>
          <w:tcPr>
            <w:tcW w:w="11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00" w:type="dxa"/>
            <w:vAlign w:val="bottom"/>
          </w:tcPr>
          <w:p>
            <w:pPr>
              <w:spacing w:after="0"/>
              <w:rPr>
                <w:sz w:val="14"/>
                <w:szCs w:val="14"/>
                <w:color w:val="auto"/>
              </w:rPr>
            </w:pPr>
          </w:p>
        </w:tc>
        <w:tc>
          <w:tcPr>
            <w:tcW w:w="110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w w:val="93"/>
              </w:rPr>
              <w:t>---------</w:t>
            </w:r>
          </w:p>
        </w:tc>
        <w:tc>
          <w:tcPr>
            <w:tcW w:w="12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w w:val="97"/>
              </w:rPr>
              <w:t>----------</w:t>
            </w:r>
          </w:p>
        </w:tc>
        <w:tc>
          <w:tcPr>
            <w:tcW w:w="10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w w:val="99"/>
              </w:rPr>
              <w:t>--------</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68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Total Comcast Cable Holdings................</w:t>
            </w:r>
          </w:p>
        </w:tc>
        <w:tc>
          <w:tcPr>
            <w:tcW w:w="11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5,936.1</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33.6</w:t>
            </w:r>
          </w:p>
        </w:tc>
        <w:tc>
          <w:tcPr>
            <w:tcW w:w="12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1,774.5</w:t>
            </w:r>
          </w:p>
        </w:tc>
        <w:tc>
          <w:tcPr>
            <w:tcW w:w="10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1,181.4</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2,946.6</w:t>
            </w:r>
          </w:p>
        </w:tc>
      </w:tr>
      <w:tr>
        <w:trPr>
          <w:trHeight w:val="168"/>
        </w:trPr>
        <w:tc>
          <w:tcPr>
            <w:tcW w:w="4680" w:type="dxa"/>
            <w:vAlign w:val="bottom"/>
          </w:tcPr>
          <w:p>
            <w:pPr>
              <w:spacing w:after="0"/>
              <w:rPr>
                <w:sz w:val="14"/>
                <w:szCs w:val="14"/>
                <w:color w:val="auto"/>
              </w:rPr>
            </w:pPr>
          </w:p>
        </w:tc>
        <w:tc>
          <w:tcPr>
            <w:tcW w:w="11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00" w:type="dxa"/>
            <w:vAlign w:val="bottom"/>
          </w:tcPr>
          <w:p>
            <w:pPr>
              <w:spacing w:after="0"/>
              <w:rPr>
                <w:sz w:val="14"/>
                <w:szCs w:val="14"/>
                <w:color w:val="auto"/>
              </w:rPr>
            </w:pPr>
          </w:p>
        </w:tc>
        <w:tc>
          <w:tcPr>
            <w:tcW w:w="110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w w:val="93"/>
              </w:rPr>
              <w:t>---------</w:t>
            </w:r>
          </w:p>
        </w:tc>
        <w:tc>
          <w:tcPr>
            <w:tcW w:w="12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w w:val="97"/>
              </w:rPr>
              <w:t>----------</w:t>
            </w:r>
          </w:p>
        </w:tc>
        <w:tc>
          <w:tcPr>
            <w:tcW w:w="10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w w:val="99"/>
              </w:rPr>
              <w:t>--------</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680" w:type="dxa"/>
            <w:vAlign w:val="bottom"/>
          </w:tcPr>
          <w:p>
            <w:pPr>
              <w:spacing w:after="0"/>
              <w:rPr>
                <w:sz w:val="20"/>
                <w:szCs w:val="20"/>
                <w:color w:val="auto"/>
              </w:rPr>
            </w:pPr>
            <w:r>
              <w:rPr>
                <w:rFonts w:ascii="Courier New" w:cs="Courier New" w:eastAsia="Courier New" w:hAnsi="Courier New"/>
                <w:sz w:val="15"/>
                <w:szCs w:val="15"/>
                <w:color w:val="auto"/>
              </w:rPr>
              <w:t>Comcast MO Group:</w:t>
            </w: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68"/>
        </w:trPr>
        <w:tc>
          <w:tcPr>
            <w:tcW w:w="468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Guaranteed debt securities....................</w:t>
            </w:r>
          </w:p>
        </w:tc>
        <w:tc>
          <w:tcPr>
            <w:tcW w:w="11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302.8</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10.4</w:t>
            </w:r>
          </w:p>
        </w:tc>
        <w:tc>
          <w:tcPr>
            <w:tcW w:w="12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7.2</w:t>
            </w:r>
          </w:p>
        </w:tc>
        <w:tc>
          <w:tcPr>
            <w:tcW w:w="10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82.3</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202.9</w:t>
            </w:r>
          </w:p>
        </w:tc>
      </w:tr>
      <w:tr>
        <w:trPr>
          <w:trHeight w:val="168"/>
        </w:trPr>
        <w:tc>
          <w:tcPr>
            <w:tcW w:w="468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Other liabilities, including capital leases...</w:t>
            </w:r>
          </w:p>
        </w:tc>
        <w:tc>
          <w:tcPr>
            <w:tcW w:w="11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68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Operating leases..............................</w:t>
            </w:r>
          </w:p>
        </w:tc>
        <w:tc>
          <w:tcPr>
            <w:tcW w:w="11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4.3</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0.5</w:t>
            </w:r>
          </w:p>
        </w:tc>
        <w:tc>
          <w:tcPr>
            <w:tcW w:w="12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3.8</w:t>
            </w:r>
          </w:p>
        </w:tc>
        <w:tc>
          <w:tcPr>
            <w:tcW w:w="10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680" w:type="dxa"/>
            <w:vAlign w:val="bottom"/>
          </w:tcPr>
          <w:p>
            <w:pPr>
              <w:spacing w:after="0"/>
              <w:rPr>
                <w:sz w:val="14"/>
                <w:szCs w:val="14"/>
                <w:color w:val="auto"/>
              </w:rPr>
            </w:pPr>
          </w:p>
        </w:tc>
        <w:tc>
          <w:tcPr>
            <w:tcW w:w="11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00" w:type="dxa"/>
            <w:vAlign w:val="bottom"/>
          </w:tcPr>
          <w:p>
            <w:pPr>
              <w:spacing w:after="0"/>
              <w:rPr>
                <w:sz w:val="14"/>
                <w:szCs w:val="14"/>
                <w:color w:val="auto"/>
              </w:rPr>
            </w:pPr>
          </w:p>
        </w:tc>
        <w:tc>
          <w:tcPr>
            <w:tcW w:w="110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w w:val="93"/>
              </w:rPr>
              <w:t>---------</w:t>
            </w:r>
          </w:p>
        </w:tc>
        <w:tc>
          <w:tcPr>
            <w:tcW w:w="12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w w:val="97"/>
              </w:rPr>
              <w:t>----------</w:t>
            </w:r>
          </w:p>
        </w:tc>
        <w:tc>
          <w:tcPr>
            <w:tcW w:w="10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w w:val="99"/>
              </w:rPr>
              <w:t>--------</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68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Total Comcast MO Group......................</w:t>
            </w:r>
          </w:p>
        </w:tc>
        <w:tc>
          <w:tcPr>
            <w:tcW w:w="11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307.1</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10.9</w:t>
            </w:r>
          </w:p>
        </w:tc>
        <w:tc>
          <w:tcPr>
            <w:tcW w:w="12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11.0</w:t>
            </w:r>
          </w:p>
        </w:tc>
        <w:tc>
          <w:tcPr>
            <w:tcW w:w="10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82.3</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202.9</w:t>
            </w:r>
          </w:p>
        </w:tc>
      </w:tr>
      <w:tr>
        <w:trPr>
          <w:trHeight w:val="336"/>
        </w:trPr>
        <w:tc>
          <w:tcPr>
            <w:tcW w:w="4680" w:type="dxa"/>
            <w:vAlign w:val="bottom"/>
          </w:tcPr>
          <w:p>
            <w:pPr>
              <w:jc w:val="right"/>
              <w:ind w:right="307"/>
              <w:spacing w:after="0"/>
              <w:rPr>
                <w:sz w:val="20"/>
                <w:szCs w:val="20"/>
                <w:color w:val="auto"/>
              </w:rPr>
            </w:pPr>
            <w:r>
              <w:rPr>
                <w:rFonts w:ascii="Courier New" w:cs="Courier New" w:eastAsia="Courier New" w:hAnsi="Courier New"/>
                <w:sz w:val="15"/>
                <w:szCs w:val="15"/>
                <w:color w:val="auto"/>
                <w:w w:val="97"/>
              </w:rPr>
              <w:t>Total............................................</w:t>
            </w:r>
          </w:p>
        </w:tc>
        <w:tc>
          <w:tcPr>
            <w:tcW w:w="11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$24,756.8</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$45.6</w:t>
            </w:r>
          </w:p>
        </w:tc>
        <w:tc>
          <w:tcPr>
            <w:tcW w:w="12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$9,284.1</w:t>
            </w:r>
          </w:p>
        </w:tc>
        <w:tc>
          <w:tcPr>
            <w:tcW w:w="1080" w:type="dxa"/>
            <w:vAlign w:val="bottom"/>
          </w:tcPr>
          <w:p>
            <w:pPr>
              <w:jc w:val="right"/>
              <w:ind w:right="267"/>
              <w:spacing w:after="0"/>
              <w:rPr>
                <w:sz w:val="20"/>
                <w:szCs w:val="20"/>
                <w:color w:val="auto"/>
              </w:rPr>
            </w:pPr>
            <w:r>
              <w:rPr>
                <w:rFonts w:ascii="Courier New" w:cs="Courier New" w:eastAsia="Courier New" w:hAnsi="Courier New"/>
                <w:sz w:val="15"/>
                <w:szCs w:val="15"/>
                <w:color w:val="auto"/>
                <w:w w:val="99"/>
              </w:rPr>
              <w:t>$4,151.8</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$11,275.3</w:t>
            </w:r>
          </w:p>
        </w:tc>
      </w:tr>
      <w:tr>
        <w:trPr>
          <w:trHeight w:val="168"/>
        </w:trPr>
        <w:tc>
          <w:tcPr>
            <w:tcW w:w="4680" w:type="dxa"/>
            <w:vAlign w:val="bottom"/>
          </w:tcPr>
          <w:p>
            <w:pPr>
              <w:spacing w:after="0"/>
              <w:rPr>
                <w:sz w:val="14"/>
                <w:szCs w:val="14"/>
                <w:color w:val="auto"/>
              </w:rPr>
            </w:pPr>
          </w:p>
        </w:tc>
        <w:tc>
          <w:tcPr>
            <w:tcW w:w="11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00" w:type="dxa"/>
            <w:vAlign w:val="bottom"/>
          </w:tcPr>
          <w:p>
            <w:pPr>
              <w:spacing w:after="0"/>
              <w:rPr>
                <w:sz w:val="14"/>
                <w:szCs w:val="14"/>
                <w:color w:val="auto"/>
              </w:rPr>
            </w:pPr>
          </w:p>
        </w:tc>
        <w:tc>
          <w:tcPr>
            <w:tcW w:w="110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w w:val="93"/>
              </w:rPr>
              <w:t>=========</w:t>
            </w:r>
          </w:p>
        </w:tc>
        <w:tc>
          <w:tcPr>
            <w:tcW w:w="12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w w:val="97"/>
              </w:rPr>
              <w:t>==========</w:t>
            </w:r>
          </w:p>
        </w:tc>
        <w:tc>
          <w:tcPr>
            <w:tcW w:w="10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w w:val="99"/>
              </w:rPr>
              <w:t>========</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680" w:type="dxa"/>
            <w:vAlign w:val="bottom"/>
          </w:tcPr>
          <w:p>
            <w:pPr>
              <w:spacing w:after="0" w:line="168" w:lineRule="exact"/>
              <w:rPr>
                <w:sz w:val="20"/>
                <w:szCs w:val="20"/>
                <w:color w:val="auto"/>
              </w:rPr>
            </w:pPr>
            <w:r>
              <w:rPr>
                <w:rFonts w:ascii="Courier New" w:cs="Courier New" w:eastAsia="Courier New" w:hAnsi="Courier New"/>
                <w:sz w:val="15"/>
                <w:szCs w:val="15"/>
                <w:color w:val="auto"/>
              </w:rPr>
              <w:t>Continental:</w:t>
            </w: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468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Potentially guaranteed debt securities........</w:t>
            </w:r>
          </w:p>
        </w:tc>
        <w:tc>
          <w:tcPr>
            <w:tcW w:w="11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$1,800.0</w:t>
            </w:r>
          </w:p>
        </w:tc>
        <w:tc>
          <w:tcPr>
            <w:tcW w:w="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w:t>
            </w:r>
          </w:p>
        </w:tc>
        <w:tc>
          <w:tcPr>
            <w:tcW w:w="180" w:type="dxa"/>
            <w:vAlign w:val="bottom"/>
          </w:tcPr>
          <w:p>
            <w:pPr>
              <w:spacing w:after="0"/>
              <w:rPr>
                <w:sz w:val="14"/>
                <w:szCs w:val="14"/>
                <w:color w:val="auto"/>
              </w:rPr>
            </w:pPr>
          </w:p>
        </w:tc>
        <w:tc>
          <w:tcPr>
            <w:tcW w:w="9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$100.0</w:t>
            </w:r>
          </w:p>
        </w:tc>
        <w:tc>
          <w:tcPr>
            <w:tcW w:w="10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$875.0</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$825.0</w:t>
            </w:r>
          </w:p>
        </w:tc>
      </w:tr>
      <w:tr>
        <w:trPr>
          <w:trHeight w:val="168"/>
        </w:trPr>
        <w:tc>
          <w:tcPr>
            <w:tcW w:w="468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Other liabilities, including capital leases...</w:t>
            </w:r>
          </w:p>
        </w:tc>
        <w:tc>
          <w:tcPr>
            <w:tcW w:w="11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3.8</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0.7</w:t>
            </w:r>
          </w:p>
        </w:tc>
        <w:tc>
          <w:tcPr>
            <w:tcW w:w="12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3.1</w:t>
            </w:r>
          </w:p>
        </w:tc>
        <w:tc>
          <w:tcPr>
            <w:tcW w:w="10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68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Operating leases..............................</w:t>
            </w:r>
          </w:p>
        </w:tc>
        <w:tc>
          <w:tcPr>
            <w:tcW w:w="11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1.1</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0.2</w:t>
            </w:r>
          </w:p>
        </w:tc>
        <w:tc>
          <w:tcPr>
            <w:tcW w:w="12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0.9</w:t>
            </w:r>
          </w:p>
        </w:tc>
        <w:tc>
          <w:tcPr>
            <w:tcW w:w="10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680" w:type="dxa"/>
            <w:vAlign w:val="bottom"/>
          </w:tcPr>
          <w:p>
            <w:pPr>
              <w:spacing w:after="0"/>
              <w:rPr>
                <w:sz w:val="14"/>
                <w:szCs w:val="14"/>
                <w:color w:val="auto"/>
              </w:rPr>
            </w:pPr>
          </w:p>
        </w:tc>
        <w:tc>
          <w:tcPr>
            <w:tcW w:w="11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00" w:type="dxa"/>
            <w:vAlign w:val="bottom"/>
          </w:tcPr>
          <w:p>
            <w:pPr>
              <w:spacing w:after="0"/>
              <w:rPr>
                <w:sz w:val="14"/>
                <w:szCs w:val="14"/>
                <w:color w:val="auto"/>
              </w:rPr>
            </w:pPr>
          </w:p>
        </w:tc>
        <w:tc>
          <w:tcPr>
            <w:tcW w:w="110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w w:val="93"/>
              </w:rPr>
              <w:t>---------</w:t>
            </w:r>
          </w:p>
        </w:tc>
        <w:tc>
          <w:tcPr>
            <w:tcW w:w="12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w w:val="97"/>
              </w:rPr>
              <w:t>----------</w:t>
            </w:r>
          </w:p>
        </w:tc>
        <w:tc>
          <w:tcPr>
            <w:tcW w:w="10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w w:val="99"/>
              </w:rPr>
              <w:t>--------</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68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Total Continental...........................</w:t>
            </w:r>
          </w:p>
        </w:tc>
        <w:tc>
          <w:tcPr>
            <w:tcW w:w="11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$1,804.9</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$0.9</w:t>
            </w:r>
          </w:p>
        </w:tc>
        <w:tc>
          <w:tcPr>
            <w:tcW w:w="12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$104.0</w:t>
            </w:r>
          </w:p>
        </w:tc>
        <w:tc>
          <w:tcPr>
            <w:tcW w:w="10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$875.0</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$825.0</w:t>
            </w:r>
          </w:p>
        </w:tc>
      </w:tr>
      <w:tr>
        <w:trPr>
          <w:trHeight w:val="168"/>
        </w:trPr>
        <w:tc>
          <w:tcPr>
            <w:tcW w:w="4680" w:type="dxa"/>
            <w:vAlign w:val="bottom"/>
          </w:tcPr>
          <w:p>
            <w:pPr>
              <w:spacing w:after="0"/>
              <w:rPr>
                <w:sz w:val="14"/>
                <w:szCs w:val="14"/>
                <w:color w:val="auto"/>
              </w:rPr>
            </w:pPr>
          </w:p>
        </w:tc>
        <w:tc>
          <w:tcPr>
            <w:tcW w:w="11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00" w:type="dxa"/>
            <w:vAlign w:val="bottom"/>
          </w:tcPr>
          <w:p>
            <w:pPr>
              <w:spacing w:after="0"/>
              <w:rPr>
                <w:sz w:val="14"/>
                <w:szCs w:val="14"/>
                <w:color w:val="auto"/>
              </w:rPr>
            </w:pPr>
          </w:p>
        </w:tc>
        <w:tc>
          <w:tcPr>
            <w:tcW w:w="110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w w:val="93"/>
              </w:rPr>
              <w:t>=========</w:t>
            </w:r>
          </w:p>
        </w:tc>
        <w:tc>
          <w:tcPr>
            <w:tcW w:w="12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w w:val="97"/>
              </w:rPr>
              <w:t>==========</w:t>
            </w:r>
          </w:p>
        </w:tc>
        <w:tc>
          <w:tcPr>
            <w:tcW w:w="10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w w:val="99"/>
              </w:rPr>
              <w:t>========</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673"/>
        </w:trPr>
        <w:tc>
          <w:tcPr>
            <w:tcW w:w="4680" w:type="dxa"/>
            <w:vAlign w:val="bottom"/>
          </w:tcPr>
          <w:p>
            <w:pPr>
              <w:jc w:val="right"/>
              <w:ind w:right="1007"/>
              <w:spacing w:after="0"/>
              <w:rPr>
                <w:sz w:val="20"/>
                <w:szCs w:val="20"/>
                <w:color w:val="auto"/>
              </w:rPr>
            </w:pPr>
            <w:r>
              <w:rPr>
                <w:rFonts w:ascii="Courier New" w:cs="Courier New" w:eastAsia="Courier New" w:hAnsi="Courier New"/>
                <w:sz w:val="15"/>
                <w:szCs w:val="15"/>
                <w:color w:val="auto"/>
              </w:rPr>
              <w:t>47</w:t>
            </w: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140" w:type="dxa"/>
            <w:vAlign w:val="bottom"/>
          </w:tcPr>
          <w:p>
            <w:pPr>
              <w:spacing w:after="0"/>
              <w:rPr>
                <w:sz w:val="24"/>
                <w:szCs w:val="24"/>
                <w:color w:val="auto"/>
              </w:rPr>
            </w:pPr>
          </w:p>
        </w:tc>
      </w:tr>
    </w:tbl>
    <w:p>
      <w:pPr>
        <w:sectPr>
          <w:pgSz w:w="11900" w:h="16838" w:orient="portrait"/>
          <w:cols w:equalWidth="0" w:num="1">
            <w:col w:w="10500"/>
          </w:cols>
          <w:pgMar w:left="220" w:top="953" w:right="1179" w:bottom="1440" w:gutter="0" w:footer="0" w:header="0"/>
        </w:sectPr>
      </w:pPr>
    </w:p>
    <w:bookmarkStart w:id="52" w:name="page53"/>
    <w:bookmarkEnd w:id="52"/>
    <w:p>
      <w:pPr>
        <w:ind w:left="2640"/>
        <w:spacing w:after="0"/>
        <w:rPr>
          <w:sz w:val="20"/>
          <w:szCs w:val="20"/>
          <w:color w:val="auto"/>
        </w:rPr>
      </w:pPr>
      <w:r>
        <w:rPr>
          <w:rFonts w:ascii="Courier New" w:cs="Courier New" w:eastAsia="Courier New" w:hAnsi="Courier New"/>
          <w:sz w:val="15"/>
          <w:szCs w:val="15"/>
          <w:color w:val="auto"/>
        </w:rPr>
        <w:t>PLAN OF DISTRIBUTION</w:t>
      </w:r>
    </w:p>
    <w:p>
      <w:pPr>
        <w:spacing w:after="0" w:line="16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We may sell the securities being offered hereby in four ways:</w:t>
      </w:r>
    </w:p>
    <w:p>
      <w:pPr>
        <w:spacing w:after="0" w:line="166" w:lineRule="exact"/>
        <w:rPr>
          <w:sz w:val="20"/>
          <w:szCs w:val="20"/>
          <w:color w:val="auto"/>
        </w:rPr>
      </w:pPr>
    </w:p>
    <w:p>
      <w:pPr>
        <w:ind w:left="800" w:hanging="353"/>
        <w:spacing w:after="0"/>
        <w:tabs>
          <w:tab w:leader="none" w:pos="800" w:val="left"/>
        </w:tabs>
        <w:numPr>
          <w:ilvl w:val="0"/>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directly to purchasers;</w:t>
      </w:r>
    </w:p>
    <w:p>
      <w:pPr>
        <w:spacing w:after="0" w:line="166" w:lineRule="exact"/>
        <w:rPr>
          <w:rFonts w:ascii="Courier New" w:cs="Courier New" w:eastAsia="Courier New" w:hAnsi="Courier New"/>
          <w:sz w:val="15"/>
          <w:szCs w:val="15"/>
          <w:color w:val="auto"/>
        </w:rPr>
      </w:pPr>
    </w:p>
    <w:p>
      <w:pPr>
        <w:ind w:left="800" w:hanging="353"/>
        <w:spacing w:after="0"/>
        <w:tabs>
          <w:tab w:leader="none" w:pos="800" w:val="left"/>
        </w:tabs>
        <w:numPr>
          <w:ilvl w:val="0"/>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through agents;</w:t>
      </w:r>
    </w:p>
    <w:p>
      <w:pPr>
        <w:spacing w:after="0" w:line="166" w:lineRule="exact"/>
        <w:rPr>
          <w:rFonts w:ascii="Courier New" w:cs="Courier New" w:eastAsia="Courier New" w:hAnsi="Courier New"/>
          <w:sz w:val="15"/>
          <w:szCs w:val="15"/>
          <w:color w:val="auto"/>
        </w:rPr>
      </w:pPr>
    </w:p>
    <w:p>
      <w:pPr>
        <w:ind w:left="800" w:hanging="353"/>
        <w:spacing w:after="0"/>
        <w:tabs>
          <w:tab w:leader="none" w:pos="800" w:val="left"/>
        </w:tabs>
        <w:numPr>
          <w:ilvl w:val="0"/>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through underwriters; and</w:t>
      </w:r>
    </w:p>
    <w:p>
      <w:pPr>
        <w:spacing w:after="0" w:line="166" w:lineRule="exact"/>
        <w:rPr>
          <w:rFonts w:ascii="Courier New" w:cs="Courier New" w:eastAsia="Courier New" w:hAnsi="Courier New"/>
          <w:sz w:val="15"/>
          <w:szCs w:val="15"/>
          <w:color w:val="auto"/>
        </w:rPr>
      </w:pPr>
    </w:p>
    <w:p>
      <w:pPr>
        <w:ind w:left="800" w:hanging="353"/>
        <w:spacing w:after="0"/>
        <w:tabs>
          <w:tab w:leader="none" w:pos="800" w:val="left"/>
        </w:tabs>
        <w:numPr>
          <w:ilvl w:val="0"/>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through dealers.</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We may directly solicit offers to purchase securities, or we may designate agents to solicit such offers. We will, in the prospectus supplement relating to such offering, name any agent that could be viewed as an underwriter under the Securities Act of 1933 and describe any commissions we or our trust subsidiaries must pay. Any such agent will be acting on a best efforts basis for the period of its appointment or, if indicated in the applicable prospectus supplement, on a firm commitment basis. Agents, dealers and underwriters may be customers of, engage in transactions with, or perform services for us in the ordinary course of business.</w:t>
      </w:r>
    </w:p>
    <w:p>
      <w:pPr>
        <w:spacing w:after="0" w:line="178"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If any underwriters are utilized in the sale of the securities in respect of which this prospectus is delivered, we will enter into an underwriting agreement with them at the time of sale to them, and we will set forth in the prospectus supplement relating to such offering their names and the terms of our agreement with them.</w:t>
      </w:r>
    </w:p>
    <w:p>
      <w:pPr>
        <w:spacing w:after="0" w:line="174" w:lineRule="exact"/>
        <w:rPr>
          <w:sz w:val="20"/>
          <w:szCs w:val="20"/>
          <w:color w:val="auto"/>
        </w:rPr>
      </w:pPr>
    </w:p>
    <w:p>
      <w:pPr>
        <w:ind w:right="3399" w:firstLine="437"/>
        <w:spacing w:after="0" w:line="256" w:lineRule="auto"/>
        <w:rPr>
          <w:sz w:val="20"/>
          <w:szCs w:val="20"/>
          <w:color w:val="auto"/>
        </w:rPr>
      </w:pPr>
      <w:r>
        <w:rPr>
          <w:rFonts w:ascii="Courier New" w:cs="Courier New" w:eastAsia="Courier New" w:hAnsi="Courier New"/>
          <w:sz w:val="14"/>
          <w:szCs w:val="14"/>
          <w:color w:val="auto"/>
        </w:rPr>
        <w:t>If a dealer is utilized in the sale of the securities in respect of which the prospectus is delivered, we will sell such securities to the dealer, as principal. The dealer may then resell such securities to the public at varying prices to be determined by such dealer at the time of resale.</w:t>
      </w:r>
    </w:p>
    <w:p>
      <w:pPr>
        <w:spacing w:after="0" w:line="164" w:lineRule="exact"/>
        <w:rPr>
          <w:sz w:val="20"/>
          <w:szCs w:val="20"/>
          <w:color w:val="auto"/>
        </w:rPr>
      </w:pPr>
    </w:p>
    <w:p>
      <w:pPr>
        <w:ind w:right="3399" w:firstLine="437"/>
        <w:spacing w:after="0" w:line="236" w:lineRule="auto"/>
        <w:rPr>
          <w:sz w:val="20"/>
          <w:szCs w:val="20"/>
          <w:color w:val="auto"/>
        </w:rPr>
      </w:pPr>
      <w:r>
        <w:rPr>
          <w:rFonts w:ascii="Courier New" w:cs="Courier New" w:eastAsia="Courier New" w:hAnsi="Courier New"/>
          <w:sz w:val="15"/>
          <w:szCs w:val="15"/>
          <w:color w:val="auto"/>
        </w:rPr>
        <w:t>Remarketing firms, agents, underwriters and dealers may be entitled under agreements which they may enter into with us to indemnification by us against certain civil liabilities, including liabilities under the Securities Act of 1933, and may be customers of, engage in transactions with or perform services for us in the ordinary course of business.</w:t>
      </w:r>
    </w:p>
    <w:p>
      <w:pPr>
        <w:spacing w:after="0" w:line="174"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In order to facilitate the offering of the securities, any underwriters may engage in transactions that stabilize, maintain or otherwise affect the price of the securities or any other securities the prices of which may be used to determine payments on such securities. Specifically, any underwriters may overallot in connection with the offering, creating a short position for their own accounts. In addition, to cover overallotments or to stabilize the price of the securities or of any such other securities, the underwriters may bid for, and purchase, the securities or any such other securities in the open market. Finally, in any offering of the securities through a syndicate of underwriters, the underwriting syndicate may reclaim selling concessions allowed to an underwriter or a dealer for distributing the securities in the offering if the syndicate repurchases previously distributed securities in transactions to cover syndicate short positions, in stabilization transactions or otherwise. Any of these activities may stabilize or maintain the market price of the securities above independent market levels. Any such underwriters are not required to engage in these activities, and may end any of these activities at any time.</w:t>
      </w:r>
    </w:p>
    <w:p>
      <w:pPr>
        <w:spacing w:after="0" w:line="163" w:lineRule="exact"/>
        <w:rPr>
          <w:sz w:val="20"/>
          <w:szCs w:val="20"/>
          <w:color w:val="auto"/>
        </w:rPr>
      </w:pPr>
    </w:p>
    <w:p>
      <w:pPr>
        <w:ind w:right="3759" w:firstLine="437"/>
        <w:spacing w:after="0" w:line="235" w:lineRule="auto"/>
        <w:rPr>
          <w:sz w:val="20"/>
          <w:szCs w:val="20"/>
          <w:color w:val="auto"/>
        </w:rPr>
      </w:pPr>
      <w:r>
        <w:rPr>
          <w:rFonts w:ascii="Courier New" w:cs="Courier New" w:eastAsia="Courier New" w:hAnsi="Courier New"/>
          <w:sz w:val="15"/>
          <w:szCs w:val="15"/>
          <w:color w:val="auto"/>
        </w:rPr>
        <w:t>Any underwriter, agent or dealer utilized in the initial offering of securities will not confirm sales to accounts over which it exercises discretionary authority without the prior specific written approval of its customer.</w:t>
      </w:r>
    </w:p>
    <w:p>
      <w:pPr>
        <w:spacing w:after="0" w:line="337"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LEGAL MATTERS</w:t>
      </w:r>
    </w:p>
    <w:p>
      <w:pPr>
        <w:spacing w:after="0" w:line="173"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As to matters governed by Pennsylvania law, Arthur R. Block, Esquire, Senior Vice President, General Counsel and Secretary of Comcast, and as to matters governed by New York and Delaware law, Davis Polk &amp; Wardwell, will pass upon the validity of the securities on our behalf and on behalf of the cable guarantors, although we may use</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48</w:t>
      </w:r>
    </w:p>
    <w:p>
      <w:pPr>
        <w:sectPr>
          <w:pgSz w:w="11900" w:h="16838" w:orient="portrait"/>
          <w:cols w:equalWidth="0" w:num="1">
            <w:col w:w="10239"/>
          </w:cols>
          <w:pgMar w:left="220" w:top="785" w:right="1440" w:bottom="1440" w:gutter="0" w:footer="0" w:header="0"/>
        </w:sectPr>
      </w:pPr>
    </w:p>
    <w:bookmarkStart w:id="53" w:name="page54"/>
    <w:bookmarkEnd w:id="53"/>
    <w:p>
      <w:pPr>
        <w:jc w:val="both"/>
        <w:ind w:right="3319"/>
        <w:spacing w:after="0" w:line="235" w:lineRule="auto"/>
        <w:rPr>
          <w:sz w:val="20"/>
          <w:szCs w:val="20"/>
          <w:color w:val="auto"/>
        </w:rPr>
      </w:pPr>
      <w:r>
        <w:rPr>
          <w:rFonts w:ascii="Courier New" w:cs="Courier New" w:eastAsia="Courier New" w:hAnsi="Courier New"/>
          <w:sz w:val="15"/>
          <w:szCs w:val="15"/>
          <w:color w:val="auto"/>
        </w:rPr>
        <w:t>other counsel, including our employees, to do so. Unless otherwise indicated in the accompanying prospectus supplement, Cahill Gordon &amp; Reindel will represent the underwriters.</w:t>
      </w:r>
    </w:p>
    <w:p>
      <w:pPr>
        <w:spacing w:after="0" w:line="335"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EXPERTS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w:t>
      </w:r>
    </w:p>
    <w:p>
      <w:pPr>
        <w:spacing w:after="0" w:line="173"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The balance sheet of Comcast at December 31, 2001 in Comcast's Current Report on Form 8-K/A dated November 18, 2002 filed on December 16, 2002 has been audited by Deloitte &amp; Touche LLP, independent auditors, as stated in their report, which is incorporated herein by reference, and has been so incorporated herein in reliance upon the report of such firm given upon their authority as experts in accounting and auditing.</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Holdings</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The consolidated financial statements and the related financial statement schedule of Comcast Holdings incorporated in this prospectus by reference from Comcast's Current Report on Form 8-K/A dated November 18, 2002 filed on December 16, 2002 have been audited by Deloitte &amp; Touche LLP, independent auditors, as stated in their reports (which report on the financial statements expresses an unqualified opinion and includes an explanatory paragraph related to the adoption of Statement of Financial Accounting Standards No. 133, "Accounting for Derivative Instruments and Hedging Activities," as amended, effective January 1, 2001), which are incorporated herein by reference, and have been so incorporated in reliance upon the report of such firm given upon their authority as experts in accounting and auditing.</w:t>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Cable</w:t>
      </w:r>
    </w:p>
    <w:p>
      <w:pPr>
        <w:spacing w:after="0" w:line="173" w:lineRule="exact"/>
        <w:rPr>
          <w:sz w:val="20"/>
          <w:szCs w:val="20"/>
          <w:color w:val="auto"/>
        </w:rPr>
      </w:pPr>
    </w:p>
    <w:p>
      <w:pPr>
        <w:ind w:right="3319" w:firstLine="437"/>
        <w:spacing w:after="0" w:line="254" w:lineRule="auto"/>
        <w:rPr>
          <w:sz w:val="20"/>
          <w:szCs w:val="20"/>
          <w:color w:val="auto"/>
        </w:rPr>
      </w:pPr>
      <w:r>
        <w:rPr>
          <w:rFonts w:ascii="Courier New" w:cs="Courier New" w:eastAsia="Courier New" w:hAnsi="Courier New"/>
          <w:sz w:val="14"/>
          <w:szCs w:val="14"/>
          <w:color w:val="auto"/>
        </w:rPr>
        <w:t>The financial statements and the related financial statement schedule of Comcast Cable, an indirect wholly-owned subsidiary of Comcast, and subsidiaries incorporated in this prospectus by reference from Comcast Cable's Annual Report on Form 10-K for the year ended December 31, 2001 have been audited by Deloitte</w:t>
      </w:r>
    </w:p>
    <w:p>
      <w:pPr>
        <w:spacing w:after="0" w:line="1" w:lineRule="exact"/>
        <w:rPr>
          <w:sz w:val="20"/>
          <w:szCs w:val="20"/>
          <w:color w:val="auto"/>
        </w:rPr>
      </w:pPr>
    </w:p>
    <w:p>
      <w:pPr>
        <w:ind w:right="3239" w:firstLine="10"/>
        <w:spacing w:after="0" w:line="255" w:lineRule="auto"/>
        <w:tabs>
          <w:tab w:leader="none" w:pos="175" w:val="left"/>
        </w:tabs>
        <w:numPr>
          <w:ilvl w:val="0"/>
          <w:numId w:val="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Touche LLP, independent auditors, as stated in their reports (which report on the financial statements expresses an unqualified opinion and includes an explanatory paragraph related to the adoption of Statement of Financial Accounting Standards No. 133, "Accounting for Derivative Instruments and Hedging Activities," as amended, effective January 1, 2001), which are incorporated herein by reference, and have been so incorporated in reliance upon the reports of such firm given upon their authority as experts in accounting and auditing.</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AT&amp;T Broadband Group</w:t>
      </w:r>
    </w:p>
    <w:p>
      <w:pPr>
        <w:spacing w:after="0" w:line="173" w:lineRule="exact"/>
        <w:rPr>
          <w:sz w:val="20"/>
          <w:szCs w:val="20"/>
          <w:color w:val="auto"/>
        </w:rPr>
      </w:pPr>
    </w:p>
    <w:p>
      <w:pPr>
        <w:ind w:right="3399" w:firstLine="437"/>
        <w:spacing w:after="0" w:line="236" w:lineRule="auto"/>
        <w:rPr>
          <w:sz w:val="20"/>
          <w:szCs w:val="20"/>
          <w:color w:val="auto"/>
        </w:rPr>
      </w:pPr>
      <w:r>
        <w:rPr>
          <w:rFonts w:ascii="Courier New" w:cs="Courier New" w:eastAsia="Courier New" w:hAnsi="Courier New"/>
          <w:sz w:val="15"/>
          <w:szCs w:val="15"/>
          <w:color w:val="auto"/>
        </w:rPr>
        <w:t>The audited historical combined financial statements of AT&amp;T Broadband Group incorporated in this prospectus by reference to Comcast's Current Report on Form 8-K/A dated November 18, 2002 filed on December 16, 2002, have been so incorporated in reliance on the report of PricewaterhouseCoopers LLP, independent accountants, given on the authority of said firm as experts in accounting and auditing.</w:t>
      </w:r>
    </w:p>
    <w:p>
      <w:pPr>
        <w:spacing w:after="0" w:line="337"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AVAILABLE INFORMATION</w:t>
      </w:r>
    </w:p>
    <w:p>
      <w:pPr>
        <w:spacing w:after="0" w:line="173"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We, along with the cable guarantors, have filed this prospectus as part of a combined registration statement on Form S-3 with the SEC. The registration statement contains exhibits and other information that are not contained in this prospectus. In particular, the registration statement includes as exhibits forms of our underwriting agreements, copies of our senior indenture and subordinated indenture, forms of our senior debt security and subordinated debt security, a form of preferred security, a form of unit agreement, a form of purchase contract agreement, a form of pledge agreement, a form of warrant agreement for warrants sold separately, a form of warrant for warrants sold separately, a form of warrant agreement for warrants sold attached to securities, a form of warrant for warrants sold attached to securities, a form of deposit agreement and a form of depositary share. Our descriptions in this prospectus of the provisions of documents filed as an exhibit to the registration statement or otherwise filed with the</w:t>
      </w:r>
    </w:p>
    <w:p>
      <w:pPr>
        <w:spacing w:after="0" w:line="33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49</w:t>
      </w:r>
    </w:p>
    <w:p>
      <w:pPr>
        <w:sectPr>
          <w:pgSz w:w="11900" w:h="16838" w:orient="portrait"/>
          <w:cols w:equalWidth="0" w:num="1">
            <w:col w:w="10239"/>
          </w:cols>
          <w:pgMar w:left="220" w:top="792" w:right="1440" w:bottom="1440" w:gutter="0" w:footer="0" w:header="0"/>
        </w:sectPr>
      </w:pPr>
    </w:p>
    <w:bookmarkStart w:id="54" w:name="page55"/>
    <w:bookmarkEnd w:id="54"/>
    <w:p>
      <w:pPr>
        <w:jc w:val="both"/>
        <w:ind w:right="3319"/>
        <w:spacing w:after="0" w:line="235" w:lineRule="auto"/>
        <w:rPr>
          <w:sz w:val="20"/>
          <w:szCs w:val="20"/>
          <w:color w:val="auto"/>
        </w:rPr>
      </w:pPr>
      <w:r>
        <w:rPr>
          <w:rFonts w:ascii="Courier New" w:cs="Courier New" w:eastAsia="Courier New" w:hAnsi="Courier New"/>
          <w:sz w:val="15"/>
          <w:szCs w:val="15"/>
          <w:color w:val="auto"/>
        </w:rPr>
        <w:t>SEC are only summaries of the documents' material terms. If you want a complete description of the content of the documents, you should obtain the documents by following the procedures described below.</w:t>
      </w:r>
    </w:p>
    <w:p>
      <w:pPr>
        <w:spacing w:after="0" w:line="174"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Comcast Cable Communications Holdings, Comcast MO Group and Comcast Cable Holdings do not currently file information with the SEC. We, and Comcast Holdings as our predecessor, file annual, quarterly and special reports and other information with the SEC. Although Comcast Cable, which currently files annual, quarterly and special reports and other information with the SEC, and the other cable guarantors would normally be required to file information with the SEC on an ongoing basis, we expect that Comcast Cable and the cable guarantors will be exempt from this filing obligation for as long as we continue to file our information with the SEC. You may read and copy any document we, Comcast Holdings or Comcast Cable file at the SEC's public reference room located at 450 Fifth Street, N.W., Washington, D.C. 20549. Please call the SEC at 1-800-SEC-0330 for further information on the public reference rooms. Our SEC filings, including the complete registration statement and all of the exhibits to it, and the SEC filings of Comcast Holdings and Comcast Cable are available through the SEC's web site at http://www.sec.gov.</w:t>
      </w:r>
    </w:p>
    <w:p>
      <w:pPr>
        <w:spacing w:after="0" w:line="16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You should rely only on the information contained in this prospectus, in the accompanying prospectus supplement and in material we, Comcast Holdings and Comcast Cable file with the SEC and incorporate by reference herein. We have not authorized anyone to provide you with information that is different. We are offering to sell, and seeking offers to buy, the securities described in the prospectus only where offers and sales are permitted. The information contained in this prospectus, the prospectus supplement and our filings and the filings of Comcast Holdings and Comcast Cable with the SEC is accurate only as of its date, regardless of the time of delivery of this prospectus and the prospectus supplement or of any sale of the securities.</w:t>
      </w:r>
    </w:p>
    <w:p>
      <w:pPr>
        <w:spacing w:after="0" w:line="341"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INCORPORATION OF CERTAIN DOCUMENTS BY REFERENCE</w:t>
      </w:r>
    </w:p>
    <w:p>
      <w:pPr>
        <w:spacing w:after="0" w:line="173"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The SEC allows us to "incorporate by reference" the information we file with them, which means that we can disclose important information to you by referring you directly to those documents. The information incorporated by reference is considered to be part of this prospectus. In addition, information we file with the SEC in the future will automatically update and supersede information contained in this prospectus and any accompanying prospectus supplement.</w:t>
      </w:r>
    </w:p>
    <w:p>
      <w:pPr>
        <w:spacing w:after="0" w:line="176" w:lineRule="exact"/>
        <w:rPr>
          <w:sz w:val="20"/>
          <w:szCs w:val="20"/>
          <w:color w:val="auto"/>
        </w:rPr>
      </w:pPr>
    </w:p>
    <w:p>
      <w:pPr>
        <w:ind w:right="3319" w:firstLine="437"/>
        <w:spacing w:after="0" w:line="261" w:lineRule="auto"/>
        <w:rPr>
          <w:sz w:val="20"/>
          <w:szCs w:val="20"/>
          <w:color w:val="auto"/>
        </w:rPr>
      </w:pPr>
      <w:r>
        <w:rPr>
          <w:rFonts w:ascii="Courier New" w:cs="Courier New" w:eastAsia="Courier New" w:hAnsi="Courier New"/>
          <w:sz w:val="14"/>
          <w:szCs w:val="14"/>
          <w:color w:val="auto"/>
        </w:rPr>
        <w:t>This prospectus incorporates by reference the documents set forth below that we, Comcast Holdings and Comcast Cable have previously filed with the SEC.</w:t>
      </w:r>
    </w:p>
    <w:p>
      <w:pPr>
        <w:spacing w:after="0" w:line="15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Comcast SEC Filings (File No. 333-82460)</w:t>
      </w:r>
    </w:p>
    <w:p>
      <w:pPr>
        <w:spacing w:after="0" w:line="173" w:lineRule="exact"/>
        <w:rPr>
          <w:sz w:val="20"/>
          <w:szCs w:val="20"/>
          <w:color w:val="auto"/>
        </w:rPr>
      </w:pPr>
    </w:p>
    <w:p>
      <w:pPr>
        <w:ind w:left="800" w:right="3239" w:hanging="353"/>
        <w:spacing w:after="0" w:line="261" w:lineRule="auto"/>
        <w:tabs>
          <w:tab w:leader="none" w:pos="800" w:val="left"/>
        </w:tabs>
        <w:numPr>
          <w:ilvl w:val="0"/>
          <w:numId w:val="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Current Report on Form 8-K filed on October 30, 2002 and Current Report on Form 8-K/A dated November 18, 2002 filed on December 16, 2002.</w:t>
      </w:r>
    </w:p>
    <w:p>
      <w:pPr>
        <w:spacing w:after="0" w:line="15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Comcast Holdings SEC Filings (File No. 001-15471)</w:t>
      </w:r>
    </w:p>
    <w:p>
      <w:pPr>
        <w:spacing w:after="0" w:line="173" w:lineRule="exact"/>
        <w:rPr>
          <w:sz w:val="20"/>
          <w:szCs w:val="20"/>
          <w:color w:val="auto"/>
        </w:rPr>
      </w:pPr>
    </w:p>
    <w:p>
      <w:pPr>
        <w:ind w:left="800" w:right="3759" w:hanging="353"/>
        <w:spacing w:after="0" w:line="234" w:lineRule="auto"/>
        <w:tabs>
          <w:tab w:leader="none" w:pos="800" w:val="left"/>
        </w:tabs>
        <w:numPr>
          <w:ilvl w:val="0"/>
          <w:numId w:val="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Annual Report on Form 10-K (except for Item 8) for the year ended December 31, 2001, filed on March 29, 2002.</w:t>
      </w:r>
    </w:p>
    <w:p>
      <w:pPr>
        <w:spacing w:after="0" w:line="173" w:lineRule="exact"/>
        <w:rPr>
          <w:rFonts w:ascii="Courier New" w:cs="Courier New" w:eastAsia="Courier New" w:hAnsi="Courier New"/>
          <w:sz w:val="15"/>
          <w:szCs w:val="15"/>
          <w:color w:val="auto"/>
        </w:rPr>
      </w:pPr>
    </w:p>
    <w:p>
      <w:pPr>
        <w:ind w:left="800" w:right="3399" w:hanging="353"/>
        <w:spacing w:after="0" w:line="235" w:lineRule="auto"/>
        <w:tabs>
          <w:tab w:leader="none" w:pos="800" w:val="left"/>
        </w:tabs>
        <w:numPr>
          <w:ilvl w:val="0"/>
          <w:numId w:val="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Quarterly Reports on Form 10-Q for the quarters ended March 31, 2002, filed on May 15, 2002, June 30, 2002, filed on August 14, 2002, and September 30, 2002, filed on October 30, 2002.</w:t>
      </w:r>
    </w:p>
    <w:p>
      <w:pPr>
        <w:spacing w:after="0" w:line="173" w:lineRule="exact"/>
        <w:rPr>
          <w:rFonts w:ascii="Courier New" w:cs="Courier New" w:eastAsia="Courier New" w:hAnsi="Courier New"/>
          <w:sz w:val="15"/>
          <w:szCs w:val="15"/>
          <w:color w:val="auto"/>
        </w:rPr>
      </w:pPr>
    </w:p>
    <w:p>
      <w:pPr>
        <w:ind w:left="800" w:right="3239" w:hanging="353"/>
        <w:spacing w:after="0" w:line="261" w:lineRule="auto"/>
        <w:tabs>
          <w:tab w:leader="none" w:pos="800" w:val="left"/>
        </w:tabs>
        <w:numPr>
          <w:ilvl w:val="0"/>
          <w:numId w:val="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Current Reports on Form 8-K filed on May 3, 2002, July 10, 2002, August 1, 2002, September 26, 2002, October 4, 2002 and November 18, 2002.</w:t>
      </w:r>
    </w:p>
    <w:p>
      <w:pPr>
        <w:spacing w:after="0" w:line="15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Comcast Cable SEC Filings (File No. 333-30745)</w:t>
      </w:r>
    </w:p>
    <w:p>
      <w:pPr>
        <w:spacing w:after="0" w:line="173" w:lineRule="exact"/>
        <w:rPr>
          <w:sz w:val="20"/>
          <w:szCs w:val="20"/>
          <w:color w:val="auto"/>
        </w:rPr>
      </w:pPr>
    </w:p>
    <w:p>
      <w:pPr>
        <w:ind w:left="800" w:right="3319" w:hanging="353"/>
        <w:spacing w:after="0" w:line="234" w:lineRule="auto"/>
        <w:tabs>
          <w:tab w:leader="none" w:pos="800" w:val="left"/>
        </w:tabs>
        <w:numPr>
          <w:ilvl w:val="0"/>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Annual Report on Form 10-K for the year ended December 31, 2001, filed on March 29, 2002.</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50</w:t>
      </w:r>
    </w:p>
    <w:p>
      <w:pPr>
        <w:sectPr>
          <w:pgSz w:w="11900" w:h="16838" w:orient="portrait"/>
          <w:cols w:equalWidth="0" w:num="1">
            <w:col w:w="10239"/>
          </w:cols>
          <w:pgMar w:left="220" w:top="792" w:right="1440" w:bottom="1440" w:gutter="0" w:footer="0" w:header="0"/>
        </w:sectPr>
      </w:pPr>
    </w:p>
    <w:bookmarkStart w:id="55" w:name="page56"/>
    <w:bookmarkEnd w:id="55"/>
    <w:p>
      <w:pPr>
        <w:ind w:left="800" w:right="3399" w:hanging="353"/>
        <w:spacing w:after="0" w:line="235" w:lineRule="auto"/>
        <w:tabs>
          <w:tab w:leader="none" w:pos="800" w:val="left"/>
        </w:tabs>
        <w:numPr>
          <w:ilvl w:val="0"/>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Quarterly Reports on Form 10-Q for the quarters ended March 31, 2002, filed on May 15, 2002, June 30, 2002, filed on August 14, 2002, and September 30, 2002, filed on November 13, 2002.</w:t>
      </w:r>
    </w:p>
    <w:p>
      <w:pPr>
        <w:spacing w:after="0" w:line="167" w:lineRule="exact"/>
        <w:rPr>
          <w:rFonts w:ascii="Courier New" w:cs="Courier New" w:eastAsia="Courier New" w:hAnsi="Courier New"/>
          <w:sz w:val="15"/>
          <w:szCs w:val="15"/>
          <w:color w:val="auto"/>
        </w:rPr>
      </w:pPr>
    </w:p>
    <w:p>
      <w:pPr>
        <w:ind w:left="800" w:hanging="353"/>
        <w:spacing w:after="0"/>
        <w:tabs>
          <w:tab w:leader="none" w:pos="800" w:val="left"/>
        </w:tabs>
        <w:numPr>
          <w:ilvl w:val="0"/>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Current Report on Form 8-K filed on November 18, 2002.</w:t>
      </w:r>
    </w:p>
    <w:p>
      <w:pPr>
        <w:spacing w:after="0" w:line="173"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We also incorporate by reference into this prospectus additional documents that we may file with the SEC under Sections 13(a), 13(c), 14 or 15(d) of the Securities Exchange Act of 1934 until we sell all of the securities we are offering. Any statements contained in a previously filed document incorporated by reference into this prospectus is deemed to be modified or superseded for purposes of this prospectus to the extent that a statement contained in this prospectus, or in a subsequently filed document also incorporated by reference herein, modifies or supersedes that statement.</w:t>
      </w:r>
    </w:p>
    <w:p>
      <w:pPr>
        <w:spacing w:after="0" w:line="166" w:lineRule="exact"/>
        <w:rPr>
          <w:sz w:val="20"/>
          <w:szCs w:val="20"/>
          <w:color w:val="auto"/>
        </w:rPr>
      </w:pPr>
    </w:p>
    <w:p>
      <w:pPr>
        <w:jc w:val="both"/>
        <w:ind w:right="3679" w:firstLine="437"/>
        <w:spacing w:after="0" w:line="235" w:lineRule="auto"/>
        <w:rPr>
          <w:sz w:val="20"/>
          <w:szCs w:val="20"/>
          <w:color w:val="auto"/>
        </w:rPr>
      </w:pPr>
      <w:r>
        <w:rPr>
          <w:rFonts w:ascii="Courier New" w:cs="Courier New" w:eastAsia="Courier New" w:hAnsi="Courier New"/>
          <w:sz w:val="15"/>
          <w:szCs w:val="15"/>
          <w:color w:val="auto"/>
        </w:rPr>
        <w:t>We will provide free copies of any of those documents, if you write or telephone us at: 1500 Market Street, Philadelphia, Pennsylvania 19102-2148, (215) 665-1700.</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51</w:t>
      </w:r>
    </w:p>
    <w:p>
      <w:pPr>
        <w:sectPr>
          <w:pgSz w:w="11900" w:h="16838" w:orient="portrait"/>
          <w:cols w:equalWidth="0" w:num="1">
            <w:col w:w="10239"/>
          </w:cols>
          <w:pgMar w:left="220" w:top="792" w:right="1440" w:bottom="1440" w:gutter="0" w:footer="0" w:header="0"/>
        </w:sectPr>
      </w:pPr>
    </w:p>
    <w:bookmarkStart w:id="56" w:name="page57"/>
    <w:bookmarkEnd w:id="56"/>
    <w:p>
      <w:pPr>
        <w:jc w:val="center"/>
        <w:ind w:right="3139"/>
        <w:spacing w:after="0"/>
        <w:rPr>
          <w:sz w:val="20"/>
          <w:szCs w:val="20"/>
          <w:color w:val="auto"/>
        </w:rPr>
      </w:pPr>
      <w:r>
        <w:rPr>
          <w:rFonts w:ascii="Courier New" w:cs="Courier New" w:eastAsia="Courier New" w:hAnsi="Courier New"/>
          <w:sz w:val="15"/>
          <w:szCs w:val="15"/>
          <w:color w:val="auto"/>
        </w:rPr>
        <w:t>PART II</w:t>
      </w:r>
    </w:p>
    <w:p>
      <w:pPr>
        <w:spacing w:after="0" w:line="166"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INFORMATION NOT REQUIRED IN PROSPECTUS</w:t>
      </w:r>
    </w:p>
    <w:p>
      <w:pPr>
        <w:spacing w:after="0" w:line="166"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Item 14.</w:t>
      </w:r>
      <w:r>
        <w:rPr>
          <w:sz w:val="20"/>
          <w:szCs w:val="20"/>
          <w:color w:val="auto"/>
        </w:rPr>
        <w:tab/>
      </w:r>
      <w:r>
        <w:rPr>
          <w:rFonts w:ascii="Courier New" w:cs="Courier New" w:eastAsia="Courier New" w:hAnsi="Courier New"/>
          <w:sz w:val="14"/>
          <w:szCs w:val="14"/>
          <w:color w:val="auto"/>
        </w:rPr>
        <w:t>Other Expenses of Issuance and Distribution</w:t>
      </w:r>
    </w:p>
    <w:p>
      <w:pPr>
        <w:spacing w:after="0" w:line="16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All of the expenses in connection with the offering are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74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6"/>
              </w:rPr>
              <w:t>Securities and Exchange Commission registration fee.............</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  920,000</w:t>
            </w:r>
          </w:p>
        </w:tc>
      </w:tr>
      <w:tr>
        <w:trPr>
          <w:trHeight w:val="168"/>
        </w:trPr>
        <w:tc>
          <w:tcPr>
            <w:tcW w:w="5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6"/>
              </w:rPr>
              <w:t>Legal fees and expenses.........................................</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125,000</w:t>
            </w:r>
          </w:p>
        </w:tc>
      </w:tr>
      <w:tr>
        <w:trPr>
          <w:trHeight w:val="168"/>
        </w:trPr>
        <w:tc>
          <w:tcPr>
            <w:tcW w:w="5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6"/>
              </w:rPr>
              <w:t>Printing and engraving fees.....................................</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50,000</w:t>
            </w:r>
          </w:p>
        </w:tc>
      </w:tr>
      <w:tr>
        <w:trPr>
          <w:trHeight w:val="168"/>
        </w:trPr>
        <w:tc>
          <w:tcPr>
            <w:tcW w:w="5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6"/>
              </w:rPr>
              <w:t>Accountants' fees and expenses..................................</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75,000</w:t>
            </w:r>
          </w:p>
        </w:tc>
      </w:tr>
      <w:tr>
        <w:trPr>
          <w:trHeight w:val="168"/>
        </w:trPr>
        <w:tc>
          <w:tcPr>
            <w:tcW w:w="5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6"/>
              </w:rPr>
              <w:t>Miscellaneous...................................................</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30,000</w:t>
            </w:r>
          </w:p>
        </w:tc>
      </w:tr>
      <w:tr>
        <w:trPr>
          <w:trHeight w:val="168"/>
        </w:trPr>
        <w:tc>
          <w:tcPr>
            <w:tcW w:w="5740" w:type="dxa"/>
            <w:vAlign w:val="bottom"/>
          </w:tcPr>
          <w:p>
            <w:pPr>
              <w:spacing w:after="0"/>
              <w:rPr>
                <w:sz w:val="14"/>
                <w:szCs w:val="14"/>
                <w:color w:val="auto"/>
              </w:rPr>
            </w:pP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Total..................................................</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$1,200,000</w:t>
            </w:r>
          </w:p>
        </w:tc>
      </w:tr>
    </w:tbl>
    <w:p>
      <w:pPr>
        <w:ind w:left="5860"/>
        <w:spacing w:after="0" w:line="237" w:lineRule="auto"/>
        <w:rPr>
          <w:sz w:val="20"/>
          <w:szCs w:val="20"/>
          <w:color w:val="auto"/>
        </w:rPr>
      </w:pPr>
      <w:r>
        <w:rPr>
          <w:rFonts w:ascii="Courier New" w:cs="Courier New" w:eastAsia="Courier New" w:hAnsi="Courier New"/>
          <w:sz w:val="15"/>
          <w:szCs w:val="15"/>
          <w:color w:val="auto"/>
        </w:rPr>
        <w:t>----------</w:t>
      </w:r>
    </w:p>
    <w:p>
      <w:pPr>
        <w:spacing w:after="0" w:line="167"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Item 15.</w:t>
      </w:r>
      <w:r>
        <w:rPr>
          <w:sz w:val="20"/>
          <w:szCs w:val="20"/>
          <w:color w:val="auto"/>
        </w:rPr>
        <w:tab/>
      </w:r>
      <w:r>
        <w:rPr>
          <w:rFonts w:ascii="Courier New" w:cs="Courier New" w:eastAsia="Courier New" w:hAnsi="Courier New"/>
          <w:sz w:val="14"/>
          <w:szCs w:val="14"/>
          <w:color w:val="auto"/>
        </w:rPr>
        <w:t>Indemnification of Directors and Officers.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Corporation</w:t>
      </w:r>
    </w:p>
    <w:p>
      <w:pPr>
        <w:spacing w:after="0" w:line="173" w:lineRule="exact"/>
        <w:rPr>
          <w:sz w:val="20"/>
          <w:szCs w:val="20"/>
          <w:color w:val="auto"/>
        </w:rPr>
      </w:pPr>
    </w:p>
    <w:p>
      <w:pPr>
        <w:ind w:right="3399" w:firstLine="437"/>
        <w:spacing w:after="0" w:line="236" w:lineRule="auto"/>
        <w:rPr>
          <w:sz w:val="20"/>
          <w:szCs w:val="20"/>
          <w:color w:val="auto"/>
        </w:rPr>
      </w:pPr>
      <w:r>
        <w:rPr>
          <w:rFonts w:ascii="Courier New" w:cs="Courier New" w:eastAsia="Courier New" w:hAnsi="Courier New"/>
          <w:sz w:val="15"/>
          <w:szCs w:val="15"/>
          <w:color w:val="auto"/>
        </w:rPr>
        <w:t>Indemnification under Pennsylvania Law and Comcast Charter and Bylaws. Sections 1741 through 1750 of Subchapter D, Chapter 17, of the Pennsylvania Business Corporation Law ("PBCL") contain provisions for mandatory and discretionary indemnification of a corporation's directors, officers and other personnel, and related matters.</w:t>
      </w:r>
    </w:p>
    <w:p>
      <w:pPr>
        <w:spacing w:after="0" w:line="174"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Under Section 1741 of the PBCL, subject to certain limitations, a corporation has the power to indemnify directors and officers under certain prescribed circumstances against expenses (including attorneys' fees), judgments, fines and amounts paid in settlement actually and reasonably incurred in connection with an action or proceeding, whether civil, criminal, administrative or investigative (other than derivative actions), to which any such officer or director is a party or is threatened to be made a party by reason of such person being a representative of the corporation or serving at the request of the corporation as a representative of another domestic or foreign corporation for profit or not-for-profit, partnership, joint venture, trust or other enterprise, so long as the director or officer acted in good faith and in a manner reasonably believed to be in, or not opposed to, the best interests of the corporation and, with respect to any criminal proceeding, such officer or director had no reasonable cause to believe his/her conduct was unlawful.</w:t>
      </w:r>
    </w:p>
    <w:p>
      <w:pPr>
        <w:spacing w:after="0" w:line="174" w:lineRule="exact"/>
        <w:rPr>
          <w:sz w:val="20"/>
          <w:szCs w:val="20"/>
          <w:color w:val="auto"/>
        </w:rPr>
      </w:pPr>
    </w:p>
    <w:p>
      <w:pPr>
        <w:ind w:right="3399" w:firstLine="437"/>
        <w:spacing w:after="0" w:line="255" w:lineRule="auto"/>
        <w:rPr>
          <w:sz w:val="20"/>
          <w:szCs w:val="20"/>
          <w:color w:val="auto"/>
        </w:rPr>
      </w:pPr>
      <w:r>
        <w:rPr>
          <w:rFonts w:ascii="Courier New" w:cs="Courier New" w:eastAsia="Courier New" w:hAnsi="Courier New"/>
          <w:sz w:val="14"/>
          <w:szCs w:val="14"/>
          <w:color w:val="auto"/>
        </w:rPr>
        <w:t>Section 1742 of the PBCL permits indemnification in derivative and corporate actions if the appropriate standard of conduct is met, except in respect of any claim, issue or matter as to which the person has been adjudged to be liable to the corporation unless and only to the extent that the proper court determines upon application that, despite the adjudication of liability but in view of all the circumstances of the case, the person is fairly and reasonably entitled to indemnity for the expenses that the court deems proper.</w:t>
      </w:r>
    </w:p>
    <w:p>
      <w:pPr>
        <w:spacing w:after="0" w:line="166" w:lineRule="exact"/>
        <w:rPr>
          <w:sz w:val="20"/>
          <w:szCs w:val="20"/>
          <w:color w:val="auto"/>
        </w:rPr>
      </w:pPr>
    </w:p>
    <w:p>
      <w:pPr>
        <w:jc w:val="both"/>
        <w:ind w:right="3319" w:firstLine="437"/>
        <w:spacing w:after="0" w:line="235" w:lineRule="auto"/>
        <w:rPr>
          <w:sz w:val="20"/>
          <w:szCs w:val="20"/>
          <w:color w:val="auto"/>
        </w:rPr>
      </w:pPr>
      <w:r>
        <w:rPr>
          <w:rFonts w:ascii="Courier New" w:cs="Courier New" w:eastAsia="Courier New" w:hAnsi="Courier New"/>
          <w:sz w:val="15"/>
          <w:szCs w:val="15"/>
          <w:color w:val="auto"/>
        </w:rPr>
        <w:t>Under Section 1743 of the PBCL, indemnification is mandatory to the extent that the officer or director has been successful on the merits or otherwise in defense of any action or proceeding referred to in Section 1741 or 1742 of the PBCL.</w:t>
      </w:r>
    </w:p>
    <w:p>
      <w:pPr>
        <w:spacing w:after="0" w:line="175"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Section 1744 of the PBCL provides that, unless ordered by a court, any indemnification under Section 1741 or 1742 of the PBCL shall be made by the corporation only as authorized in the specific case upon a determination that the representative met the applicable standard of conduct, and such determination will be made by (i) the board of directors by a majority vote of a quorum of directors not parties to the action or proceeding, (ii) if a quorum is not obtainable, or if obtainable and a majority of disinterested directors so directs, by independent legal counsel in a written opinion, or (iii) by the shareholders.</w:t>
      </w:r>
    </w:p>
    <w:p>
      <w:pPr>
        <w:spacing w:after="0" w:line="178"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Section 1745 of the PBCL provides that expenses (including attorneys' fees) incurred by an officer, director, employee or agent in defending any action or proceeding referred to in Subchapter D of Chapter 17 of the PBCL</w:t>
      </w:r>
    </w:p>
    <w:p>
      <w:pPr>
        <w:spacing w:after="0" w:line="33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II-1</w:t>
      </w:r>
    </w:p>
    <w:p>
      <w:pPr>
        <w:sectPr>
          <w:pgSz w:w="11900" w:h="16838" w:orient="portrait"/>
          <w:cols w:equalWidth="0" w:num="1">
            <w:col w:w="10239"/>
          </w:cols>
          <w:pgMar w:left="220" w:top="785" w:right="1440" w:bottom="1440" w:gutter="0" w:footer="0" w:header="0"/>
        </w:sectPr>
      </w:pPr>
    </w:p>
    <w:bookmarkStart w:id="57" w:name="page58"/>
    <w:bookmarkEnd w:id="57"/>
    <w:p>
      <w:pPr>
        <w:ind w:right="3319"/>
        <w:spacing w:after="0" w:line="236" w:lineRule="auto"/>
        <w:rPr>
          <w:sz w:val="20"/>
          <w:szCs w:val="20"/>
          <w:color w:val="auto"/>
        </w:rPr>
      </w:pPr>
      <w:r>
        <w:rPr>
          <w:rFonts w:ascii="Courier New" w:cs="Courier New" w:eastAsia="Courier New" w:hAnsi="Courier New"/>
          <w:sz w:val="15"/>
          <w:szCs w:val="15"/>
          <w:color w:val="auto"/>
        </w:rPr>
        <w:t>may be paid by the corporation in advance of the final disposition of such action or proceeding upon receipt of an undertaking by or on behalf of such person to repay such amount if it shall ultimately be determined that he is not entitled to be indemnified by the corporation. Except as otherwise provided in the corporation's bylaws, advancement of expenses must be authorized by the board of directors.</w:t>
      </w:r>
    </w:p>
    <w:p>
      <w:pPr>
        <w:spacing w:after="0" w:line="175"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Section 1746 of the PBCL provides generally that the indemnification and advancement of expenses provided by Subchapter D of Chapter 17 of the PBCL shall not be deemed exclusive of any other rights to which a person seeking indemnification or advancement of expenses may be entitled under any bylaw, agreement, vote of shareholders or disinterested directors or otherwise, both as to action in his official capacity and as to action in another capacity while holding that office. In no event may indemnification be made in any case where the act or failure to act giving rise to the claim for indemnification is determined by a court to have constituted willful misconduct or recklessness.</w:t>
      </w:r>
    </w:p>
    <w:p>
      <w:pPr>
        <w:spacing w:after="0" w:line="165" w:lineRule="exact"/>
        <w:rPr>
          <w:sz w:val="20"/>
          <w:szCs w:val="20"/>
          <w:color w:val="auto"/>
        </w:rPr>
      </w:pPr>
    </w:p>
    <w:p>
      <w:pPr>
        <w:ind w:right="3399" w:firstLine="437"/>
        <w:spacing w:after="0" w:line="236" w:lineRule="auto"/>
        <w:rPr>
          <w:sz w:val="20"/>
          <w:szCs w:val="20"/>
          <w:color w:val="auto"/>
        </w:rPr>
      </w:pPr>
      <w:r>
        <w:rPr>
          <w:rFonts w:ascii="Courier New" w:cs="Courier New" w:eastAsia="Courier New" w:hAnsi="Courier New"/>
          <w:sz w:val="15"/>
          <w:szCs w:val="15"/>
          <w:color w:val="auto"/>
        </w:rPr>
        <w:t>Section 1747 of the PBCL grants a corporation the power to purchase and maintain insurance on behalf of any director or officer against any liability incurred by him in his capacity as officer or director, whether or not the corporation would have the power to indemnify him against that liability under Subchapter D of Chapter 17 of the PBCL.</w:t>
      </w:r>
    </w:p>
    <w:p>
      <w:pPr>
        <w:spacing w:after="0" w:line="174"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Sections 1748 and 1749 of the PBCL extend the indemnification and advancement of expenses provisions contained in Subchapter D of Chapter 17 of the PBCL to successor corporations in fundamental changes and to representatives serving as fiduciaries of employee benefit plans.</w:t>
      </w:r>
    </w:p>
    <w:p>
      <w:pPr>
        <w:spacing w:after="0" w:line="175"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Section 1750 of the PBCL provides that the indemnification and advancement of expenses provided by, or granted pursuant to, Subchapter D of Chapter 17 of the PBCL shall, unless otherwise provided when authorized or ratified, continue as to a person who has ceased to be a director, officer, employee or agent and shall inure to the benefit of the heirs and personal representatives of such person.</w:t>
      </w:r>
    </w:p>
    <w:p>
      <w:pPr>
        <w:spacing w:after="0" w:line="175"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Article Eleventh of the Comcast charter and Article VII of the Comcast bylaws provide that no director of Comcast will be personally liable, as such, for monetary damages (other than under criminal statutes and under laws imposing such liability on directors or officers for the payment of taxes) unless such person's conduct constitutes self-dealing, willful misconduct or recklessness. Article Eleventh of the Comcast charter also extends such protection to officers.</w:t>
      </w:r>
    </w:p>
    <w:p>
      <w:pPr>
        <w:spacing w:after="0" w:line="176"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Article VII of the Comcast bylaws provides that each officer and director of Comcast is indemnified and held harmless by Comcast for all actions taken by him or her and for all failures to take action (regardless of the date of any such action or failure to take action) to the fullest extent permitted by Pennsylvania law against all expense, liability and loss (including, without limitation, attorneys' fees, judgments, fines, taxes, penalties and amounts paid or to be paid in settlement) reasonably incurred or suffered by such officer or director in connection with any threatened, pending or completed action, suit or proceeding (including, without limitation, an action, suit or proceeding by or in the right of Comcast), whether civil, criminal, administrative or investigative.</w:t>
      </w:r>
    </w:p>
    <w:p>
      <w:pPr>
        <w:spacing w:after="0" w:line="180" w:lineRule="exact"/>
        <w:rPr>
          <w:sz w:val="20"/>
          <w:szCs w:val="20"/>
          <w:color w:val="auto"/>
        </w:rPr>
      </w:pPr>
    </w:p>
    <w:p>
      <w:pPr>
        <w:ind w:right="3239" w:firstLine="437"/>
        <w:spacing w:after="0" w:line="234" w:lineRule="auto"/>
        <w:rPr>
          <w:sz w:val="20"/>
          <w:szCs w:val="20"/>
          <w:color w:val="auto"/>
        </w:rPr>
      </w:pPr>
      <w:r>
        <w:rPr>
          <w:rFonts w:ascii="Courier New" w:cs="Courier New" w:eastAsia="Courier New" w:hAnsi="Courier New"/>
          <w:sz w:val="15"/>
          <w:szCs w:val="15"/>
          <w:color w:val="auto"/>
        </w:rPr>
        <w:t>The foregoing statements are subject to the detailed provisions of the PBCL and to the applicable provisions of the Comcast charter and bylaws.</w:t>
      </w:r>
    </w:p>
    <w:p>
      <w:pPr>
        <w:spacing w:after="0" w:line="173" w:lineRule="exact"/>
        <w:rPr>
          <w:sz w:val="20"/>
          <w:szCs w:val="20"/>
          <w:color w:val="auto"/>
        </w:rPr>
      </w:pPr>
    </w:p>
    <w:p>
      <w:pPr>
        <w:ind w:right="3499" w:firstLine="262"/>
        <w:spacing w:after="0" w:line="234" w:lineRule="auto"/>
        <w:rPr>
          <w:sz w:val="20"/>
          <w:szCs w:val="20"/>
          <w:color w:val="auto"/>
        </w:rPr>
      </w:pPr>
      <w:r>
        <w:rPr>
          <w:rFonts w:ascii="Courier New" w:cs="Courier New" w:eastAsia="Courier New" w:hAnsi="Courier New"/>
          <w:sz w:val="15"/>
          <w:szCs w:val="15"/>
          <w:color w:val="auto"/>
        </w:rPr>
        <w:t>Merger Agreement Provision Relating to AT&amp;T and Comcast Holdings Directors and Officers</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Comcast has agreed in the merger agreement to indemnify the present and former officers and directors of AT&amp;T, the AT&amp;T subsidiaries, Comcast Cable Communications Holdings, the Comcast Cable Communications Holdings subsidiaries, Comcast Holdings and the Comcast Holdings subsidiaries, and each individual who prior to the completion of the AT&amp;T Comcast transaction becomes such an officer or director, from their acts or omissions in those capacities occurring at or prior to the completion of such transaction to the maximum extent permitted by law; provided, however, no such indemnification will be required for officers or directors acting in a capacity for AT&amp;T and its subsidiaries other than in connection with either AT&amp;T's broadband business or the merger agreement and the transactions contemplated by the merger agreement.</w:t>
      </w:r>
    </w:p>
    <w:p>
      <w:pPr>
        <w:spacing w:after="0" w:line="32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II-2</w:t>
      </w:r>
    </w:p>
    <w:p>
      <w:pPr>
        <w:sectPr>
          <w:pgSz w:w="11900" w:h="16838" w:orient="portrait"/>
          <w:cols w:equalWidth="0" w:num="1">
            <w:col w:w="10239"/>
          </w:cols>
          <w:pgMar w:left="220" w:top="792" w:right="1440" w:bottom="1440" w:gutter="0" w:footer="0" w:header="0"/>
        </w:sectPr>
      </w:pPr>
    </w:p>
    <w:bookmarkStart w:id="58" w:name="page59"/>
    <w:bookmarkEnd w:id="58"/>
    <w:p>
      <w:pPr>
        <w:ind w:right="3239" w:firstLine="437"/>
        <w:spacing w:after="0" w:line="236" w:lineRule="auto"/>
        <w:rPr>
          <w:sz w:val="20"/>
          <w:szCs w:val="20"/>
          <w:color w:val="auto"/>
        </w:rPr>
      </w:pPr>
      <w:r>
        <w:rPr>
          <w:rFonts w:ascii="Courier New" w:cs="Courier New" w:eastAsia="Courier New" w:hAnsi="Courier New"/>
          <w:sz w:val="15"/>
          <w:szCs w:val="15"/>
          <w:color w:val="auto"/>
        </w:rPr>
        <w:t>AT&amp;T (and not Comcast Cable Communications Holdings) will indemnify and hold harmless Comcast for 50% of any losses described in the preceding paragraph arising out of acts or omissions of the AT&amp;T officers and directors in connection with the merger agreement and the transactions contemplated by the merger agreement.</w:t>
      </w:r>
    </w:p>
    <w:p>
      <w:pPr>
        <w:spacing w:after="0" w:line="174"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For six years after completion of the AT&amp;T Comcast transaction, Comcast will provide officers' and directors' liability insurance in respect of acts or omissions occurring prior to completion of the transactions covering each officer and director identified in the second preceding paragraph (for officers and directors of AT&amp;T and its subsidiaries, only for acts or omissions of such person acting in connection with either AT&amp;T's broadband business or the merger agreement and the transactions contemplated by the merger agreement) currently covered by the officers' and directors' liability insurance policy of AT&amp;T or Comcast Holdings, as the case may be, on terms no less favorable than those of such policy in effect on December 19, 2001, except that Comcast will only be obligated to pay up to 300% of the annual premium paid for such insurance by either AT&amp;T or Comcast Holdings as of December 19, 2001.</w:t>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Cable Communications Holdings, Inc.</w:t>
      </w:r>
    </w:p>
    <w:p>
      <w:pPr>
        <w:spacing w:after="0" w:line="173" w:lineRule="exact"/>
        <w:rPr>
          <w:sz w:val="20"/>
          <w:szCs w:val="20"/>
          <w:color w:val="auto"/>
        </w:rPr>
      </w:pPr>
    </w:p>
    <w:p>
      <w:pPr>
        <w:ind w:right="3319" w:firstLine="437"/>
        <w:spacing w:after="0" w:line="237" w:lineRule="auto"/>
        <w:rPr>
          <w:sz w:val="20"/>
          <w:szCs w:val="20"/>
          <w:color w:val="auto"/>
        </w:rPr>
      </w:pPr>
      <w:r>
        <w:rPr>
          <w:rFonts w:ascii="Courier New" w:cs="Courier New" w:eastAsia="Courier New" w:hAnsi="Courier New"/>
          <w:sz w:val="15"/>
          <w:szCs w:val="15"/>
          <w:color w:val="auto"/>
        </w:rPr>
        <w:t>Comcast Cable Communications Holdings, Inc. is a corporation organized under the laws of the State of Delaware. Subsection (a) of Section 145 of the General Corporation Law of the State of Delaware empowers a corporation to indemnify any person who was or is a party or is threatened to be made a party to any threatened, pending or completed action, suit or proceeding, whether civil, criminal, administrative or investigative (other than an action by or in the right of the corporation) by reason of the fact that he is or was a director, employee or agent of the corporation or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him in connection with such action, suit or proceeding if he acted in good faith and in a manner he reasonably believed to be in or not opposed to the best interests of the corporation, and, with respect to any criminal action or proceeding, had no cause to believe his conduct was unlawful.</w:t>
      </w:r>
    </w:p>
    <w:p>
      <w:pPr>
        <w:spacing w:after="0" w:line="175"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Subsection (b) of Section 145 empowers a corporation to indemnify any person who was or is a party or is threatened to be made a party to any threatened, pending or completed action or suit by or in the right of the corporation to procure a judgment in its favor by reason of the fact that such person acted in any of the capacities set forth above, against expenses (including attorneys' fees) actually and reasonably incurred by him in connection with the defense or settlement of such action or suit if he acted in good faith and in a manner such person reasonably believed to be in or not opposed to the best interests of the corporation and except that no indemnification may be made in respect to any claim, issue or matter as to which such person shall have been adjudged to be liable to the corporation unless and only to the extent that the Court of Chancery or the court in which such action or suit was brought shall determine that despite the adjudication of liability but in view of all the circumstances of the case such person is fairly and reasonably entitled to indemnify for such expenses which the court shall deem proper.</w:t>
      </w:r>
    </w:p>
    <w:p>
      <w:pPr>
        <w:spacing w:after="0" w:line="175"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Section 145 further provides that to the extent a director, officer, employee or agent of a corporation has been successful in the defense of any action, suit or proceeding referred to in subsections (a) or (b) or in the defense of any claim, issue or matter therein, he shall be indemnified against expenses (including attorneys' fees) actually and reasonably incurred by him in connection therewith; that indemnification or advancement of expenses provided for by Section 145 shall not be deemed exclusive of any other rights to which the indemnified party may be entitled; and empowers the corporation to purchase and maintain insurance on behalf of a director, officer, employee or agent of the corporation against any liability asserted against him or incurred by him in any such capacity or arising out of his status as such whether or not the corporation would have the power to indemnify him against such liabilities under Section 145.</w:t>
      </w:r>
    </w:p>
    <w:p>
      <w:pPr>
        <w:spacing w:after="0" w:line="173" w:lineRule="exact"/>
        <w:rPr>
          <w:sz w:val="20"/>
          <w:szCs w:val="20"/>
          <w:color w:val="auto"/>
        </w:rPr>
      </w:pPr>
    </w:p>
    <w:p>
      <w:pPr>
        <w:ind w:right="3499" w:firstLine="437"/>
        <w:spacing w:after="0" w:line="236" w:lineRule="auto"/>
        <w:rPr>
          <w:sz w:val="20"/>
          <w:szCs w:val="20"/>
          <w:color w:val="auto"/>
        </w:rPr>
      </w:pPr>
      <w:r>
        <w:rPr>
          <w:rFonts w:ascii="Courier New" w:cs="Courier New" w:eastAsia="Courier New" w:hAnsi="Courier New"/>
          <w:sz w:val="15"/>
          <w:szCs w:val="15"/>
          <w:color w:val="auto"/>
        </w:rPr>
        <w:t>Article VIII, Section 1 of Comcast Cable Communications Holdings' Certificate of Incorporation provides that a director of Comcast Cable Communications Holdings will not be personally liable to Comcast Cable Communications Holdings or its shareholder for monetary damages for breach of fiduciary duty as director, except if this exemption is not permitted by the General Corporation Law of the State of Delaware. Any repeal or</w:t>
      </w:r>
    </w:p>
    <w:p>
      <w:pPr>
        <w:spacing w:after="0" w:line="33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II-3</w:t>
      </w:r>
    </w:p>
    <w:p>
      <w:pPr>
        <w:sectPr>
          <w:pgSz w:w="11900" w:h="16838" w:orient="portrait"/>
          <w:cols w:equalWidth="0" w:num="1">
            <w:col w:w="10239"/>
          </w:cols>
          <w:pgMar w:left="220" w:top="792" w:right="1440" w:bottom="1440" w:gutter="0" w:footer="0" w:header="0"/>
        </w:sectPr>
      </w:pPr>
    </w:p>
    <w:bookmarkStart w:id="59" w:name="page60"/>
    <w:bookmarkEnd w:id="59"/>
    <w:p>
      <w:pPr>
        <w:ind w:right="3679"/>
        <w:spacing w:after="0" w:line="261" w:lineRule="auto"/>
        <w:rPr>
          <w:sz w:val="20"/>
          <w:szCs w:val="20"/>
          <w:color w:val="auto"/>
        </w:rPr>
      </w:pPr>
      <w:r>
        <w:rPr>
          <w:rFonts w:ascii="Courier New" w:cs="Courier New" w:eastAsia="Courier New" w:hAnsi="Courier New"/>
          <w:sz w:val="14"/>
          <w:szCs w:val="14"/>
          <w:color w:val="auto"/>
        </w:rPr>
        <w:t>modification of this provision will not affect the rights of a director of Comcast Cable Communications Holdings prior to such repeal or modification.</w:t>
      </w:r>
    </w:p>
    <w:p>
      <w:pPr>
        <w:spacing w:after="0" w:line="160"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Article VIII, Section 2 of Comcast Cable Communications Holdings' Certificate of Incorporation provides that each person who was or is made a party or is otherwise in any way involved in any action, suit or proceeding, whether civil, criminal, administrative or investigative (hereinafter a "proceeding"), by reason of the fact that he, or the person from whom he is legal representative, is or was a director or officer of Comcast Cable Communications Holdings or is or was serving at its request as a director, officer or employee or agent of another corporation or of a partnership, joint venture, trust or other enterprise, including service with respect to an employee benefit plan (hereinafter an "indemnitee"), whether the basis of the proceeding is alleged action in an official capacity or in any other capacity while serving as a director, officer or employee, will be indemnified and held harmless by Comcast Cable Communications Holdings to the fullest extent authorized by the General Corporation Law of the State of Delaware against all expense, liability and loss (including attorneys' fees, judgments, fines, Employee Retirement Income Security Act of 1974 excise taxes or penalties and amounts paid in settlement) reasonably incurred or suffered by the indemnitee in connection with the proceeding. In the event that the General Corporation Law of the State of Delaware is amended, the indemnification provided will change only to the extent that the amendment permits Comcast Cable Communications Holdings to provide broader indemnification rights than previously permitted. However, except in the case of proceedings to enforce rights to indemnification, Comcast Cable Communications Holdings will indemnify an indemnitee in connection with a proceeding (or part thereof) initiated by the indemnitee only if the proceeding was authorized by the Board of Directors of Comcast Cable Communications Holdings. The right to indemnification includes the right to be paid by Comcast Cable Communications Holdings the advancement of expenses incurred in defending any proceeding in advance of its final disposition; provided, however, that, if the General Corporation Law of the State of Delaware requires, an advancement of expenses incurred by an indemnitee in his capacity as a director or officer only will be made only upon delivery to Comcast Cable Communications Holdings of an undertaking, by or on behalf of the indemnitee, to repay all amounts so advanced if it is ultimately determined that the indemnitee is not entitled to be indemnified for the expenses. Also, the Board of Directors of Comcast Cable Communications Holdings may grant rights to indemnification as described above to any of Comcast Cable Communications Holdings' employees and agents.</w:t>
      </w:r>
    </w:p>
    <w:p>
      <w:pPr>
        <w:spacing w:after="0" w:line="349"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If a claim for indemnification is not paid in full within 30 days after a written claim is received by Comcast Cable Communications Holdings, the indemnitee may bring suit to recover the unpaid amount of the claim, and if successful in whole or in part, the indemnitee will be entitled to be paid also the expense of prosecuting the suit. It shall be a defense to any such action (other than an action brought to enforce a claim for expenses incurred in defending any proceeding in advance of its final disposition where the required undertaking, if any is required, has been tendered) that the claimant has not met the standards of conduct which make it permissible under the General Corporation Law of the State of Delaware for Comcast Cable Communications Holdings to indemnify the claimant for the amount claimed, but Comcast Cable Communications Holdings would bear the burden of proving this defense.</w:t>
      </w:r>
    </w:p>
    <w:p>
      <w:pPr>
        <w:spacing w:after="0" w:line="164"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Comcast Cable Communications Holdings may maintain insurance, at its expense, to protect itself and any director, officer, employee or agent of Comcast Cable Communications Holdings or another corporation, partnership, joint venture, trust or other enterprise against any expense, liability or loss, whether or not Comcast Cable Communications Holdings would have the power to indemnify such person under the General Corporation Law of the State of Delaware.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Cable Communications, Inc.</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Comcast Cable Communications, Inc. is a corporation organized under the laws of the State of Delaware. The applicable provisions relating to the indemnification of officers and directors under the General Corporation Law of the State of Delaware are described above under "-- Comcast Cable Communications Holdings, Inc."</w:t>
      </w:r>
    </w:p>
    <w:p>
      <w:pPr>
        <w:spacing w:after="0" w:line="174"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In addition, Section 7-1 of Comcast Cable's By-laws provides that Comcast Cable will indemnify any of its directors or officers or any director or officer who is or was serving as a director, officer, employee or agent of another company, partnership, joint venture, trust or other enterprise (any such person is hereinafter referred to as a</w:t>
      </w:r>
    </w:p>
    <w:p>
      <w:pPr>
        <w:spacing w:after="0" w:line="33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II-4</w:t>
      </w:r>
    </w:p>
    <w:p>
      <w:pPr>
        <w:sectPr>
          <w:pgSz w:w="11900" w:h="16838" w:orient="portrait"/>
          <w:cols w:equalWidth="0" w:num="1">
            <w:col w:w="10239"/>
          </w:cols>
          <w:pgMar w:left="220" w:top="792" w:right="1440" w:bottom="1440" w:gutter="0" w:footer="0" w:header="0"/>
        </w:sectPr>
      </w:pPr>
    </w:p>
    <w:bookmarkStart w:id="60" w:name="page61"/>
    <w:bookmarkEnd w:id="60"/>
    <w:p>
      <w:pPr>
        <w:ind w:right="3239"/>
        <w:spacing w:after="0" w:line="236" w:lineRule="auto"/>
        <w:rPr>
          <w:sz w:val="20"/>
          <w:szCs w:val="20"/>
          <w:color w:val="auto"/>
        </w:rPr>
      </w:pPr>
      <w:r>
        <w:rPr>
          <w:rFonts w:ascii="Courier New" w:cs="Courier New" w:eastAsia="Courier New" w:hAnsi="Courier New"/>
          <w:sz w:val="15"/>
          <w:szCs w:val="15"/>
          <w:color w:val="auto"/>
        </w:rPr>
        <w:t>"director or officer") against expenses (including, but not limited to, attorneys' fees), judgments, fines and amounts paid in settlement, actually and reasonably incurred by such director or officer, to the fullest extent now or hereafter permitted by law in connection with any threatened, pending or completed action, suit or proceeding, whether civil, criminal, administrative or investigative (a "Proceeding"), brought or threatened to be brought against such director or officer by reason of the fact that he or she is or was serving in any such capacity or in any other capacity on behalf of the company, its parent or any of its subsidiaries.</w:t>
      </w:r>
    </w:p>
    <w:p>
      <w:pPr>
        <w:spacing w:after="0" w:line="178"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Section 7-2 of Comcast Cable's By-laws provides that expenses incurred by any director or officer in defending a Proceeding will be paid by Comcast Cable in advance of the final disposition of such Proceeding as authorized by the Board of Directors in the specific case upon receipt of an undertaking, by or on behalf of such director or officer, to repay such amount without interest if it is ultimately determined that he or she is not entitled to be indemnified by Comcast Cable as authorized by law.</w:t>
      </w:r>
    </w:p>
    <w:p>
      <w:pPr>
        <w:spacing w:after="0" w:line="176"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Section 7-4 of Comcast Cable's By-laws provides that Comcast Cable may purchase and maintain insurance on behalf of any person who is or was a director or officer of Comcast Cable against any liability asserted against him or her and incurred by him or her in any such capacity, or arising out of his or her status as such, whether or not Comcast Cable would have the power to indemnify him or her against such liability under law.</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Cable Holdings, LLC</w:t>
      </w:r>
    </w:p>
    <w:p>
      <w:pPr>
        <w:spacing w:after="0" w:line="173"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Comcast Cable Holdings, LLC is a limited liability company organized under the laws of the State of Delaware. Section 18-108 of the Delaware Limited Liability Company Act permits a limited liability company, subject to any restrictions that may be set forth in its limited liability company agreement, to indemnify its members and managers from and against any and all claims and demands.</w:t>
      </w:r>
    </w:p>
    <w:p>
      <w:pPr>
        <w:spacing w:after="0" w:line="175"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Section 12(a) of Comcast Cable Holdings' LLC Agreement provides that Comcast Cable Holdings will indemnify the manager and the member, which in each case is Comcast Cable Communications Holdings, and any current or former director or officer of Comcast Cable Communications Holdings (each, an "indemnitee") from and against all loss, damage, expense (including reasonable attorney's and other advisor's fees, court costs and other liabilities incurred in any proceeding to which Comcast Cable Communications Holdings is made a party) incurred because of Comcast Cable Communications Holdings' role as manager or member. Also, each indemnitee will be indemnified for losses resulting from the indemnitee's acts or failures to act with respect to the business or affairs of Comcast Cable Holdings, if the indemnitee (a) acts in good faith, (b) if acting in an official capacity, reasonably believed the action was in the best interests of Comcast Cable Holdings, and if not acting in an official capacity, believed that the conduct was not opposed to Comcast Cable Holdings' best interests, and (c) if in a criminal proceeding, had no reasonable cause to believe its conduct was unlawful. Section 12(c) of Comcast Cable Holdings' LLC Agreement provides that Comcast Cable Holdings may advance funds to Comcast Cable Communications Holdings in respect of expenses incurred by Comcast Cable Communications Holdings in a proceeding prior to the final disposition of the proceeding if Comcast Cable Communications Holdings gives written affirmation of its good-faith belief that it has complied with the standards of conduct described in the preceding sentence, agrees to repay the advancement with interest if it is determined that the standards of conduct were not met, and Comcast Cable Holdings determines that indemnification is permissible under these standards. Also, Section 12(e) provides that Comcast Cable Holdings will indemnify specified officers, and it may in its discretion indemnify employees, on the same basis as it indemnifies Comcast Cable Communications Holdings as described above.</w:t>
      </w:r>
    </w:p>
    <w:p>
      <w:pPr>
        <w:spacing w:after="0" w:line="346" w:lineRule="exact"/>
        <w:rPr>
          <w:sz w:val="20"/>
          <w:szCs w:val="20"/>
          <w:color w:val="auto"/>
        </w:rPr>
      </w:pPr>
    </w:p>
    <w:p>
      <w:pPr>
        <w:ind w:right="3399" w:firstLine="437"/>
        <w:spacing w:after="0" w:line="236" w:lineRule="auto"/>
        <w:rPr>
          <w:sz w:val="20"/>
          <w:szCs w:val="20"/>
          <w:color w:val="auto"/>
        </w:rPr>
      </w:pPr>
      <w:r>
        <w:rPr>
          <w:rFonts w:ascii="Courier New" w:cs="Courier New" w:eastAsia="Courier New" w:hAnsi="Courier New"/>
          <w:sz w:val="15"/>
          <w:szCs w:val="15"/>
          <w:color w:val="auto"/>
        </w:rPr>
        <w:t>Section 12(b) of Comcast Cable Holdings' LLC Agreement provides that, notwithstanding the above paragraph, Comcast Cable Holdings will not indemnify an indemnitee in connection with any proceeding in which Comcast Cable Communications Holdings is adjudged liable to Comcast Cable Holdings or any proceeding charging improper personal benefit to Comcast Cable Communications Holdings wherein the indemnitee was adjudged liable on the basis of improperly receiving a personal benefit.</w:t>
      </w:r>
    </w:p>
    <w:p>
      <w:pPr>
        <w:spacing w:after="0" w:line="176" w:lineRule="exact"/>
        <w:rPr>
          <w:sz w:val="20"/>
          <w:szCs w:val="20"/>
          <w:color w:val="auto"/>
        </w:rPr>
      </w:pPr>
    </w:p>
    <w:p>
      <w:pPr>
        <w:ind w:right="3399" w:firstLine="437"/>
        <w:spacing w:after="0" w:line="236" w:lineRule="auto"/>
        <w:rPr>
          <w:sz w:val="20"/>
          <w:szCs w:val="20"/>
          <w:color w:val="auto"/>
        </w:rPr>
      </w:pPr>
      <w:r>
        <w:rPr>
          <w:rFonts w:ascii="Courier New" w:cs="Courier New" w:eastAsia="Courier New" w:hAnsi="Courier New"/>
          <w:sz w:val="15"/>
          <w:szCs w:val="15"/>
          <w:color w:val="auto"/>
        </w:rPr>
        <w:t>Section 12(f) of Comcast Cable Holdings' LLC Agreement provides that neither Comcast Cable Communications Holdings nor specified officers will be liable to Comcast Cable Holdings for any loss, damage or expense if Comcast Cable Communications Holdings or such officers, as the case may be (a) acts in good faith, (b)</w:t>
      </w:r>
    </w:p>
    <w:p>
      <w:pPr>
        <w:spacing w:after="0" w:line="33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II-5</w:t>
      </w:r>
    </w:p>
    <w:p>
      <w:pPr>
        <w:sectPr>
          <w:pgSz w:w="11900" w:h="16838" w:orient="portrait"/>
          <w:cols w:equalWidth="0" w:num="1">
            <w:col w:w="10239"/>
          </w:cols>
          <w:pgMar w:left="220" w:top="792" w:right="1440" w:bottom="1440" w:gutter="0" w:footer="0" w:header="0"/>
        </w:sectPr>
      </w:pPr>
    </w:p>
    <w:bookmarkStart w:id="61" w:name="page62"/>
    <w:bookmarkEnd w:id="61"/>
    <w:p>
      <w:pPr>
        <w:ind w:right="3239"/>
        <w:spacing w:after="0" w:line="237" w:lineRule="auto"/>
        <w:rPr>
          <w:sz w:val="20"/>
          <w:szCs w:val="20"/>
          <w:color w:val="auto"/>
        </w:rPr>
      </w:pPr>
      <w:r>
        <w:rPr>
          <w:rFonts w:ascii="Courier New" w:cs="Courier New" w:eastAsia="Courier New" w:hAnsi="Courier New"/>
          <w:sz w:val="15"/>
          <w:szCs w:val="15"/>
          <w:color w:val="auto"/>
        </w:rPr>
        <w:t>if acting in an official capacity, reasonably believed the action was in the best interests of Comcast Cable Holdings, and if not in an official capacity, believed that the conduct was not opposed to Comcast Cable Holdings' best interests, and (c) if in a criminal proceeding, had no reasonable cause to believe its conduct was unlawful. However, Comcast Cable Communications Holdings or the specified officers will be liable for any loss, expense or damage incurred in connection with a proceeding in which Comcast Cable Communications Holdings or such officers is adjudged liable to Comcast Cable Holdings as a result of not meeting the standards of conduct described in the preceding sentence or a proceeding charging improper personal benefit to Comcast Cable Communications Holdings wherein the indemnitee was adjudged liable on the basis of improperly receiving a personal benefit.</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MO Group, Inc.</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Comcast MO Group, Inc. is a corporation organized under the laws of the State of Delaware. The indemnification of officers and directors provided for by Comcast MO Group's organizational documents and the General Corporation Law of the State of Delaware is identical to the indemnification provisions described above under "-- Comcast Cable Communications Holdings, Inc."</w:t>
      </w:r>
    </w:p>
    <w:p>
      <w:pPr>
        <w:spacing w:after="0" w:line="335"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Item 16.</w:t>
      </w:r>
      <w:r>
        <w:rPr>
          <w:sz w:val="20"/>
          <w:szCs w:val="20"/>
          <w:color w:val="auto"/>
        </w:rPr>
        <w:tab/>
      </w:r>
      <w:r>
        <w:rPr>
          <w:rFonts w:ascii="Courier New" w:cs="Courier New" w:eastAsia="Courier New" w:hAnsi="Courier New"/>
          <w:sz w:val="14"/>
          <w:szCs w:val="14"/>
          <w:color w:val="auto"/>
        </w:rPr>
        <w:t>Exhibits.</w:t>
      </w:r>
    </w:p>
    <w:p>
      <w:pPr>
        <w:spacing w:after="0" w:line="16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following exhibits are filed as part of the Registration Statement:</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100" w:type="dxa"/>
            <w:vAlign w:val="bottom"/>
          </w:tcPr>
          <w:p>
            <w:pPr>
              <w:spacing w:after="0"/>
              <w:rPr>
                <w:sz w:val="20"/>
                <w:szCs w:val="20"/>
                <w:color w:val="auto"/>
              </w:rPr>
            </w:pPr>
            <w:r>
              <w:rPr>
                <w:rFonts w:ascii="Courier New" w:cs="Courier New" w:eastAsia="Courier New" w:hAnsi="Courier New"/>
                <w:sz w:val="15"/>
                <w:szCs w:val="15"/>
                <w:color w:val="auto"/>
              </w:rPr>
              <w:t>Exhibit</w:t>
            </w:r>
          </w:p>
        </w:tc>
        <w:tc>
          <w:tcPr>
            <w:tcW w:w="5820" w:type="dxa"/>
            <w:vAlign w:val="bottom"/>
          </w:tcPr>
          <w:p>
            <w:pPr>
              <w:spacing w:after="0"/>
              <w:rPr>
                <w:sz w:val="14"/>
                <w:szCs w:val="14"/>
                <w:color w:val="auto"/>
              </w:rPr>
            </w:pPr>
          </w:p>
        </w:tc>
      </w:tr>
      <w:tr>
        <w:trPr>
          <w:trHeight w:val="168"/>
        </w:trPr>
        <w:tc>
          <w:tcPr>
            <w:tcW w:w="1100" w:type="dxa"/>
            <w:vAlign w:val="bottom"/>
          </w:tcPr>
          <w:p>
            <w:pPr>
              <w:spacing w:after="0" w:line="168" w:lineRule="exact"/>
              <w:rPr>
                <w:sz w:val="20"/>
                <w:szCs w:val="20"/>
                <w:color w:val="auto"/>
              </w:rPr>
            </w:pPr>
            <w:r>
              <w:rPr>
                <w:rFonts w:ascii="Courier New" w:cs="Courier New" w:eastAsia="Courier New" w:hAnsi="Courier New"/>
                <w:sz w:val="15"/>
                <w:szCs w:val="15"/>
                <w:color w:val="auto"/>
              </w:rPr>
              <w:t>Number</w:t>
            </w:r>
          </w:p>
        </w:tc>
        <w:tc>
          <w:tcPr>
            <w:tcW w:w="582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Description</w:t>
            </w:r>
          </w:p>
        </w:tc>
      </w:tr>
      <w:tr>
        <w:trPr>
          <w:trHeight w:val="168"/>
        </w:trPr>
        <w:tc>
          <w:tcPr>
            <w:tcW w:w="1100" w:type="dxa"/>
            <w:vAlign w:val="bottom"/>
          </w:tcPr>
          <w:p>
            <w:pPr>
              <w:jc w:val="center"/>
              <w:ind w:right="227"/>
              <w:spacing w:after="0" w:line="168" w:lineRule="exact"/>
              <w:rPr>
                <w:sz w:val="20"/>
                <w:szCs w:val="20"/>
                <w:color w:val="auto"/>
              </w:rPr>
            </w:pPr>
            <w:r>
              <w:rPr>
                <w:rFonts w:ascii="Courier New" w:cs="Courier New" w:eastAsia="Courier New" w:hAnsi="Courier New"/>
                <w:sz w:val="15"/>
                <w:szCs w:val="15"/>
                <w:color w:val="auto"/>
                <w:w w:val="98"/>
              </w:rPr>
              <w:t>- -------</w:t>
            </w:r>
          </w:p>
        </w:tc>
        <w:tc>
          <w:tcPr>
            <w:tcW w:w="582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1100" w:type="dxa"/>
            <w:vAlign w:val="bottom"/>
          </w:tcPr>
          <w:p>
            <w:pPr>
              <w:jc w:val="center"/>
              <w:ind w:right="207"/>
              <w:spacing w:after="0"/>
              <w:rPr>
                <w:sz w:val="20"/>
                <w:szCs w:val="20"/>
                <w:color w:val="auto"/>
              </w:rPr>
            </w:pPr>
            <w:r>
              <w:rPr>
                <w:rFonts w:ascii="Courier New" w:cs="Courier New" w:eastAsia="Courier New" w:hAnsi="Courier New"/>
                <w:sz w:val="15"/>
                <w:szCs w:val="15"/>
                <w:color w:val="auto"/>
                <w:w w:val="96"/>
              </w:rPr>
              <w:t>1.1</w:t>
            </w:r>
          </w:p>
        </w:tc>
        <w:tc>
          <w:tcPr>
            <w:tcW w:w="5820" w:type="dxa"/>
            <w:vAlign w:val="bottom"/>
          </w:tcPr>
          <w:p>
            <w:pPr>
              <w:ind w:left="300"/>
              <w:spacing w:after="0"/>
              <w:rPr>
                <w:sz w:val="20"/>
                <w:szCs w:val="20"/>
                <w:color w:val="auto"/>
              </w:rPr>
            </w:pPr>
            <w:r>
              <w:rPr>
                <w:rFonts w:ascii="Courier New" w:cs="Courier New" w:eastAsia="Courier New" w:hAnsi="Courier New"/>
                <w:sz w:val="15"/>
                <w:szCs w:val="15"/>
                <w:color w:val="auto"/>
              </w:rPr>
              <w:t>Form of Underwriting Agreement (Debt Securities, Warrants,</w:t>
            </w:r>
          </w:p>
        </w:tc>
      </w:tr>
      <w:tr>
        <w:trPr>
          <w:trHeight w:val="168"/>
        </w:trPr>
        <w:tc>
          <w:tcPr>
            <w:tcW w:w="1100" w:type="dxa"/>
            <w:vAlign w:val="bottom"/>
          </w:tcPr>
          <w:p>
            <w:pPr>
              <w:spacing w:after="0"/>
              <w:rPr>
                <w:sz w:val="14"/>
                <w:szCs w:val="14"/>
                <w:color w:val="auto"/>
              </w:rPr>
            </w:pPr>
          </w:p>
        </w:tc>
        <w:tc>
          <w:tcPr>
            <w:tcW w:w="582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Purchase Contracts and Units).*</w:t>
            </w:r>
          </w:p>
        </w:tc>
      </w:tr>
      <w:tr>
        <w:trPr>
          <w:trHeight w:val="336"/>
        </w:trPr>
        <w:tc>
          <w:tcPr>
            <w:tcW w:w="1100" w:type="dxa"/>
            <w:vAlign w:val="bottom"/>
          </w:tcPr>
          <w:p>
            <w:pPr>
              <w:jc w:val="center"/>
              <w:ind w:right="207"/>
              <w:spacing w:after="0"/>
              <w:rPr>
                <w:sz w:val="20"/>
                <w:szCs w:val="20"/>
                <w:color w:val="auto"/>
              </w:rPr>
            </w:pPr>
            <w:r>
              <w:rPr>
                <w:rFonts w:ascii="Courier New" w:cs="Courier New" w:eastAsia="Courier New" w:hAnsi="Courier New"/>
                <w:sz w:val="15"/>
                <w:szCs w:val="15"/>
                <w:color w:val="auto"/>
                <w:w w:val="96"/>
              </w:rPr>
              <w:t>1.2</w:t>
            </w:r>
          </w:p>
        </w:tc>
        <w:tc>
          <w:tcPr>
            <w:tcW w:w="5820" w:type="dxa"/>
            <w:vAlign w:val="bottom"/>
          </w:tcPr>
          <w:p>
            <w:pPr>
              <w:ind w:left="300"/>
              <w:spacing w:after="0"/>
              <w:rPr>
                <w:sz w:val="20"/>
                <w:szCs w:val="20"/>
                <w:color w:val="auto"/>
              </w:rPr>
            </w:pPr>
            <w:r>
              <w:rPr>
                <w:rFonts w:ascii="Courier New" w:cs="Courier New" w:eastAsia="Courier New" w:hAnsi="Courier New"/>
                <w:sz w:val="15"/>
                <w:szCs w:val="15"/>
                <w:color w:val="auto"/>
              </w:rPr>
              <w:t>Form of Underwriting Agreement (Preferred Stock, Depositary</w:t>
            </w:r>
          </w:p>
        </w:tc>
      </w:tr>
      <w:tr>
        <w:trPr>
          <w:trHeight w:val="168"/>
        </w:trPr>
        <w:tc>
          <w:tcPr>
            <w:tcW w:w="1100" w:type="dxa"/>
            <w:vAlign w:val="bottom"/>
          </w:tcPr>
          <w:p>
            <w:pPr>
              <w:spacing w:after="0"/>
              <w:rPr>
                <w:sz w:val="14"/>
                <w:szCs w:val="14"/>
                <w:color w:val="auto"/>
              </w:rPr>
            </w:pPr>
          </w:p>
        </w:tc>
        <w:tc>
          <w:tcPr>
            <w:tcW w:w="582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Shares, Common Stock).*</w:t>
            </w:r>
          </w:p>
        </w:tc>
      </w:tr>
      <w:tr>
        <w:trPr>
          <w:trHeight w:val="336"/>
        </w:trPr>
        <w:tc>
          <w:tcPr>
            <w:tcW w:w="1100" w:type="dxa"/>
            <w:vAlign w:val="bottom"/>
          </w:tcPr>
          <w:p>
            <w:pPr>
              <w:jc w:val="center"/>
              <w:ind w:right="207"/>
              <w:spacing w:after="0"/>
              <w:rPr>
                <w:sz w:val="20"/>
                <w:szCs w:val="20"/>
                <w:color w:val="auto"/>
              </w:rPr>
            </w:pPr>
            <w:r>
              <w:rPr>
                <w:rFonts w:ascii="Courier New" w:cs="Courier New" w:eastAsia="Courier New" w:hAnsi="Courier New"/>
                <w:sz w:val="15"/>
                <w:szCs w:val="15"/>
                <w:color w:val="auto"/>
                <w:w w:val="96"/>
              </w:rPr>
              <w:t>2.1</w:t>
            </w:r>
          </w:p>
        </w:tc>
        <w:tc>
          <w:tcPr>
            <w:tcW w:w="5820" w:type="dxa"/>
            <w:vAlign w:val="bottom"/>
          </w:tcPr>
          <w:p>
            <w:pPr>
              <w:ind w:left="300"/>
              <w:spacing w:after="0"/>
              <w:rPr>
                <w:sz w:val="20"/>
                <w:szCs w:val="20"/>
                <w:color w:val="auto"/>
              </w:rPr>
            </w:pPr>
            <w:r>
              <w:rPr>
                <w:rFonts w:ascii="Courier New" w:cs="Courier New" w:eastAsia="Courier New" w:hAnsi="Courier New"/>
                <w:sz w:val="15"/>
                <w:szCs w:val="15"/>
                <w:color w:val="auto"/>
              </w:rPr>
              <w:t>Composite copy of Agreement and Plan of Merger dated as of</w:t>
            </w:r>
          </w:p>
        </w:tc>
      </w:tr>
      <w:tr>
        <w:trPr>
          <w:trHeight w:val="168"/>
        </w:trPr>
        <w:tc>
          <w:tcPr>
            <w:tcW w:w="1100" w:type="dxa"/>
            <w:vAlign w:val="bottom"/>
          </w:tcPr>
          <w:p>
            <w:pPr>
              <w:spacing w:after="0"/>
              <w:rPr>
                <w:sz w:val="14"/>
                <w:szCs w:val="14"/>
                <w:color w:val="auto"/>
              </w:rPr>
            </w:pPr>
          </w:p>
        </w:tc>
        <w:tc>
          <w:tcPr>
            <w:tcW w:w="582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December 19, 2001, as amended, among Comcast Holdings</w:t>
            </w:r>
          </w:p>
        </w:tc>
      </w:tr>
      <w:tr>
        <w:trPr>
          <w:trHeight w:val="168"/>
        </w:trPr>
        <w:tc>
          <w:tcPr>
            <w:tcW w:w="1100" w:type="dxa"/>
            <w:vAlign w:val="bottom"/>
          </w:tcPr>
          <w:p>
            <w:pPr>
              <w:spacing w:after="0"/>
              <w:rPr>
                <w:sz w:val="14"/>
                <w:szCs w:val="14"/>
                <w:color w:val="auto"/>
              </w:rPr>
            </w:pPr>
          </w:p>
        </w:tc>
        <w:tc>
          <w:tcPr>
            <w:tcW w:w="582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Corporation (formerly known as Comcast Corporation), AT&amp;T</w:t>
            </w:r>
          </w:p>
        </w:tc>
      </w:tr>
      <w:tr>
        <w:trPr>
          <w:trHeight w:val="168"/>
        </w:trPr>
        <w:tc>
          <w:tcPr>
            <w:tcW w:w="1100" w:type="dxa"/>
            <w:vAlign w:val="bottom"/>
          </w:tcPr>
          <w:p>
            <w:pPr>
              <w:spacing w:after="0"/>
              <w:rPr>
                <w:sz w:val="14"/>
                <w:szCs w:val="14"/>
                <w:color w:val="auto"/>
              </w:rPr>
            </w:pPr>
          </w:p>
        </w:tc>
        <w:tc>
          <w:tcPr>
            <w:tcW w:w="582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Corp., Comcast Cable Communications Holdings, Inc. (formerly</w:t>
            </w:r>
          </w:p>
        </w:tc>
      </w:tr>
      <w:tr>
        <w:trPr>
          <w:trHeight w:val="168"/>
        </w:trPr>
        <w:tc>
          <w:tcPr>
            <w:tcW w:w="1100" w:type="dxa"/>
            <w:vAlign w:val="bottom"/>
          </w:tcPr>
          <w:p>
            <w:pPr>
              <w:spacing w:after="0"/>
              <w:rPr>
                <w:sz w:val="14"/>
                <w:szCs w:val="14"/>
                <w:color w:val="auto"/>
              </w:rPr>
            </w:pPr>
          </w:p>
        </w:tc>
        <w:tc>
          <w:tcPr>
            <w:tcW w:w="582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known as AT&amp;T Broadband Corp.), Comcast Corporation (formerly</w:t>
            </w:r>
          </w:p>
        </w:tc>
      </w:tr>
      <w:tr>
        <w:trPr>
          <w:trHeight w:val="168"/>
        </w:trPr>
        <w:tc>
          <w:tcPr>
            <w:tcW w:w="1100" w:type="dxa"/>
            <w:vAlign w:val="bottom"/>
          </w:tcPr>
          <w:p>
            <w:pPr>
              <w:spacing w:after="0"/>
              <w:rPr>
                <w:sz w:val="14"/>
                <w:szCs w:val="14"/>
                <w:color w:val="auto"/>
              </w:rPr>
            </w:pPr>
          </w:p>
        </w:tc>
        <w:tc>
          <w:tcPr>
            <w:tcW w:w="582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known as AT&amp;T Comcast Corporation) and the other parties</w:t>
            </w:r>
          </w:p>
        </w:tc>
      </w:tr>
      <w:tr>
        <w:trPr>
          <w:trHeight w:val="168"/>
        </w:trPr>
        <w:tc>
          <w:tcPr>
            <w:tcW w:w="1100" w:type="dxa"/>
            <w:vAlign w:val="bottom"/>
          </w:tcPr>
          <w:p>
            <w:pPr>
              <w:spacing w:after="0"/>
              <w:rPr>
                <w:sz w:val="14"/>
                <w:szCs w:val="14"/>
                <w:color w:val="auto"/>
              </w:rPr>
            </w:pPr>
          </w:p>
        </w:tc>
        <w:tc>
          <w:tcPr>
            <w:tcW w:w="582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signatory thereto.**</w:t>
            </w:r>
          </w:p>
        </w:tc>
      </w:tr>
      <w:tr>
        <w:trPr>
          <w:trHeight w:val="336"/>
        </w:trPr>
        <w:tc>
          <w:tcPr>
            <w:tcW w:w="1100" w:type="dxa"/>
            <w:vAlign w:val="bottom"/>
          </w:tcPr>
          <w:p>
            <w:pPr>
              <w:jc w:val="center"/>
              <w:ind w:right="207"/>
              <w:spacing w:after="0"/>
              <w:rPr>
                <w:sz w:val="20"/>
                <w:szCs w:val="20"/>
                <w:color w:val="auto"/>
              </w:rPr>
            </w:pPr>
            <w:r>
              <w:rPr>
                <w:rFonts w:ascii="Courier New" w:cs="Courier New" w:eastAsia="Courier New" w:hAnsi="Courier New"/>
                <w:sz w:val="15"/>
                <w:szCs w:val="15"/>
                <w:color w:val="auto"/>
                <w:w w:val="96"/>
              </w:rPr>
              <w:t>2.2</w:t>
            </w:r>
          </w:p>
        </w:tc>
        <w:tc>
          <w:tcPr>
            <w:tcW w:w="5820" w:type="dxa"/>
            <w:vAlign w:val="bottom"/>
          </w:tcPr>
          <w:p>
            <w:pPr>
              <w:ind w:left="300"/>
              <w:spacing w:after="0"/>
              <w:rPr>
                <w:sz w:val="20"/>
                <w:szCs w:val="20"/>
                <w:color w:val="auto"/>
              </w:rPr>
            </w:pPr>
            <w:r>
              <w:rPr>
                <w:rFonts w:ascii="Courier New" w:cs="Courier New" w:eastAsia="Courier New" w:hAnsi="Courier New"/>
                <w:sz w:val="15"/>
                <w:szCs w:val="15"/>
                <w:color w:val="auto"/>
              </w:rPr>
              <w:t>Composite copy of Separation and Distribution Agreement dated</w:t>
            </w:r>
          </w:p>
        </w:tc>
      </w:tr>
      <w:tr>
        <w:trPr>
          <w:trHeight w:val="168"/>
        </w:trPr>
        <w:tc>
          <w:tcPr>
            <w:tcW w:w="1100" w:type="dxa"/>
            <w:vAlign w:val="bottom"/>
          </w:tcPr>
          <w:p>
            <w:pPr>
              <w:spacing w:after="0"/>
              <w:rPr>
                <w:sz w:val="14"/>
                <w:szCs w:val="14"/>
                <w:color w:val="auto"/>
              </w:rPr>
            </w:pPr>
          </w:p>
        </w:tc>
        <w:tc>
          <w:tcPr>
            <w:tcW w:w="582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as of December 19, 2001, as amended, between AT&amp;T Corp. and</w:t>
            </w:r>
          </w:p>
        </w:tc>
      </w:tr>
      <w:tr>
        <w:trPr>
          <w:trHeight w:val="168"/>
        </w:trPr>
        <w:tc>
          <w:tcPr>
            <w:tcW w:w="1100" w:type="dxa"/>
            <w:vAlign w:val="bottom"/>
          </w:tcPr>
          <w:p>
            <w:pPr>
              <w:spacing w:after="0"/>
              <w:rPr>
                <w:sz w:val="14"/>
                <w:szCs w:val="14"/>
                <w:color w:val="auto"/>
              </w:rPr>
            </w:pPr>
          </w:p>
        </w:tc>
        <w:tc>
          <w:tcPr>
            <w:tcW w:w="582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w w:val="98"/>
              </w:rPr>
              <w:t>Comcast Cable Communications Holdings, Inc. (formerly known as</w:t>
            </w:r>
          </w:p>
        </w:tc>
      </w:tr>
      <w:tr>
        <w:trPr>
          <w:trHeight w:val="168"/>
        </w:trPr>
        <w:tc>
          <w:tcPr>
            <w:tcW w:w="1100" w:type="dxa"/>
            <w:vAlign w:val="bottom"/>
          </w:tcPr>
          <w:p>
            <w:pPr>
              <w:spacing w:after="0"/>
              <w:rPr>
                <w:sz w:val="14"/>
                <w:szCs w:val="14"/>
                <w:color w:val="auto"/>
              </w:rPr>
            </w:pPr>
          </w:p>
        </w:tc>
        <w:tc>
          <w:tcPr>
            <w:tcW w:w="582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AT&amp;T Broadband Corp.).**</w:t>
            </w:r>
          </w:p>
        </w:tc>
      </w:tr>
      <w:tr>
        <w:trPr>
          <w:trHeight w:val="336"/>
        </w:trPr>
        <w:tc>
          <w:tcPr>
            <w:tcW w:w="1100" w:type="dxa"/>
            <w:vAlign w:val="bottom"/>
          </w:tcPr>
          <w:p>
            <w:pPr>
              <w:jc w:val="center"/>
              <w:ind w:right="207"/>
              <w:spacing w:after="0"/>
              <w:rPr>
                <w:sz w:val="20"/>
                <w:szCs w:val="20"/>
                <w:color w:val="auto"/>
              </w:rPr>
            </w:pPr>
            <w:r>
              <w:rPr>
                <w:rFonts w:ascii="Courier New" w:cs="Courier New" w:eastAsia="Courier New" w:hAnsi="Courier New"/>
                <w:sz w:val="15"/>
                <w:szCs w:val="15"/>
                <w:color w:val="auto"/>
                <w:w w:val="96"/>
              </w:rPr>
              <w:t>2.3</w:t>
            </w:r>
          </w:p>
        </w:tc>
        <w:tc>
          <w:tcPr>
            <w:tcW w:w="5820" w:type="dxa"/>
            <w:vAlign w:val="bottom"/>
          </w:tcPr>
          <w:p>
            <w:pPr>
              <w:ind w:left="300"/>
              <w:spacing w:after="0"/>
              <w:rPr>
                <w:sz w:val="20"/>
                <w:szCs w:val="20"/>
                <w:color w:val="auto"/>
              </w:rPr>
            </w:pPr>
            <w:r>
              <w:rPr>
                <w:rFonts w:ascii="Courier New" w:cs="Courier New" w:eastAsia="Courier New" w:hAnsi="Courier New"/>
                <w:sz w:val="15"/>
                <w:szCs w:val="15"/>
                <w:color w:val="auto"/>
              </w:rPr>
              <w:t>Support Agreement dated as of December 19, 2001, as amended,</w:t>
            </w:r>
          </w:p>
        </w:tc>
      </w:tr>
      <w:tr>
        <w:trPr>
          <w:trHeight w:val="168"/>
        </w:trPr>
        <w:tc>
          <w:tcPr>
            <w:tcW w:w="1100" w:type="dxa"/>
            <w:vAlign w:val="bottom"/>
          </w:tcPr>
          <w:p>
            <w:pPr>
              <w:spacing w:after="0"/>
              <w:rPr>
                <w:sz w:val="14"/>
                <w:szCs w:val="14"/>
                <w:color w:val="auto"/>
              </w:rPr>
            </w:pPr>
          </w:p>
        </w:tc>
        <w:tc>
          <w:tcPr>
            <w:tcW w:w="582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w w:val="98"/>
              </w:rPr>
              <w:t>among AT&amp;T Corp., Comcast Holdings Corporation (formerly known</w:t>
            </w:r>
          </w:p>
        </w:tc>
      </w:tr>
      <w:tr>
        <w:trPr>
          <w:trHeight w:val="168"/>
        </w:trPr>
        <w:tc>
          <w:tcPr>
            <w:tcW w:w="1100" w:type="dxa"/>
            <w:vAlign w:val="bottom"/>
          </w:tcPr>
          <w:p>
            <w:pPr>
              <w:spacing w:after="0"/>
              <w:rPr>
                <w:sz w:val="14"/>
                <w:szCs w:val="14"/>
                <w:color w:val="auto"/>
              </w:rPr>
            </w:pPr>
          </w:p>
        </w:tc>
        <w:tc>
          <w:tcPr>
            <w:tcW w:w="582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w w:val="96"/>
              </w:rPr>
              <w:t>as Comcast Corporation), Comcast Corporation (formerly known as</w:t>
            </w:r>
          </w:p>
        </w:tc>
      </w:tr>
      <w:tr>
        <w:trPr>
          <w:trHeight w:val="168"/>
        </w:trPr>
        <w:tc>
          <w:tcPr>
            <w:tcW w:w="1100" w:type="dxa"/>
            <w:vAlign w:val="bottom"/>
          </w:tcPr>
          <w:p>
            <w:pPr>
              <w:spacing w:after="0"/>
              <w:rPr>
                <w:sz w:val="14"/>
                <w:szCs w:val="14"/>
                <w:color w:val="auto"/>
              </w:rPr>
            </w:pPr>
          </w:p>
        </w:tc>
        <w:tc>
          <w:tcPr>
            <w:tcW w:w="582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AT&amp;T Comcast Corporation), Sural LLC and Brian L. Roberts.***</w:t>
            </w:r>
          </w:p>
        </w:tc>
      </w:tr>
      <w:tr>
        <w:trPr>
          <w:trHeight w:val="336"/>
        </w:trPr>
        <w:tc>
          <w:tcPr>
            <w:tcW w:w="1100" w:type="dxa"/>
            <w:vAlign w:val="bottom"/>
          </w:tcPr>
          <w:p>
            <w:pPr>
              <w:jc w:val="center"/>
              <w:ind w:right="207"/>
              <w:spacing w:after="0"/>
              <w:rPr>
                <w:sz w:val="20"/>
                <w:szCs w:val="20"/>
                <w:color w:val="auto"/>
              </w:rPr>
            </w:pPr>
            <w:r>
              <w:rPr>
                <w:rFonts w:ascii="Courier New" w:cs="Courier New" w:eastAsia="Courier New" w:hAnsi="Courier New"/>
                <w:sz w:val="15"/>
                <w:szCs w:val="15"/>
                <w:color w:val="auto"/>
                <w:w w:val="96"/>
              </w:rPr>
              <w:t>2.4</w:t>
            </w:r>
          </w:p>
        </w:tc>
        <w:tc>
          <w:tcPr>
            <w:tcW w:w="5820" w:type="dxa"/>
            <w:vAlign w:val="bottom"/>
          </w:tcPr>
          <w:p>
            <w:pPr>
              <w:ind w:left="300"/>
              <w:spacing w:after="0"/>
              <w:rPr>
                <w:sz w:val="20"/>
                <w:szCs w:val="20"/>
                <w:color w:val="auto"/>
              </w:rPr>
            </w:pPr>
            <w:r>
              <w:rPr>
                <w:rFonts w:ascii="Courier New" w:cs="Courier New" w:eastAsia="Courier New" w:hAnsi="Courier New"/>
                <w:sz w:val="15"/>
                <w:szCs w:val="15"/>
                <w:color w:val="auto"/>
              </w:rPr>
              <w:t>Tax Sharing Agreement dated as of December 19, 2001 between</w:t>
            </w:r>
          </w:p>
        </w:tc>
      </w:tr>
      <w:tr>
        <w:trPr>
          <w:trHeight w:val="168"/>
        </w:trPr>
        <w:tc>
          <w:tcPr>
            <w:tcW w:w="1100" w:type="dxa"/>
            <w:vAlign w:val="bottom"/>
          </w:tcPr>
          <w:p>
            <w:pPr>
              <w:spacing w:after="0"/>
              <w:rPr>
                <w:sz w:val="14"/>
                <w:szCs w:val="14"/>
                <w:color w:val="auto"/>
              </w:rPr>
            </w:pPr>
          </w:p>
        </w:tc>
        <w:tc>
          <w:tcPr>
            <w:tcW w:w="582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AT&amp;T Corp. and Comcast Cable Communications Holdings, Inc.</w:t>
            </w:r>
          </w:p>
        </w:tc>
      </w:tr>
      <w:tr>
        <w:trPr>
          <w:trHeight w:val="168"/>
        </w:trPr>
        <w:tc>
          <w:tcPr>
            <w:tcW w:w="1100" w:type="dxa"/>
            <w:vAlign w:val="bottom"/>
          </w:tcPr>
          <w:p>
            <w:pPr>
              <w:spacing w:after="0"/>
              <w:rPr>
                <w:sz w:val="14"/>
                <w:szCs w:val="14"/>
                <w:color w:val="auto"/>
              </w:rPr>
            </w:pPr>
          </w:p>
        </w:tc>
        <w:tc>
          <w:tcPr>
            <w:tcW w:w="582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(formerly known as AT&amp;T Broadband Corp.).***</w:t>
            </w:r>
          </w:p>
        </w:tc>
      </w:tr>
      <w:tr>
        <w:trPr>
          <w:trHeight w:val="336"/>
        </w:trPr>
        <w:tc>
          <w:tcPr>
            <w:tcW w:w="1100" w:type="dxa"/>
            <w:vAlign w:val="bottom"/>
          </w:tcPr>
          <w:p>
            <w:pPr>
              <w:jc w:val="center"/>
              <w:ind w:right="207"/>
              <w:spacing w:after="0"/>
              <w:rPr>
                <w:sz w:val="20"/>
                <w:szCs w:val="20"/>
                <w:color w:val="auto"/>
              </w:rPr>
            </w:pPr>
            <w:r>
              <w:rPr>
                <w:rFonts w:ascii="Courier New" w:cs="Courier New" w:eastAsia="Courier New" w:hAnsi="Courier New"/>
                <w:sz w:val="15"/>
                <w:szCs w:val="15"/>
                <w:color w:val="auto"/>
                <w:w w:val="96"/>
              </w:rPr>
              <w:t>2.5</w:t>
            </w:r>
          </w:p>
        </w:tc>
        <w:tc>
          <w:tcPr>
            <w:tcW w:w="5820" w:type="dxa"/>
            <w:vAlign w:val="bottom"/>
          </w:tcPr>
          <w:p>
            <w:pPr>
              <w:ind w:left="300"/>
              <w:spacing w:after="0"/>
              <w:rPr>
                <w:sz w:val="20"/>
                <w:szCs w:val="20"/>
                <w:color w:val="auto"/>
              </w:rPr>
            </w:pPr>
            <w:r>
              <w:rPr>
                <w:rFonts w:ascii="Courier New" w:cs="Courier New" w:eastAsia="Courier New" w:hAnsi="Courier New"/>
                <w:sz w:val="15"/>
                <w:szCs w:val="15"/>
                <w:color w:val="auto"/>
              </w:rPr>
              <w:t>Employee Benefits Agreement dated as of December 19, 2001</w:t>
            </w:r>
          </w:p>
        </w:tc>
      </w:tr>
      <w:tr>
        <w:trPr>
          <w:trHeight w:val="168"/>
        </w:trPr>
        <w:tc>
          <w:tcPr>
            <w:tcW w:w="1100" w:type="dxa"/>
            <w:vAlign w:val="bottom"/>
          </w:tcPr>
          <w:p>
            <w:pPr>
              <w:spacing w:after="0"/>
              <w:rPr>
                <w:sz w:val="14"/>
                <w:szCs w:val="14"/>
                <w:color w:val="auto"/>
              </w:rPr>
            </w:pPr>
          </w:p>
        </w:tc>
        <w:tc>
          <w:tcPr>
            <w:tcW w:w="582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between AT&amp;T Corp. and Comcast Cable Communications Holdings,</w:t>
            </w:r>
          </w:p>
        </w:tc>
      </w:tr>
      <w:tr>
        <w:trPr>
          <w:trHeight w:val="168"/>
        </w:trPr>
        <w:tc>
          <w:tcPr>
            <w:tcW w:w="1100" w:type="dxa"/>
            <w:vAlign w:val="bottom"/>
          </w:tcPr>
          <w:p>
            <w:pPr>
              <w:spacing w:after="0"/>
              <w:rPr>
                <w:sz w:val="14"/>
                <w:szCs w:val="14"/>
                <w:color w:val="auto"/>
              </w:rPr>
            </w:pPr>
          </w:p>
        </w:tc>
        <w:tc>
          <w:tcPr>
            <w:tcW w:w="582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Inc. (formerly known as AT&amp;T Broadband Corp.).****</w:t>
            </w:r>
          </w:p>
        </w:tc>
      </w:tr>
      <w:tr>
        <w:trPr>
          <w:trHeight w:val="336"/>
        </w:trPr>
        <w:tc>
          <w:tcPr>
            <w:tcW w:w="1100" w:type="dxa"/>
            <w:vAlign w:val="bottom"/>
          </w:tcPr>
          <w:p>
            <w:pPr>
              <w:jc w:val="center"/>
              <w:ind w:right="207"/>
              <w:spacing w:after="0"/>
              <w:rPr>
                <w:sz w:val="20"/>
                <w:szCs w:val="20"/>
                <w:color w:val="auto"/>
              </w:rPr>
            </w:pPr>
            <w:r>
              <w:rPr>
                <w:rFonts w:ascii="Courier New" w:cs="Courier New" w:eastAsia="Courier New" w:hAnsi="Courier New"/>
                <w:sz w:val="15"/>
                <w:szCs w:val="15"/>
                <w:color w:val="auto"/>
                <w:w w:val="96"/>
              </w:rPr>
              <w:t>2.6</w:t>
            </w:r>
          </w:p>
        </w:tc>
        <w:tc>
          <w:tcPr>
            <w:tcW w:w="5820" w:type="dxa"/>
            <w:vAlign w:val="bottom"/>
          </w:tcPr>
          <w:p>
            <w:pPr>
              <w:ind w:left="300"/>
              <w:spacing w:after="0"/>
              <w:rPr>
                <w:sz w:val="20"/>
                <w:szCs w:val="20"/>
                <w:color w:val="auto"/>
              </w:rPr>
            </w:pPr>
            <w:r>
              <w:rPr>
                <w:rFonts w:ascii="Courier New" w:cs="Courier New" w:eastAsia="Courier New" w:hAnsi="Courier New"/>
                <w:sz w:val="15"/>
                <w:szCs w:val="15"/>
                <w:color w:val="auto"/>
              </w:rPr>
              <w:t>Exchange Agreement dated as of December 7, 2001, as amended,</w:t>
            </w:r>
          </w:p>
        </w:tc>
      </w:tr>
      <w:tr>
        <w:trPr>
          <w:trHeight w:val="168"/>
        </w:trPr>
        <w:tc>
          <w:tcPr>
            <w:tcW w:w="1100" w:type="dxa"/>
            <w:vAlign w:val="bottom"/>
          </w:tcPr>
          <w:p>
            <w:pPr>
              <w:spacing w:after="0"/>
              <w:rPr>
                <w:sz w:val="14"/>
                <w:szCs w:val="14"/>
                <w:color w:val="auto"/>
              </w:rPr>
            </w:pPr>
          </w:p>
        </w:tc>
        <w:tc>
          <w:tcPr>
            <w:tcW w:w="582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w w:val="98"/>
              </w:rPr>
              <w:t>between Microsoft Corporation and Comcast Holdings Corporation</w:t>
            </w:r>
          </w:p>
        </w:tc>
      </w:tr>
      <w:tr>
        <w:trPr>
          <w:trHeight w:val="168"/>
        </w:trPr>
        <w:tc>
          <w:tcPr>
            <w:tcW w:w="1100" w:type="dxa"/>
            <w:vAlign w:val="bottom"/>
          </w:tcPr>
          <w:p>
            <w:pPr>
              <w:spacing w:after="0"/>
              <w:rPr>
                <w:sz w:val="14"/>
                <w:szCs w:val="14"/>
                <w:color w:val="auto"/>
              </w:rPr>
            </w:pPr>
          </w:p>
        </w:tc>
        <w:tc>
          <w:tcPr>
            <w:tcW w:w="582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(formerly known as Comcast Corporation).***</w:t>
            </w:r>
          </w:p>
        </w:tc>
      </w:tr>
      <w:tr>
        <w:trPr>
          <w:trHeight w:val="336"/>
        </w:trPr>
        <w:tc>
          <w:tcPr>
            <w:tcW w:w="1100" w:type="dxa"/>
            <w:vAlign w:val="bottom"/>
          </w:tcPr>
          <w:p>
            <w:pPr>
              <w:jc w:val="center"/>
              <w:ind w:right="207"/>
              <w:spacing w:after="0"/>
              <w:rPr>
                <w:sz w:val="20"/>
                <w:szCs w:val="20"/>
                <w:color w:val="auto"/>
              </w:rPr>
            </w:pPr>
            <w:r>
              <w:rPr>
                <w:rFonts w:ascii="Courier New" w:cs="Courier New" w:eastAsia="Courier New" w:hAnsi="Courier New"/>
                <w:sz w:val="15"/>
                <w:szCs w:val="15"/>
                <w:color w:val="auto"/>
                <w:w w:val="96"/>
              </w:rPr>
              <w:t>2.7</w:t>
            </w:r>
          </w:p>
        </w:tc>
        <w:tc>
          <w:tcPr>
            <w:tcW w:w="5820" w:type="dxa"/>
            <w:vAlign w:val="bottom"/>
          </w:tcPr>
          <w:p>
            <w:pPr>
              <w:ind w:left="300"/>
              <w:spacing w:after="0"/>
              <w:rPr>
                <w:sz w:val="20"/>
                <w:szCs w:val="20"/>
                <w:color w:val="auto"/>
              </w:rPr>
            </w:pPr>
            <w:r>
              <w:rPr>
                <w:rFonts w:ascii="Courier New" w:cs="Courier New" w:eastAsia="Courier New" w:hAnsi="Courier New"/>
                <w:sz w:val="15"/>
                <w:szCs w:val="15"/>
                <w:color w:val="auto"/>
              </w:rPr>
              <w:t>Instrument of Admission dated as of December 19, 2001, as</w:t>
            </w:r>
          </w:p>
        </w:tc>
      </w:tr>
      <w:tr>
        <w:trPr>
          <w:trHeight w:val="168"/>
        </w:trPr>
        <w:tc>
          <w:tcPr>
            <w:tcW w:w="1100" w:type="dxa"/>
            <w:vAlign w:val="bottom"/>
          </w:tcPr>
          <w:p>
            <w:pPr>
              <w:spacing w:after="0"/>
              <w:rPr>
                <w:sz w:val="14"/>
                <w:szCs w:val="14"/>
                <w:color w:val="auto"/>
              </w:rPr>
            </w:pPr>
          </w:p>
        </w:tc>
        <w:tc>
          <w:tcPr>
            <w:tcW w:w="582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amended, between Comcast Corporation (formerly known as AT&amp;T</w:t>
            </w:r>
          </w:p>
        </w:tc>
      </w:tr>
      <w:tr>
        <w:trPr>
          <w:trHeight w:val="168"/>
        </w:trPr>
        <w:tc>
          <w:tcPr>
            <w:tcW w:w="1100" w:type="dxa"/>
            <w:vAlign w:val="bottom"/>
          </w:tcPr>
          <w:p>
            <w:pPr>
              <w:spacing w:after="0"/>
              <w:rPr>
                <w:sz w:val="14"/>
                <w:szCs w:val="14"/>
                <w:color w:val="auto"/>
              </w:rPr>
            </w:pPr>
          </w:p>
        </w:tc>
        <w:tc>
          <w:tcPr>
            <w:tcW w:w="582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Comcast Corporation) and AT&amp;T Corp.***</w:t>
            </w:r>
          </w:p>
        </w:tc>
      </w:tr>
    </w:tbl>
    <w:p>
      <w:pPr>
        <w:spacing w:after="0" w:line="33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II-6</w:t>
      </w:r>
    </w:p>
    <w:p>
      <w:pPr>
        <w:sectPr>
          <w:pgSz w:w="11900" w:h="16838" w:orient="portrait"/>
          <w:cols w:equalWidth="0" w:num="1">
            <w:col w:w="10239"/>
          </w:cols>
          <w:pgMar w:left="220" w:top="792" w:right="1440" w:bottom="1440" w:gutter="0" w:footer="0" w:header="0"/>
        </w:sectPr>
      </w:pPr>
    </w:p>
    <w:bookmarkStart w:id="62" w:name="page63"/>
    <w:bookmarkEnd w:id="62"/>
    <w:tbl>
      <w:tblPr>
        <w:tblLayout w:type="fixed"/>
        <w:tblInd w:w="0" w:type="dxa"/>
        <w:tblCellMar>
          <w:top w:w="0" w:type="dxa"/>
          <w:left w:w="0" w:type="dxa"/>
          <w:bottom w:w="0" w:type="dxa"/>
          <w:right w:w="0" w:type="dxa"/>
        </w:tblCellMar>
      </w:tblPr>
      <w:tr>
        <w:trPr>
          <w:trHeight w:val="170"/>
        </w:trPr>
        <w:tc>
          <w:tcPr>
            <w:tcW w:w="1100" w:type="dxa"/>
            <w:vAlign w:val="bottom"/>
          </w:tcPr>
          <w:p>
            <w:pPr>
              <w:spacing w:after="0"/>
              <w:rPr>
                <w:sz w:val="20"/>
                <w:szCs w:val="20"/>
                <w:color w:val="auto"/>
              </w:rPr>
            </w:pPr>
            <w:r>
              <w:rPr>
                <w:rFonts w:ascii="Courier New" w:cs="Courier New" w:eastAsia="Courier New" w:hAnsi="Courier New"/>
                <w:sz w:val="15"/>
                <w:szCs w:val="15"/>
                <w:color w:val="auto"/>
              </w:rPr>
              <w:t>Exhibit</w:t>
            </w:r>
          </w:p>
        </w:tc>
        <w:tc>
          <w:tcPr>
            <w:tcW w:w="5900" w:type="dxa"/>
            <w:vAlign w:val="bottom"/>
          </w:tcPr>
          <w:p>
            <w:pPr>
              <w:spacing w:after="0"/>
              <w:rPr>
                <w:sz w:val="14"/>
                <w:szCs w:val="14"/>
                <w:color w:val="auto"/>
              </w:rPr>
            </w:pPr>
          </w:p>
        </w:tc>
      </w:tr>
      <w:tr>
        <w:trPr>
          <w:trHeight w:val="168"/>
        </w:trPr>
        <w:tc>
          <w:tcPr>
            <w:tcW w:w="1100" w:type="dxa"/>
            <w:vAlign w:val="bottom"/>
          </w:tcPr>
          <w:p>
            <w:pPr>
              <w:spacing w:after="0" w:line="168" w:lineRule="exact"/>
              <w:rPr>
                <w:sz w:val="20"/>
                <w:szCs w:val="20"/>
                <w:color w:val="auto"/>
              </w:rPr>
            </w:pPr>
            <w:r>
              <w:rPr>
                <w:rFonts w:ascii="Courier New" w:cs="Courier New" w:eastAsia="Courier New" w:hAnsi="Courier New"/>
                <w:sz w:val="15"/>
                <w:szCs w:val="15"/>
                <w:color w:val="auto"/>
              </w:rPr>
              <w:t>Number</w:t>
            </w:r>
          </w:p>
        </w:tc>
        <w:tc>
          <w:tcPr>
            <w:tcW w:w="590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Description</w:t>
            </w:r>
          </w:p>
        </w:tc>
      </w:tr>
      <w:tr>
        <w:trPr>
          <w:trHeight w:val="168"/>
        </w:trPr>
        <w:tc>
          <w:tcPr>
            <w:tcW w:w="110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590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1100" w:type="dxa"/>
            <w:vAlign w:val="bottom"/>
          </w:tcPr>
          <w:p>
            <w:pPr>
              <w:ind w:left="280"/>
              <w:spacing w:after="0"/>
              <w:rPr>
                <w:sz w:val="20"/>
                <w:szCs w:val="20"/>
                <w:color w:val="auto"/>
              </w:rPr>
            </w:pPr>
            <w:r>
              <w:rPr>
                <w:rFonts w:ascii="Courier New" w:cs="Courier New" w:eastAsia="Courier New" w:hAnsi="Courier New"/>
                <w:sz w:val="15"/>
                <w:szCs w:val="15"/>
                <w:color w:val="auto"/>
              </w:rPr>
              <w:t>4.1</w:t>
            </w:r>
          </w:p>
        </w:tc>
        <w:tc>
          <w:tcPr>
            <w:tcW w:w="5900" w:type="dxa"/>
            <w:vAlign w:val="bottom"/>
          </w:tcPr>
          <w:p>
            <w:pPr>
              <w:ind w:left="300"/>
              <w:spacing w:after="0"/>
              <w:rPr>
                <w:sz w:val="20"/>
                <w:szCs w:val="20"/>
                <w:color w:val="auto"/>
              </w:rPr>
            </w:pPr>
            <w:r>
              <w:rPr>
                <w:rFonts w:ascii="Courier New" w:cs="Courier New" w:eastAsia="Courier New" w:hAnsi="Courier New"/>
                <w:sz w:val="15"/>
                <w:szCs w:val="15"/>
                <w:color w:val="auto"/>
                <w:w w:val="99"/>
              </w:rPr>
              <w:t>Rights Agreement dated as of November 18, 2002 between Comcast</w:t>
            </w:r>
          </w:p>
        </w:tc>
      </w:tr>
      <w:tr>
        <w:trPr>
          <w:trHeight w:val="168"/>
        </w:trPr>
        <w:tc>
          <w:tcPr>
            <w:tcW w:w="1100" w:type="dxa"/>
            <w:vAlign w:val="bottom"/>
          </w:tcPr>
          <w:p>
            <w:pPr>
              <w:spacing w:after="0"/>
              <w:rPr>
                <w:sz w:val="14"/>
                <w:szCs w:val="14"/>
                <w:color w:val="auto"/>
              </w:rPr>
            </w:pPr>
          </w:p>
        </w:tc>
        <w:tc>
          <w:tcPr>
            <w:tcW w:w="590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Corporation (formerly known as AT&amp;T Comcast Corporation) and</w:t>
            </w:r>
          </w:p>
        </w:tc>
      </w:tr>
      <w:tr>
        <w:trPr>
          <w:trHeight w:val="168"/>
        </w:trPr>
        <w:tc>
          <w:tcPr>
            <w:tcW w:w="1100" w:type="dxa"/>
            <w:vAlign w:val="bottom"/>
          </w:tcPr>
          <w:p>
            <w:pPr>
              <w:spacing w:after="0"/>
              <w:rPr>
                <w:sz w:val="14"/>
                <w:szCs w:val="14"/>
                <w:color w:val="auto"/>
              </w:rPr>
            </w:pPr>
          </w:p>
        </w:tc>
        <w:tc>
          <w:tcPr>
            <w:tcW w:w="590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w w:val="99"/>
              </w:rPr>
              <w:t>EquiServe Trust Company, N.A., as Rights Agent, which includes</w:t>
            </w:r>
          </w:p>
        </w:tc>
      </w:tr>
      <w:tr>
        <w:trPr>
          <w:trHeight w:val="168"/>
        </w:trPr>
        <w:tc>
          <w:tcPr>
            <w:tcW w:w="1100" w:type="dxa"/>
            <w:vAlign w:val="bottom"/>
          </w:tcPr>
          <w:p>
            <w:pPr>
              <w:spacing w:after="0"/>
              <w:rPr>
                <w:sz w:val="14"/>
                <w:szCs w:val="14"/>
                <w:color w:val="auto"/>
              </w:rPr>
            </w:pPr>
          </w:p>
        </w:tc>
        <w:tc>
          <w:tcPr>
            <w:tcW w:w="590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w w:val="96"/>
              </w:rPr>
              <w:t>the Form of Certificate of Designation of Series A Participant's</w:t>
            </w:r>
          </w:p>
        </w:tc>
      </w:tr>
      <w:tr>
        <w:trPr>
          <w:trHeight w:val="168"/>
        </w:trPr>
        <w:tc>
          <w:tcPr>
            <w:tcW w:w="1100" w:type="dxa"/>
            <w:vAlign w:val="bottom"/>
          </w:tcPr>
          <w:p>
            <w:pPr>
              <w:spacing w:after="0"/>
              <w:rPr>
                <w:sz w:val="14"/>
                <w:szCs w:val="14"/>
                <w:color w:val="auto"/>
              </w:rPr>
            </w:pPr>
          </w:p>
        </w:tc>
        <w:tc>
          <w:tcPr>
            <w:tcW w:w="590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Cumulative Preferred Stock as Exhibit A and the Form of Right</w:t>
            </w:r>
          </w:p>
        </w:tc>
      </w:tr>
      <w:tr>
        <w:trPr>
          <w:trHeight w:val="168"/>
        </w:trPr>
        <w:tc>
          <w:tcPr>
            <w:tcW w:w="1100" w:type="dxa"/>
            <w:vAlign w:val="bottom"/>
          </w:tcPr>
          <w:p>
            <w:pPr>
              <w:spacing w:after="0"/>
              <w:rPr>
                <w:sz w:val="14"/>
                <w:szCs w:val="14"/>
                <w:color w:val="auto"/>
              </w:rPr>
            </w:pPr>
          </w:p>
        </w:tc>
        <w:tc>
          <w:tcPr>
            <w:tcW w:w="590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Certificate as Exhibit B.*****</w:t>
            </w:r>
          </w:p>
        </w:tc>
      </w:tr>
      <w:tr>
        <w:trPr>
          <w:trHeight w:val="336"/>
        </w:trPr>
        <w:tc>
          <w:tcPr>
            <w:tcW w:w="1100" w:type="dxa"/>
            <w:vAlign w:val="bottom"/>
          </w:tcPr>
          <w:p>
            <w:pPr>
              <w:ind w:left="280"/>
              <w:spacing w:after="0"/>
              <w:rPr>
                <w:sz w:val="20"/>
                <w:szCs w:val="20"/>
                <w:color w:val="auto"/>
              </w:rPr>
            </w:pPr>
            <w:r>
              <w:rPr>
                <w:rFonts w:ascii="Courier New" w:cs="Courier New" w:eastAsia="Courier New" w:hAnsi="Courier New"/>
                <w:sz w:val="15"/>
                <w:szCs w:val="15"/>
                <w:color w:val="auto"/>
              </w:rPr>
              <w:t>4.2</w:t>
            </w:r>
          </w:p>
        </w:tc>
        <w:tc>
          <w:tcPr>
            <w:tcW w:w="5900" w:type="dxa"/>
            <w:vAlign w:val="bottom"/>
          </w:tcPr>
          <w:p>
            <w:pPr>
              <w:ind w:left="300"/>
              <w:spacing w:after="0"/>
              <w:rPr>
                <w:sz w:val="20"/>
                <w:szCs w:val="20"/>
                <w:color w:val="auto"/>
              </w:rPr>
            </w:pPr>
            <w:r>
              <w:rPr>
                <w:rFonts w:ascii="Courier New" w:cs="Courier New" w:eastAsia="Courier New" w:hAnsi="Courier New"/>
                <w:sz w:val="15"/>
                <w:szCs w:val="15"/>
                <w:color w:val="auto"/>
              </w:rPr>
              <w:t>Credit Agreement dated as of April 26, 2002 among Comcast</w:t>
            </w:r>
          </w:p>
        </w:tc>
      </w:tr>
      <w:tr>
        <w:trPr>
          <w:trHeight w:val="168"/>
        </w:trPr>
        <w:tc>
          <w:tcPr>
            <w:tcW w:w="1100" w:type="dxa"/>
            <w:vAlign w:val="bottom"/>
          </w:tcPr>
          <w:p>
            <w:pPr>
              <w:spacing w:after="0"/>
              <w:rPr>
                <w:sz w:val="14"/>
                <w:szCs w:val="14"/>
                <w:color w:val="auto"/>
              </w:rPr>
            </w:pPr>
          </w:p>
        </w:tc>
        <w:tc>
          <w:tcPr>
            <w:tcW w:w="590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Corporation (formerly known as AT&amp;T Comcast Corporation),</w:t>
            </w:r>
          </w:p>
        </w:tc>
      </w:tr>
      <w:tr>
        <w:trPr>
          <w:trHeight w:val="168"/>
        </w:trPr>
        <w:tc>
          <w:tcPr>
            <w:tcW w:w="1100" w:type="dxa"/>
            <w:vAlign w:val="bottom"/>
          </w:tcPr>
          <w:p>
            <w:pPr>
              <w:spacing w:after="0"/>
              <w:rPr>
                <w:sz w:val="14"/>
                <w:szCs w:val="14"/>
                <w:color w:val="auto"/>
              </w:rPr>
            </w:pPr>
          </w:p>
        </w:tc>
        <w:tc>
          <w:tcPr>
            <w:tcW w:w="590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w w:val="99"/>
              </w:rPr>
              <w:t>Comcast Cable Communications Holdings, Inc. (formerly known as</w:t>
            </w:r>
          </w:p>
        </w:tc>
      </w:tr>
      <w:tr>
        <w:trPr>
          <w:trHeight w:val="168"/>
        </w:trPr>
        <w:tc>
          <w:tcPr>
            <w:tcW w:w="1100" w:type="dxa"/>
            <w:vAlign w:val="bottom"/>
          </w:tcPr>
          <w:p>
            <w:pPr>
              <w:spacing w:after="0"/>
              <w:rPr>
                <w:sz w:val="14"/>
                <w:szCs w:val="14"/>
                <w:color w:val="auto"/>
              </w:rPr>
            </w:pPr>
          </w:p>
        </w:tc>
        <w:tc>
          <w:tcPr>
            <w:tcW w:w="590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AT&amp;T Broadband Corp.), the Financial Institutions party</w:t>
            </w:r>
          </w:p>
        </w:tc>
      </w:tr>
      <w:tr>
        <w:trPr>
          <w:trHeight w:val="168"/>
        </w:trPr>
        <w:tc>
          <w:tcPr>
            <w:tcW w:w="1100" w:type="dxa"/>
            <w:vAlign w:val="bottom"/>
          </w:tcPr>
          <w:p>
            <w:pPr>
              <w:spacing w:after="0"/>
              <w:rPr>
                <w:sz w:val="14"/>
                <w:szCs w:val="14"/>
                <w:color w:val="auto"/>
              </w:rPr>
            </w:pPr>
          </w:p>
        </w:tc>
        <w:tc>
          <w:tcPr>
            <w:tcW w:w="590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thereto, JP Morgan Chase Bank, as Administrative Agent, Swing</w:t>
            </w:r>
          </w:p>
        </w:tc>
      </w:tr>
      <w:tr>
        <w:trPr>
          <w:trHeight w:val="168"/>
        </w:trPr>
        <w:tc>
          <w:tcPr>
            <w:tcW w:w="1100" w:type="dxa"/>
            <w:vAlign w:val="bottom"/>
          </w:tcPr>
          <w:p>
            <w:pPr>
              <w:spacing w:after="0"/>
              <w:rPr>
                <w:sz w:val="14"/>
                <w:szCs w:val="14"/>
                <w:color w:val="auto"/>
              </w:rPr>
            </w:pPr>
          </w:p>
        </w:tc>
        <w:tc>
          <w:tcPr>
            <w:tcW w:w="590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w w:val="99"/>
              </w:rPr>
              <w:t>Line Lender and Issuing Lender, Citibank, N.A., as Syndication</w:t>
            </w:r>
          </w:p>
        </w:tc>
      </w:tr>
      <w:tr>
        <w:trPr>
          <w:trHeight w:val="168"/>
        </w:trPr>
        <w:tc>
          <w:tcPr>
            <w:tcW w:w="1100" w:type="dxa"/>
            <w:vAlign w:val="bottom"/>
          </w:tcPr>
          <w:p>
            <w:pPr>
              <w:spacing w:after="0"/>
              <w:rPr>
                <w:sz w:val="14"/>
                <w:szCs w:val="14"/>
                <w:color w:val="auto"/>
              </w:rPr>
            </w:pPr>
          </w:p>
        </w:tc>
        <w:tc>
          <w:tcPr>
            <w:tcW w:w="590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w w:val="99"/>
              </w:rPr>
              <w:t>Agent, and Bank of America, N.A., Merrill Lynch &amp; Co., Merrill</w:t>
            </w:r>
          </w:p>
        </w:tc>
      </w:tr>
      <w:tr>
        <w:trPr>
          <w:trHeight w:val="168"/>
        </w:trPr>
        <w:tc>
          <w:tcPr>
            <w:tcW w:w="1100" w:type="dxa"/>
            <w:vAlign w:val="bottom"/>
          </w:tcPr>
          <w:p>
            <w:pPr>
              <w:spacing w:after="0"/>
              <w:rPr>
                <w:sz w:val="14"/>
                <w:szCs w:val="14"/>
                <w:color w:val="auto"/>
              </w:rPr>
            </w:pPr>
          </w:p>
        </w:tc>
        <w:tc>
          <w:tcPr>
            <w:tcW w:w="590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Lynch, Pierce, Fenner &amp; Smith Incorporated and Morgan Stanley</w:t>
            </w:r>
          </w:p>
        </w:tc>
      </w:tr>
      <w:tr>
        <w:trPr>
          <w:trHeight w:val="168"/>
        </w:trPr>
        <w:tc>
          <w:tcPr>
            <w:tcW w:w="1100" w:type="dxa"/>
            <w:vAlign w:val="bottom"/>
          </w:tcPr>
          <w:p>
            <w:pPr>
              <w:spacing w:after="0"/>
              <w:rPr>
                <w:sz w:val="14"/>
                <w:szCs w:val="14"/>
                <w:color w:val="auto"/>
              </w:rPr>
            </w:pPr>
          </w:p>
        </w:tc>
        <w:tc>
          <w:tcPr>
            <w:tcW w:w="590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Senior Funding, Inc., as Co-Documentation Agents.******</w:t>
            </w:r>
          </w:p>
        </w:tc>
      </w:tr>
      <w:tr>
        <w:trPr>
          <w:trHeight w:val="336"/>
        </w:trPr>
        <w:tc>
          <w:tcPr>
            <w:tcW w:w="1100" w:type="dxa"/>
            <w:vAlign w:val="bottom"/>
          </w:tcPr>
          <w:p>
            <w:pPr>
              <w:ind w:left="280"/>
              <w:spacing w:after="0"/>
              <w:rPr>
                <w:sz w:val="20"/>
                <w:szCs w:val="20"/>
                <w:color w:val="auto"/>
              </w:rPr>
            </w:pPr>
            <w:r>
              <w:rPr>
                <w:rFonts w:ascii="Courier New" w:cs="Courier New" w:eastAsia="Courier New" w:hAnsi="Courier New"/>
                <w:sz w:val="15"/>
                <w:szCs w:val="15"/>
                <w:color w:val="auto"/>
              </w:rPr>
              <w:t>4.3</w:t>
            </w:r>
          </w:p>
        </w:tc>
        <w:tc>
          <w:tcPr>
            <w:tcW w:w="5900" w:type="dxa"/>
            <w:vAlign w:val="bottom"/>
          </w:tcPr>
          <w:p>
            <w:pPr>
              <w:ind w:left="300"/>
              <w:spacing w:after="0"/>
              <w:rPr>
                <w:sz w:val="20"/>
                <w:szCs w:val="20"/>
                <w:color w:val="auto"/>
              </w:rPr>
            </w:pPr>
            <w:r>
              <w:rPr>
                <w:rFonts w:ascii="Courier New" w:cs="Courier New" w:eastAsia="Courier New" w:hAnsi="Courier New"/>
                <w:sz w:val="15"/>
                <w:szCs w:val="15"/>
                <w:color w:val="auto"/>
              </w:rPr>
              <w:t>Bridge Credit Agreement dated as of April 26, 2002 among</w:t>
            </w:r>
          </w:p>
        </w:tc>
      </w:tr>
      <w:tr>
        <w:trPr>
          <w:trHeight w:val="168"/>
        </w:trPr>
        <w:tc>
          <w:tcPr>
            <w:tcW w:w="1100" w:type="dxa"/>
            <w:vAlign w:val="bottom"/>
          </w:tcPr>
          <w:p>
            <w:pPr>
              <w:spacing w:after="0"/>
              <w:rPr>
                <w:sz w:val="14"/>
                <w:szCs w:val="14"/>
                <w:color w:val="auto"/>
              </w:rPr>
            </w:pPr>
          </w:p>
        </w:tc>
        <w:tc>
          <w:tcPr>
            <w:tcW w:w="590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Comcast Corporation (formerly known as AT&amp;T Comcast</w:t>
            </w:r>
          </w:p>
        </w:tc>
      </w:tr>
      <w:tr>
        <w:trPr>
          <w:trHeight w:val="168"/>
        </w:trPr>
        <w:tc>
          <w:tcPr>
            <w:tcW w:w="1100" w:type="dxa"/>
            <w:vAlign w:val="bottom"/>
          </w:tcPr>
          <w:p>
            <w:pPr>
              <w:spacing w:after="0"/>
              <w:rPr>
                <w:sz w:val="14"/>
                <w:szCs w:val="14"/>
                <w:color w:val="auto"/>
              </w:rPr>
            </w:pPr>
          </w:p>
        </w:tc>
        <w:tc>
          <w:tcPr>
            <w:tcW w:w="590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Corporation), Comcast Cable Communications Holdings, Inc.</w:t>
            </w:r>
          </w:p>
        </w:tc>
      </w:tr>
      <w:tr>
        <w:trPr>
          <w:trHeight w:val="168"/>
        </w:trPr>
        <w:tc>
          <w:tcPr>
            <w:tcW w:w="1100" w:type="dxa"/>
            <w:vAlign w:val="bottom"/>
          </w:tcPr>
          <w:p>
            <w:pPr>
              <w:spacing w:after="0"/>
              <w:rPr>
                <w:sz w:val="14"/>
                <w:szCs w:val="14"/>
                <w:color w:val="auto"/>
              </w:rPr>
            </w:pPr>
          </w:p>
        </w:tc>
        <w:tc>
          <w:tcPr>
            <w:tcW w:w="590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(formerly known as AT&amp;T Broadband Corp.), the Financial</w:t>
            </w:r>
          </w:p>
        </w:tc>
      </w:tr>
      <w:tr>
        <w:trPr>
          <w:trHeight w:val="168"/>
        </w:trPr>
        <w:tc>
          <w:tcPr>
            <w:tcW w:w="1100" w:type="dxa"/>
            <w:vAlign w:val="bottom"/>
          </w:tcPr>
          <w:p>
            <w:pPr>
              <w:spacing w:after="0"/>
              <w:rPr>
                <w:sz w:val="14"/>
                <w:szCs w:val="14"/>
                <w:color w:val="auto"/>
              </w:rPr>
            </w:pPr>
          </w:p>
        </w:tc>
        <w:tc>
          <w:tcPr>
            <w:tcW w:w="590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Institutions party thereto, JP Morgan Chase Bank, as</w:t>
            </w:r>
          </w:p>
        </w:tc>
      </w:tr>
      <w:tr>
        <w:trPr>
          <w:trHeight w:val="168"/>
        </w:trPr>
        <w:tc>
          <w:tcPr>
            <w:tcW w:w="1100" w:type="dxa"/>
            <w:vAlign w:val="bottom"/>
          </w:tcPr>
          <w:p>
            <w:pPr>
              <w:spacing w:after="0"/>
              <w:rPr>
                <w:sz w:val="14"/>
                <w:szCs w:val="14"/>
                <w:color w:val="auto"/>
              </w:rPr>
            </w:pPr>
          </w:p>
        </w:tc>
        <w:tc>
          <w:tcPr>
            <w:tcW w:w="590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Administrative Agent, Swing Line Lender and Issuing Lender,</w:t>
            </w:r>
          </w:p>
        </w:tc>
      </w:tr>
      <w:tr>
        <w:trPr>
          <w:trHeight w:val="168"/>
        </w:trPr>
        <w:tc>
          <w:tcPr>
            <w:tcW w:w="1100" w:type="dxa"/>
            <w:vAlign w:val="bottom"/>
          </w:tcPr>
          <w:p>
            <w:pPr>
              <w:spacing w:after="0"/>
              <w:rPr>
                <w:sz w:val="14"/>
                <w:szCs w:val="14"/>
                <w:color w:val="auto"/>
              </w:rPr>
            </w:pPr>
          </w:p>
        </w:tc>
        <w:tc>
          <w:tcPr>
            <w:tcW w:w="590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Citibank, N.A., as Syndication Agent, and Bank of America,</w:t>
            </w:r>
          </w:p>
        </w:tc>
      </w:tr>
      <w:tr>
        <w:trPr>
          <w:trHeight w:val="168"/>
        </w:trPr>
        <w:tc>
          <w:tcPr>
            <w:tcW w:w="1100" w:type="dxa"/>
            <w:vAlign w:val="bottom"/>
          </w:tcPr>
          <w:p>
            <w:pPr>
              <w:spacing w:after="0"/>
              <w:rPr>
                <w:sz w:val="14"/>
                <w:szCs w:val="14"/>
                <w:color w:val="auto"/>
              </w:rPr>
            </w:pPr>
          </w:p>
        </w:tc>
        <w:tc>
          <w:tcPr>
            <w:tcW w:w="590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N.A., Merrill Lynch &amp; Co., Merrill Lynch, Pierce, Fenner &amp;</w:t>
            </w:r>
          </w:p>
        </w:tc>
      </w:tr>
      <w:tr>
        <w:trPr>
          <w:trHeight w:val="168"/>
        </w:trPr>
        <w:tc>
          <w:tcPr>
            <w:tcW w:w="1100" w:type="dxa"/>
            <w:vAlign w:val="bottom"/>
          </w:tcPr>
          <w:p>
            <w:pPr>
              <w:spacing w:after="0"/>
              <w:rPr>
                <w:sz w:val="14"/>
                <w:szCs w:val="14"/>
                <w:color w:val="auto"/>
              </w:rPr>
            </w:pPr>
          </w:p>
        </w:tc>
        <w:tc>
          <w:tcPr>
            <w:tcW w:w="590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w w:val="99"/>
              </w:rPr>
              <w:t>Smith Incorporated and Morgan Stanley Senior Funding, Inc., as</w:t>
            </w:r>
          </w:p>
        </w:tc>
      </w:tr>
      <w:tr>
        <w:trPr>
          <w:trHeight w:val="168"/>
        </w:trPr>
        <w:tc>
          <w:tcPr>
            <w:tcW w:w="1100" w:type="dxa"/>
            <w:vAlign w:val="bottom"/>
          </w:tcPr>
          <w:p>
            <w:pPr>
              <w:spacing w:after="0"/>
              <w:rPr>
                <w:sz w:val="14"/>
                <w:szCs w:val="14"/>
                <w:color w:val="auto"/>
              </w:rPr>
            </w:pPr>
          </w:p>
        </w:tc>
        <w:tc>
          <w:tcPr>
            <w:tcW w:w="590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Co-Documentation Agents.******</w:t>
            </w:r>
          </w:p>
        </w:tc>
      </w:tr>
      <w:tr>
        <w:trPr>
          <w:trHeight w:val="336"/>
        </w:trPr>
        <w:tc>
          <w:tcPr>
            <w:tcW w:w="1100" w:type="dxa"/>
            <w:vAlign w:val="bottom"/>
          </w:tcPr>
          <w:p>
            <w:pPr>
              <w:ind w:left="280"/>
              <w:spacing w:after="0"/>
              <w:rPr>
                <w:sz w:val="20"/>
                <w:szCs w:val="20"/>
                <w:color w:val="auto"/>
              </w:rPr>
            </w:pPr>
            <w:r>
              <w:rPr>
                <w:rFonts w:ascii="Courier New" w:cs="Courier New" w:eastAsia="Courier New" w:hAnsi="Courier New"/>
                <w:sz w:val="15"/>
                <w:szCs w:val="15"/>
                <w:color w:val="auto"/>
              </w:rPr>
              <w:t>4.4</w:t>
            </w:r>
          </w:p>
        </w:tc>
        <w:tc>
          <w:tcPr>
            <w:tcW w:w="5900" w:type="dxa"/>
            <w:vAlign w:val="bottom"/>
          </w:tcPr>
          <w:p>
            <w:pPr>
              <w:ind w:left="300"/>
              <w:spacing w:after="0"/>
              <w:rPr>
                <w:sz w:val="20"/>
                <w:szCs w:val="20"/>
                <w:color w:val="auto"/>
              </w:rPr>
            </w:pPr>
            <w:r>
              <w:rPr>
                <w:rFonts w:ascii="Courier New" w:cs="Courier New" w:eastAsia="Courier New" w:hAnsi="Courier New"/>
                <w:sz w:val="15"/>
                <w:szCs w:val="15"/>
                <w:color w:val="auto"/>
              </w:rPr>
              <w:t>Credit Agreement dated as of May 3, 2002 among Comcast Cable</w:t>
            </w:r>
          </w:p>
        </w:tc>
      </w:tr>
      <w:tr>
        <w:trPr>
          <w:trHeight w:val="168"/>
        </w:trPr>
        <w:tc>
          <w:tcPr>
            <w:tcW w:w="1100" w:type="dxa"/>
            <w:vAlign w:val="bottom"/>
          </w:tcPr>
          <w:p>
            <w:pPr>
              <w:spacing w:after="0"/>
              <w:rPr>
                <w:sz w:val="14"/>
                <w:szCs w:val="14"/>
                <w:color w:val="auto"/>
              </w:rPr>
            </w:pPr>
          </w:p>
        </w:tc>
        <w:tc>
          <w:tcPr>
            <w:tcW w:w="590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w w:val="98"/>
              </w:rPr>
              <w:t>Communications Holdings, Inc. (formerly known as AT&amp;T Broadband</w:t>
            </w:r>
          </w:p>
        </w:tc>
      </w:tr>
      <w:tr>
        <w:trPr>
          <w:trHeight w:val="168"/>
        </w:trPr>
        <w:tc>
          <w:tcPr>
            <w:tcW w:w="1100" w:type="dxa"/>
            <w:vAlign w:val="bottom"/>
          </w:tcPr>
          <w:p>
            <w:pPr>
              <w:spacing w:after="0"/>
              <w:rPr>
                <w:sz w:val="14"/>
                <w:szCs w:val="14"/>
                <w:color w:val="auto"/>
              </w:rPr>
            </w:pPr>
          </w:p>
        </w:tc>
        <w:tc>
          <w:tcPr>
            <w:tcW w:w="590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Corp.), Comcast Corporation (formerly known as AT&amp;T Comcast</w:t>
            </w:r>
          </w:p>
        </w:tc>
      </w:tr>
      <w:tr>
        <w:trPr>
          <w:trHeight w:val="168"/>
        </w:trPr>
        <w:tc>
          <w:tcPr>
            <w:tcW w:w="1100" w:type="dxa"/>
            <w:vAlign w:val="bottom"/>
          </w:tcPr>
          <w:p>
            <w:pPr>
              <w:spacing w:after="0"/>
              <w:rPr>
                <w:sz w:val="14"/>
                <w:szCs w:val="14"/>
                <w:color w:val="auto"/>
              </w:rPr>
            </w:pPr>
          </w:p>
        </w:tc>
        <w:tc>
          <w:tcPr>
            <w:tcW w:w="590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Corporation), the Financial Institutions party thereto, JP</w:t>
            </w:r>
          </w:p>
        </w:tc>
      </w:tr>
      <w:tr>
        <w:trPr>
          <w:trHeight w:val="168"/>
        </w:trPr>
        <w:tc>
          <w:tcPr>
            <w:tcW w:w="1100" w:type="dxa"/>
            <w:vAlign w:val="bottom"/>
          </w:tcPr>
          <w:p>
            <w:pPr>
              <w:spacing w:after="0"/>
              <w:rPr>
                <w:sz w:val="14"/>
                <w:szCs w:val="14"/>
                <w:color w:val="auto"/>
              </w:rPr>
            </w:pPr>
          </w:p>
        </w:tc>
        <w:tc>
          <w:tcPr>
            <w:tcW w:w="590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Morgan Chase Bank, as Administrative Agent, Citibank, N.A.,</w:t>
            </w:r>
          </w:p>
        </w:tc>
      </w:tr>
      <w:tr>
        <w:trPr>
          <w:trHeight w:val="168"/>
        </w:trPr>
        <w:tc>
          <w:tcPr>
            <w:tcW w:w="1100" w:type="dxa"/>
            <w:vAlign w:val="bottom"/>
          </w:tcPr>
          <w:p>
            <w:pPr>
              <w:spacing w:after="0"/>
              <w:rPr>
                <w:sz w:val="14"/>
                <w:szCs w:val="14"/>
                <w:color w:val="auto"/>
              </w:rPr>
            </w:pPr>
          </w:p>
        </w:tc>
        <w:tc>
          <w:tcPr>
            <w:tcW w:w="590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Bank of America, N.A., Merrill Lynch Capital Corporation and</w:t>
            </w:r>
          </w:p>
        </w:tc>
      </w:tr>
      <w:tr>
        <w:trPr>
          <w:trHeight w:val="168"/>
        </w:trPr>
        <w:tc>
          <w:tcPr>
            <w:tcW w:w="1100" w:type="dxa"/>
            <w:vAlign w:val="bottom"/>
          </w:tcPr>
          <w:p>
            <w:pPr>
              <w:spacing w:after="0"/>
              <w:rPr>
                <w:sz w:val="14"/>
                <w:szCs w:val="14"/>
                <w:color w:val="auto"/>
              </w:rPr>
            </w:pPr>
          </w:p>
        </w:tc>
        <w:tc>
          <w:tcPr>
            <w:tcW w:w="590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Morgan Stanley Senior Funding, Inc.******</w:t>
            </w:r>
          </w:p>
        </w:tc>
      </w:tr>
      <w:tr>
        <w:trPr>
          <w:trHeight w:val="336"/>
        </w:trPr>
        <w:tc>
          <w:tcPr>
            <w:tcW w:w="1100" w:type="dxa"/>
            <w:vAlign w:val="bottom"/>
          </w:tcPr>
          <w:p>
            <w:pPr>
              <w:ind w:left="280"/>
              <w:spacing w:after="0"/>
              <w:rPr>
                <w:sz w:val="20"/>
                <w:szCs w:val="20"/>
                <w:color w:val="auto"/>
              </w:rPr>
            </w:pPr>
            <w:r>
              <w:rPr>
                <w:rFonts w:ascii="Courier New" w:cs="Courier New" w:eastAsia="Courier New" w:hAnsi="Courier New"/>
                <w:sz w:val="15"/>
                <w:szCs w:val="15"/>
                <w:color w:val="auto"/>
              </w:rPr>
              <w:t>4.5</w:t>
            </w:r>
          </w:p>
        </w:tc>
        <w:tc>
          <w:tcPr>
            <w:tcW w:w="5900" w:type="dxa"/>
            <w:vAlign w:val="bottom"/>
          </w:tcPr>
          <w:p>
            <w:pPr>
              <w:ind w:left="300"/>
              <w:spacing w:after="0"/>
              <w:rPr>
                <w:sz w:val="20"/>
                <w:szCs w:val="20"/>
                <w:color w:val="auto"/>
              </w:rPr>
            </w:pPr>
            <w:r>
              <w:rPr>
                <w:rFonts w:ascii="Courier New" w:cs="Courier New" w:eastAsia="Courier New" w:hAnsi="Courier New"/>
                <w:sz w:val="15"/>
                <w:szCs w:val="15"/>
                <w:color w:val="auto"/>
              </w:rPr>
              <w:t>Form of Senior Indenture among the Company, the cable</w:t>
            </w:r>
          </w:p>
        </w:tc>
      </w:tr>
      <w:tr>
        <w:trPr>
          <w:trHeight w:val="168"/>
        </w:trPr>
        <w:tc>
          <w:tcPr>
            <w:tcW w:w="1100" w:type="dxa"/>
            <w:vAlign w:val="bottom"/>
          </w:tcPr>
          <w:p>
            <w:pPr>
              <w:spacing w:after="0"/>
              <w:rPr>
                <w:sz w:val="14"/>
                <w:szCs w:val="14"/>
                <w:color w:val="auto"/>
              </w:rPr>
            </w:pPr>
          </w:p>
        </w:tc>
        <w:tc>
          <w:tcPr>
            <w:tcW w:w="590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w w:val="99"/>
              </w:rPr>
              <w:t>guarantors party thereto and The Bank of New York, as Trustee.</w:t>
            </w:r>
          </w:p>
        </w:tc>
      </w:tr>
      <w:tr>
        <w:trPr>
          <w:trHeight w:val="336"/>
        </w:trPr>
        <w:tc>
          <w:tcPr>
            <w:tcW w:w="1100" w:type="dxa"/>
            <w:vAlign w:val="bottom"/>
          </w:tcPr>
          <w:p>
            <w:pPr>
              <w:ind w:left="280"/>
              <w:spacing w:after="0"/>
              <w:rPr>
                <w:sz w:val="20"/>
                <w:szCs w:val="20"/>
                <w:color w:val="auto"/>
              </w:rPr>
            </w:pPr>
            <w:r>
              <w:rPr>
                <w:rFonts w:ascii="Courier New" w:cs="Courier New" w:eastAsia="Courier New" w:hAnsi="Courier New"/>
                <w:sz w:val="15"/>
                <w:szCs w:val="15"/>
                <w:color w:val="auto"/>
              </w:rPr>
              <w:t>4.6</w:t>
            </w:r>
          </w:p>
        </w:tc>
        <w:tc>
          <w:tcPr>
            <w:tcW w:w="5900" w:type="dxa"/>
            <w:vAlign w:val="bottom"/>
          </w:tcPr>
          <w:p>
            <w:pPr>
              <w:ind w:left="300"/>
              <w:spacing w:after="0"/>
              <w:rPr>
                <w:sz w:val="20"/>
                <w:szCs w:val="20"/>
                <w:color w:val="auto"/>
              </w:rPr>
            </w:pPr>
            <w:r>
              <w:rPr>
                <w:rFonts w:ascii="Courier New" w:cs="Courier New" w:eastAsia="Courier New" w:hAnsi="Courier New"/>
                <w:sz w:val="15"/>
                <w:szCs w:val="15"/>
                <w:color w:val="auto"/>
              </w:rPr>
              <w:t>Form of Subordinated Indenture among the Company, the cable</w:t>
            </w:r>
          </w:p>
        </w:tc>
      </w:tr>
      <w:tr>
        <w:trPr>
          <w:trHeight w:val="168"/>
        </w:trPr>
        <w:tc>
          <w:tcPr>
            <w:tcW w:w="1100" w:type="dxa"/>
            <w:vAlign w:val="bottom"/>
          </w:tcPr>
          <w:p>
            <w:pPr>
              <w:spacing w:after="0"/>
              <w:rPr>
                <w:sz w:val="14"/>
                <w:szCs w:val="14"/>
                <w:color w:val="auto"/>
              </w:rPr>
            </w:pPr>
          </w:p>
        </w:tc>
        <w:tc>
          <w:tcPr>
            <w:tcW w:w="590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w w:val="99"/>
              </w:rPr>
              <w:t>guarantors party thereto and The Bank of New York, as Trustee.</w:t>
            </w:r>
          </w:p>
        </w:tc>
      </w:tr>
      <w:tr>
        <w:trPr>
          <w:trHeight w:val="336"/>
        </w:trPr>
        <w:tc>
          <w:tcPr>
            <w:tcW w:w="1100" w:type="dxa"/>
            <w:vAlign w:val="bottom"/>
          </w:tcPr>
          <w:p>
            <w:pPr>
              <w:ind w:left="280"/>
              <w:spacing w:after="0"/>
              <w:rPr>
                <w:sz w:val="20"/>
                <w:szCs w:val="20"/>
                <w:color w:val="auto"/>
              </w:rPr>
            </w:pPr>
            <w:r>
              <w:rPr>
                <w:rFonts w:ascii="Courier New" w:cs="Courier New" w:eastAsia="Courier New" w:hAnsi="Courier New"/>
                <w:sz w:val="15"/>
                <w:szCs w:val="15"/>
                <w:color w:val="auto"/>
              </w:rPr>
              <w:t>4.7</w:t>
            </w:r>
          </w:p>
        </w:tc>
        <w:tc>
          <w:tcPr>
            <w:tcW w:w="5900" w:type="dxa"/>
            <w:vAlign w:val="bottom"/>
          </w:tcPr>
          <w:p>
            <w:pPr>
              <w:ind w:left="300"/>
              <w:spacing w:after="0"/>
              <w:rPr>
                <w:sz w:val="20"/>
                <w:szCs w:val="20"/>
                <w:color w:val="auto"/>
              </w:rPr>
            </w:pPr>
            <w:r>
              <w:rPr>
                <w:rFonts w:ascii="Courier New" w:cs="Courier New" w:eastAsia="Courier New" w:hAnsi="Courier New"/>
                <w:sz w:val="15"/>
                <w:szCs w:val="15"/>
                <w:color w:val="auto"/>
              </w:rPr>
              <w:t>Form of Senior Debt Security.</w:t>
            </w:r>
          </w:p>
        </w:tc>
      </w:tr>
      <w:tr>
        <w:trPr>
          <w:trHeight w:val="336"/>
        </w:trPr>
        <w:tc>
          <w:tcPr>
            <w:tcW w:w="1100" w:type="dxa"/>
            <w:vAlign w:val="bottom"/>
          </w:tcPr>
          <w:p>
            <w:pPr>
              <w:ind w:left="280"/>
              <w:spacing w:after="0"/>
              <w:rPr>
                <w:sz w:val="20"/>
                <w:szCs w:val="20"/>
                <w:color w:val="auto"/>
              </w:rPr>
            </w:pPr>
            <w:r>
              <w:rPr>
                <w:rFonts w:ascii="Courier New" w:cs="Courier New" w:eastAsia="Courier New" w:hAnsi="Courier New"/>
                <w:sz w:val="15"/>
                <w:szCs w:val="15"/>
                <w:color w:val="auto"/>
              </w:rPr>
              <w:t>4.8</w:t>
            </w:r>
          </w:p>
        </w:tc>
        <w:tc>
          <w:tcPr>
            <w:tcW w:w="5900" w:type="dxa"/>
            <w:vAlign w:val="bottom"/>
          </w:tcPr>
          <w:p>
            <w:pPr>
              <w:ind w:left="300"/>
              <w:spacing w:after="0"/>
              <w:rPr>
                <w:sz w:val="20"/>
                <w:szCs w:val="20"/>
                <w:color w:val="auto"/>
              </w:rPr>
            </w:pPr>
            <w:r>
              <w:rPr>
                <w:rFonts w:ascii="Courier New" w:cs="Courier New" w:eastAsia="Courier New" w:hAnsi="Courier New"/>
                <w:sz w:val="15"/>
                <w:szCs w:val="15"/>
                <w:color w:val="auto"/>
              </w:rPr>
              <w:t>Form of Subordinated Debt Security.</w:t>
            </w:r>
          </w:p>
        </w:tc>
      </w:tr>
      <w:tr>
        <w:trPr>
          <w:trHeight w:val="336"/>
        </w:trPr>
        <w:tc>
          <w:tcPr>
            <w:tcW w:w="1100" w:type="dxa"/>
            <w:vAlign w:val="bottom"/>
          </w:tcPr>
          <w:p>
            <w:pPr>
              <w:ind w:left="280"/>
              <w:spacing w:after="0"/>
              <w:rPr>
                <w:sz w:val="20"/>
                <w:szCs w:val="20"/>
                <w:color w:val="auto"/>
              </w:rPr>
            </w:pPr>
            <w:r>
              <w:rPr>
                <w:rFonts w:ascii="Courier New" w:cs="Courier New" w:eastAsia="Courier New" w:hAnsi="Courier New"/>
                <w:sz w:val="15"/>
                <w:szCs w:val="15"/>
                <w:color w:val="auto"/>
              </w:rPr>
              <w:t>4.9</w:t>
            </w:r>
          </w:p>
        </w:tc>
        <w:tc>
          <w:tcPr>
            <w:tcW w:w="5900" w:type="dxa"/>
            <w:vAlign w:val="bottom"/>
          </w:tcPr>
          <w:p>
            <w:pPr>
              <w:ind w:left="300"/>
              <w:spacing w:after="0"/>
              <w:rPr>
                <w:sz w:val="20"/>
                <w:szCs w:val="20"/>
                <w:color w:val="auto"/>
              </w:rPr>
            </w:pPr>
            <w:r>
              <w:rPr>
                <w:rFonts w:ascii="Courier New" w:cs="Courier New" w:eastAsia="Courier New" w:hAnsi="Courier New"/>
                <w:sz w:val="15"/>
                <w:szCs w:val="15"/>
                <w:color w:val="auto"/>
              </w:rPr>
              <w:t>Form of Purchase Contract Agreement relating to Purchase</w:t>
            </w:r>
          </w:p>
        </w:tc>
      </w:tr>
      <w:tr>
        <w:trPr>
          <w:trHeight w:val="168"/>
        </w:trPr>
        <w:tc>
          <w:tcPr>
            <w:tcW w:w="1100" w:type="dxa"/>
            <w:vAlign w:val="bottom"/>
          </w:tcPr>
          <w:p>
            <w:pPr>
              <w:spacing w:after="0"/>
              <w:rPr>
                <w:sz w:val="14"/>
                <w:szCs w:val="14"/>
                <w:color w:val="auto"/>
              </w:rPr>
            </w:pPr>
          </w:p>
        </w:tc>
        <w:tc>
          <w:tcPr>
            <w:tcW w:w="590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Contracts (to be included in Exhibit 4.10).</w:t>
            </w:r>
          </w:p>
        </w:tc>
      </w:tr>
      <w:tr>
        <w:trPr>
          <w:trHeight w:val="336"/>
        </w:trPr>
        <w:tc>
          <w:tcPr>
            <w:tcW w:w="1100" w:type="dxa"/>
            <w:vAlign w:val="bottom"/>
          </w:tcPr>
          <w:p>
            <w:pPr>
              <w:ind w:left="280"/>
              <w:spacing w:after="0"/>
              <w:rPr>
                <w:sz w:val="20"/>
                <w:szCs w:val="20"/>
                <w:color w:val="auto"/>
              </w:rPr>
            </w:pPr>
            <w:r>
              <w:rPr>
                <w:rFonts w:ascii="Courier New" w:cs="Courier New" w:eastAsia="Courier New" w:hAnsi="Courier New"/>
                <w:sz w:val="15"/>
                <w:szCs w:val="15"/>
                <w:color w:val="auto"/>
              </w:rPr>
              <w:t>4.10</w:t>
            </w:r>
          </w:p>
        </w:tc>
        <w:tc>
          <w:tcPr>
            <w:tcW w:w="5900" w:type="dxa"/>
            <w:vAlign w:val="bottom"/>
          </w:tcPr>
          <w:p>
            <w:pPr>
              <w:ind w:left="300"/>
              <w:spacing w:after="0"/>
              <w:rPr>
                <w:sz w:val="20"/>
                <w:szCs w:val="20"/>
                <w:color w:val="auto"/>
              </w:rPr>
            </w:pPr>
            <w:r>
              <w:rPr>
                <w:rFonts w:ascii="Courier New" w:cs="Courier New" w:eastAsia="Courier New" w:hAnsi="Courier New"/>
                <w:sz w:val="15"/>
                <w:szCs w:val="15"/>
                <w:color w:val="auto"/>
              </w:rPr>
              <w:t>Form of Unit Agreement.*</w:t>
            </w:r>
          </w:p>
        </w:tc>
      </w:tr>
      <w:tr>
        <w:trPr>
          <w:trHeight w:val="336"/>
        </w:trPr>
        <w:tc>
          <w:tcPr>
            <w:tcW w:w="1100" w:type="dxa"/>
            <w:vAlign w:val="bottom"/>
          </w:tcPr>
          <w:p>
            <w:pPr>
              <w:ind w:left="280"/>
              <w:spacing w:after="0"/>
              <w:rPr>
                <w:sz w:val="20"/>
                <w:szCs w:val="20"/>
                <w:color w:val="auto"/>
              </w:rPr>
            </w:pPr>
            <w:r>
              <w:rPr>
                <w:rFonts w:ascii="Courier New" w:cs="Courier New" w:eastAsia="Courier New" w:hAnsi="Courier New"/>
                <w:sz w:val="15"/>
                <w:szCs w:val="15"/>
                <w:color w:val="auto"/>
              </w:rPr>
              <w:t>4.11</w:t>
            </w:r>
          </w:p>
        </w:tc>
        <w:tc>
          <w:tcPr>
            <w:tcW w:w="5900" w:type="dxa"/>
            <w:vAlign w:val="bottom"/>
          </w:tcPr>
          <w:p>
            <w:pPr>
              <w:ind w:left="300"/>
              <w:spacing w:after="0"/>
              <w:rPr>
                <w:sz w:val="20"/>
                <w:szCs w:val="20"/>
                <w:color w:val="auto"/>
              </w:rPr>
            </w:pPr>
            <w:r>
              <w:rPr>
                <w:rFonts w:ascii="Courier New" w:cs="Courier New" w:eastAsia="Courier New" w:hAnsi="Courier New"/>
                <w:sz w:val="15"/>
                <w:szCs w:val="15"/>
                <w:color w:val="auto"/>
              </w:rPr>
              <w:t>Form of Warrant Agreement for Warrants sold separately.*</w:t>
            </w:r>
          </w:p>
        </w:tc>
      </w:tr>
      <w:tr>
        <w:trPr>
          <w:trHeight w:val="336"/>
        </w:trPr>
        <w:tc>
          <w:tcPr>
            <w:tcW w:w="1100" w:type="dxa"/>
            <w:vAlign w:val="bottom"/>
          </w:tcPr>
          <w:p>
            <w:pPr>
              <w:ind w:left="280"/>
              <w:spacing w:after="0"/>
              <w:rPr>
                <w:sz w:val="20"/>
                <w:szCs w:val="20"/>
                <w:color w:val="auto"/>
              </w:rPr>
            </w:pPr>
            <w:r>
              <w:rPr>
                <w:rFonts w:ascii="Courier New" w:cs="Courier New" w:eastAsia="Courier New" w:hAnsi="Courier New"/>
                <w:sz w:val="15"/>
                <w:szCs w:val="15"/>
                <w:color w:val="auto"/>
              </w:rPr>
              <w:t>4.12</w:t>
            </w:r>
          </w:p>
        </w:tc>
        <w:tc>
          <w:tcPr>
            <w:tcW w:w="5900" w:type="dxa"/>
            <w:vAlign w:val="bottom"/>
          </w:tcPr>
          <w:p>
            <w:pPr>
              <w:ind w:left="300"/>
              <w:spacing w:after="0"/>
              <w:rPr>
                <w:sz w:val="20"/>
                <w:szCs w:val="20"/>
                <w:color w:val="auto"/>
              </w:rPr>
            </w:pPr>
            <w:r>
              <w:rPr>
                <w:rFonts w:ascii="Courier New" w:cs="Courier New" w:eastAsia="Courier New" w:hAnsi="Courier New"/>
                <w:sz w:val="15"/>
                <w:szCs w:val="15"/>
                <w:color w:val="auto"/>
                <w:w w:val="98"/>
              </w:rPr>
              <w:t>Form of Warrant for Warrants sold separately (to be included in</w:t>
            </w:r>
          </w:p>
        </w:tc>
      </w:tr>
      <w:tr>
        <w:trPr>
          <w:trHeight w:val="168"/>
        </w:trPr>
        <w:tc>
          <w:tcPr>
            <w:tcW w:w="1100" w:type="dxa"/>
            <w:vAlign w:val="bottom"/>
          </w:tcPr>
          <w:p>
            <w:pPr>
              <w:spacing w:after="0"/>
              <w:rPr>
                <w:sz w:val="14"/>
                <w:szCs w:val="14"/>
                <w:color w:val="auto"/>
              </w:rPr>
            </w:pPr>
          </w:p>
        </w:tc>
        <w:tc>
          <w:tcPr>
            <w:tcW w:w="590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Exhibit 4.11).</w:t>
            </w:r>
          </w:p>
        </w:tc>
      </w:tr>
      <w:tr>
        <w:trPr>
          <w:trHeight w:val="336"/>
        </w:trPr>
        <w:tc>
          <w:tcPr>
            <w:tcW w:w="1100" w:type="dxa"/>
            <w:vAlign w:val="bottom"/>
          </w:tcPr>
          <w:p>
            <w:pPr>
              <w:ind w:left="280"/>
              <w:spacing w:after="0"/>
              <w:rPr>
                <w:sz w:val="20"/>
                <w:szCs w:val="20"/>
                <w:color w:val="auto"/>
              </w:rPr>
            </w:pPr>
            <w:r>
              <w:rPr>
                <w:rFonts w:ascii="Courier New" w:cs="Courier New" w:eastAsia="Courier New" w:hAnsi="Courier New"/>
                <w:sz w:val="15"/>
                <w:szCs w:val="15"/>
                <w:color w:val="auto"/>
              </w:rPr>
              <w:t>4.13</w:t>
            </w:r>
          </w:p>
        </w:tc>
        <w:tc>
          <w:tcPr>
            <w:tcW w:w="5900" w:type="dxa"/>
            <w:vAlign w:val="bottom"/>
          </w:tcPr>
          <w:p>
            <w:pPr>
              <w:ind w:left="300"/>
              <w:spacing w:after="0"/>
              <w:rPr>
                <w:sz w:val="20"/>
                <w:szCs w:val="20"/>
                <w:color w:val="auto"/>
              </w:rPr>
            </w:pPr>
            <w:r>
              <w:rPr>
                <w:rFonts w:ascii="Courier New" w:cs="Courier New" w:eastAsia="Courier New" w:hAnsi="Courier New"/>
                <w:sz w:val="15"/>
                <w:szCs w:val="15"/>
                <w:color w:val="auto"/>
              </w:rPr>
              <w:t>Form of Warrant Agreement for Warrants sold attached to other</w:t>
            </w:r>
          </w:p>
        </w:tc>
      </w:tr>
      <w:tr>
        <w:trPr>
          <w:trHeight w:val="168"/>
        </w:trPr>
        <w:tc>
          <w:tcPr>
            <w:tcW w:w="1100" w:type="dxa"/>
            <w:vAlign w:val="bottom"/>
          </w:tcPr>
          <w:p>
            <w:pPr>
              <w:spacing w:after="0"/>
              <w:rPr>
                <w:sz w:val="14"/>
                <w:szCs w:val="14"/>
                <w:color w:val="auto"/>
              </w:rPr>
            </w:pPr>
          </w:p>
        </w:tc>
        <w:tc>
          <w:tcPr>
            <w:tcW w:w="590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Securities.*</w:t>
            </w:r>
          </w:p>
        </w:tc>
      </w:tr>
      <w:tr>
        <w:trPr>
          <w:trHeight w:val="336"/>
        </w:trPr>
        <w:tc>
          <w:tcPr>
            <w:tcW w:w="1100" w:type="dxa"/>
            <w:vAlign w:val="bottom"/>
          </w:tcPr>
          <w:p>
            <w:pPr>
              <w:ind w:left="280"/>
              <w:spacing w:after="0"/>
              <w:rPr>
                <w:sz w:val="20"/>
                <w:szCs w:val="20"/>
                <w:color w:val="auto"/>
              </w:rPr>
            </w:pPr>
            <w:r>
              <w:rPr>
                <w:rFonts w:ascii="Courier New" w:cs="Courier New" w:eastAsia="Courier New" w:hAnsi="Courier New"/>
                <w:sz w:val="15"/>
                <w:szCs w:val="15"/>
                <w:color w:val="auto"/>
              </w:rPr>
              <w:t>4.14</w:t>
            </w:r>
          </w:p>
        </w:tc>
        <w:tc>
          <w:tcPr>
            <w:tcW w:w="5900" w:type="dxa"/>
            <w:vAlign w:val="bottom"/>
          </w:tcPr>
          <w:p>
            <w:pPr>
              <w:ind w:left="300"/>
              <w:spacing w:after="0"/>
              <w:rPr>
                <w:sz w:val="20"/>
                <w:szCs w:val="20"/>
                <w:color w:val="auto"/>
              </w:rPr>
            </w:pPr>
            <w:r>
              <w:rPr>
                <w:rFonts w:ascii="Courier New" w:cs="Courier New" w:eastAsia="Courier New" w:hAnsi="Courier New"/>
                <w:sz w:val="15"/>
                <w:szCs w:val="15"/>
                <w:color w:val="auto"/>
                <w:w w:val="99"/>
              </w:rPr>
              <w:t>Form of Warrant for Warrants sold attached to other Securities</w:t>
            </w:r>
          </w:p>
        </w:tc>
      </w:tr>
      <w:tr>
        <w:trPr>
          <w:trHeight w:val="168"/>
        </w:trPr>
        <w:tc>
          <w:tcPr>
            <w:tcW w:w="1100" w:type="dxa"/>
            <w:vAlign w:val="bottom"/>
          </w:tcPr>
          <w:p>
            <w:pPr>
              <w:spacing w:after="0"/>
              <w:rPr>
                <w:sz w:val="14"/>
                <w:szCs w:val="14"/>
                <w:color w:val="auto"/>
              </w:rPr>
            </w:pPr>
          </w:p>
        </w:tc>
        <w:tc>
          <w:tcPr>
            <w:tcW w:w="590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(to be included in Exhibit 4.13).</w:t>
            </w:r>
          </w:p>
        </w:tc>
      </w:tr>
      <w:tr>
        <w:trPr>
          <w:trHeight w:val="336"/>
        </w:trPr>
        <w:tc>
          <w:tcPr>
            <w:tcW w:w="1100" w:type="dxa"/>
            <w:vAlign w:val="bottom"/>
          </w:tcPr>
          <w:p>
            <w:pPr>
              <w:ind w:left="280"/>
              <w:spacing w:after="0"/>
              <w:rPr>
                <w:sz w:val="20"/>
                <w:szCs w:val="20"/>
                <w:color w:val="auto"/>
              </w:rPr>
            </w:pPr>
            <w:r>
              <w:rPr>
                <w:rFonts w:ascii="Courier New" w:cs="Courier New" w:eastAsia="Courier New" w:hAnsi="Courier New"/>
                <w:sz w:val="15"/>
                <w:szCs w:val="15"/>
                <w:color w:val="auto"/>
              </w:rPr>
              <w:t>4.15</w:t>
            </w:r>
          </w:p>
        </w:tc>
        <w:tc>
          <w:tcPr>
            <w:tcW w:w="5900" w:type="dxa"/>
            <w:vAlign w:val="bottom"/>
          </w:tcPr>
          <w:p>
            <w:pPr>
              <w:ind w:left="300"/>
              <w:spacing w:after="0"/>
              <w:rPr>
                <w:sz w:val="20"/>
                <w:szCs w:val="20"/>
                <w:color w:val="auto"/>
              </w:rPr>
            </w:pPr>
            <w:r>
              <w:rPr>
                <w:rFonts w:ascii="Courier New" w:cs="Courier New" w:eastAsia="Courier New" w:hAnsi="Courier New"/>
                <w:sz w:val="15"/>
                <w:szCs w:val="15"/>
                <w:color w:val="auto"/>
              </w:rPr>
              <w:t>Form of Pledge Agreement.*</w:t>
            </w:r>
          </w:p>
        </w:tc>
      </w:tr>
      <w:tr>
        <w:trPr>
          <w:trHeight w:val="336"/>
        </w:trPr>
        <w:tc>
          <w:tcPr>
            <w:tcW w:w="1100" w:type="dxa"/>
            <w:vAlign w:val="bottom"/>
          </w:tcPr>
          <w:p>
            <w:pPr>
              <w:ind w:left="280"/>
              <w:spacing w:after="0"/>
              <w:rPr>
                <w:sz w:val="20"/>
                <w:szCs w:val="20"/>
                <w:color w:val="auto"/>
              </w:rPr>
            </w:pPr>
            <w:r>
              <w:rPr>
                <w:rFonts w:ascii="Courier New" w:cs="Courier New" w:eastAsia="Courier New" w:hAnsi="Courier New"/>
                <w:sz w:val="15"/>
                <w:szCs w:val="15"/>
                <w:color w:val="auto"/>
              </w:rPr>
              <w:t>4.16</w:t>
            </w:r>
          </w:p>
        </w:tc>
        <w:tc>
          <w:tcPr>
            <w:tcW w:w="5900" w:type="dxa"/>
            <w:vAlign w:val="bottom"/>
          </w:tcPr>
          <w:p>
            <w:pPr>
              <w:ind w:left="300"/>
              <w:spacing w:after="0"/>
              <w:rPr>
                <w:sz w:val="20"/>
                <w:szCs w:val="20"/>
                <w:color w:val="auto"/>
              </w:rPr>
            </w:pPr>
            <w:r>
              <w:rPr>
                <w:rFonts w:ascii="Courier New" w:cs="Courier New" w:eastAsia="Courier New" w:hAnsi="Courier New"/>
                <w:sz w:val="15"/>
                <w:szCs w:val="15"/>
                <w:color w:val="auto"/>
              </w:rPr>
              <w:t>Form of Deposit Agreement.</w:t>
            </w:r>
          </w:p>
        </w:tc>
      </w:tr>
      <w:tr>
        <w:trPr>
          <w:trHeight w:val="336"/>
        </w:trPr>
        <w:tc>
          <w:tcPr>
            <w:tcW w:w="1100" w:type="dxa"/>
            <w:vAlign w:val="bottom"/>
          </w:tcPr>
          <w:p>
            <w:pPr>
              <w:ind w:left="280"/>
              <w:spacing w:after="0"/>
              <w:rPr>
                <w:sz w:val="20"/>
                <w:szCs w:val="20"/>
                <w:color w:val="auto"/>
              </w:rPr>
            </w:pPr>
            <w:r>
              <w:rPr>
                <w:rFonts w:ascii="Courier New" w:cs="Courier New" w:eastAsia="Courier New" w:hAnsi="Courier New"/>
                <w:sz w:val="15"/>
                <w:szCs w:val="15"/>
                <w:color w:val="auto"/>
              </w:rPr>
              <w:t>4.17</w:t>
            </w:r>
          </w:p>
        </w:tc>
        <w:tc>
          <w:tcPr>
            <w:tcW w:w="5900" w:type="dxa"/>
            <w:vAlign w:val="bottom"/>
          </w:tcPr>
          <w:p>
            <w:pPr>
              <w:ind w:left="300"/>
              <w:spacing w:after="0"/>
              <w:rPr>
                <w:sz w:val="20"/>
                <w:szCs w:val="20"/>
                <w:color w:val="auto"/>
              </w:rPr>
            </w:pPr>
            <w:r>
              <w:rPr>
                <w:rFonts w:ascii="Courier New" w:cs="Courier New" w:eastAsia="Courier New" w:hAnsi="Courier New"/>
                <w:sz w:val="15"/>
                <w:szCs w:val="15"/>
                <w:color w:val="auto"/>
              </w:rPr>
              <w:t>Form of Depositary Share (included in Exhibit 4.16).</w:t>
            </w:r>
          </w:p>
        </w:tc>
      </w:tr>
    </w:tbl>
    <w:p>
      <w:pPr>
        <w:spacing w:after="0" w:line="33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II-7</w:t>
      </w:r>
    </w:p>
    <w:p>
      <w:pPr>
        <w:sectPr>
          <w:pgSz w:w="11900" w:h="16838" w:orient="portrait"/>
          <w:cols w:equalWidth="0" w:num="1">
            <w:col w:w="10239"/>
          </w:cols>
          <w:pgMar w:left="220" w:top="785" w:right="1440" w:bottom="1440" w:gutter="0" w:footer="0" w:header="0"/>
        </w:sectPr>
      </w:pPr>
    </w:p>
    <w:bookmarkStart w:id="63" w:name="page64"/>
    <w:bookmarkEnd w:id="63"/>
    <w:tbl>
      <w:tblPr>
        <w:tblLayout w:type="fixed"/>
        <w:tblInd w:w="0" w:type="dxa"/>
        <w:tblCellMar>
          <w:top w:w="0" w:type="dxa"/>
          <w:left w:w="0" w:type="dxa"/>
          <w:bottom w:w="0" w:type="dxa"/>
          <w:right w:w="0" w:type="dxa"/>
        </w:tblCellMar>
      </w:tblPr>
      <w:tr>
        <w:trPr>
          <w:trHeight w:val="170"/>
        </w:trPr>
        <w:tc>
          <w:tcPr>
            <w:tcW w:w="1100" w:type="dxa"/>
            <w:vAlign w:val="bottom"/>
          </w:tcPr>
          <w:p>
            <w:pPr>
              <w:spacing w:after="0"/>
              <w:rPr>
                <w:sz w:val="20"/>
                <w:szCs w:val="20"/>
                <w:color w:val="auto"/>
              </w:rPr>
            </w:pPr>
            <w:r>
              <w:rPr>
                <w:rFonts w:ascii="Courier New" w:cs="Courier New" w:eastAsia="Courier New" w:hAnsi="Courier New"/>
                <w:sz w:val="15"/>
                <w:szCs w:val="15"/>
                <w:color w:val="auto"/>
              </w:rPr>
              <w:t>Exhibit</w:t>
            </w:r>
          </w:p>
        </w:tc>
        <w:tc>
          <w:tcPr>
            <w:tcW w:w="5820" w:type="dxa"/>
            <w:vAlign w:val="bottom"/>
          </w:tcPr>
          <w:p>
            <w:pPr>
              <w:spacing w:after="0"/>
              <w:rPr>
                <w:sz w:val="14"/>
                <w:szCs w:val="14"/>
                <w:color w:val="auto"/>
              </w:rPr>
            </w:pPr>
          </w:p>
        </w:tc>
      </w:tr>
      <w:tr>
        <w:trPr>
          <w:trHeight w:val="168"/>
        </w:trPr>
        <w:tc>
          <w:tcPr>
            <w:tcW w:w="1100" w:type="dxa"/>
            <w:vAlign w:val="bottom"/>
          </w:tcPr>
          <w:p>
            <w:pPr>
              <w:spacing w:after="0" w:line="168" w:lineRule="exact"/>
              <w:rPr>
                <w:sz w:val="20"/>
                <w:szCs w:val="20"/>
                <w:color w:val="auto"/>
              </w:rPr>
            </w:pPr>
            <w:r>
              <w:rPr>
                <w:rFonts w:ascii="Courier New" w:cs="Courier New" w:eastAsia="Courier New" w:hAnsi="Courier New"/>
                <w:sz w:val="15"/>
                <w:szCs w:val="15"/>
                <w:color w:val="auto"/>
              </w:rPr>
              <w:t>Number</w:t>
            </w:r>
          </w:p>
        </w:tc>
        <w:tc>
          <w:tcPr>
            <w:tcW w:w="582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Description</w:t>
            </w:r>
          </w:p>
        </w:tc>
      </w:tr>
      <w:tr>
        <w:trPr>
          <w:trHeight w:val="168"/>
        </w:trPr>
        <w:tc>
          <w:tcPr>
            <w:tcW w:w="110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582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1100" w:type="dxa"/>
            <w:vAlign w:val="bottom"/>
          </w:tcPr>
          <w:p>
            <w:pPr>
              <w:ind w:left="280"/>
              <w:spacing w:after="0"/>
              <w:rPr>
                <w:sz w:val="20"/>
                <w:szCs w:val="20"/>
                <w:color w:val="auto"/>
              </w:rPr>
            </w:pPr>
            <w:r>
              <w:rPr>
                <w:rFonts w:ascii="Courier New" w:cs="Courier New" w:eastAsia="Courier New" w:hAnsi="Courier New"/>
                <w:sz w:val="15"/>
                <w:szCs w:val="15"/>
                <w:color w:val="auto"/>
              </w:rPr>
              <w:t>4.18</w:t>
            </w:r>
          </w:p>
        </w:tc>
        <w:tc>
          <w:tcPr>
            <w:tcW w:w="5820" w:type="dxa"/>
            <w:vAlign w:val="bottom"/>
          </w:tcPr>
          <w:p>
            <w:pPr>
              <w:ind w:left="300"/>
              <w:spacing w:after="0"/>
              <w:rPr>
                <w:sz w:val="20"/>
                <w:szCs w:val="20"/>
                <w:color w:val="auto"/>
              </w:rPr>
            </w:pPr>
            <w:r>
              <w:rPr>
                <w:rFonts w:ascii="Courier New" w:cs="Courier New" w:eastAsia="Courier New" w:hAnsi="Courier New"/>
                <w:sz w:val="15"/>
                <w:szCs w:val="15"/>
                <w:color w:val="auto"/>
              </w:rPr>
              <w:t>Form of Guarantee (Warrants, Purchase Contracts and Units).*</w:t>
            </w:r>
          </w:p>
        </w:tc>
      </w:tr>
      <w:tr>
        <w:trPr>
          <w:trHeight w:val="336"/>
        </w:trPr>
        <w:tc>
          <w:tcPr>
            <w:tcW w:w="1100" w:type="dxa"/>
            <w:vAlign w:val="bottom"/>
          </w:tcPr>
          <w:p>
            <w:pPr>
              <w:ind w:left="280"/>
              <w:spacing w:after="0"/>
              <w:rPr>
                <w:sz w:val="20"/>
                <w:szCs w:val="20"/>
                <w:color w:val="auto"/>
              </w:rPr>
            </w:pPr>
            <w:r>
              <w:rPr>
                <w:rFonts w:ascii="Courier New" w:cs="Courier New" w:eastAsia="Courier New" w:hAnsi="Courier New"/>
                <w:sz w:val="15"/>
                <w:szCs w:val="15"/>
                <w:color w:val="auto"/>
              </w:rPr>
              <w:t>5.1</w:t>
            </w:r>
          </w:p>
        </w:tc>
        <w:tc>
          <w:tcPr>
            <w:tcW w:w="5820" w:type="dxa"/>
            <w:vAlign w:val="bottom"/>
          </w:tcPr>
          <w:p>
            <w:pPr>
              <w:ind w:left="300"/>
              <w:spacing w:after="0"/>
              <w:rPr>
                <w:sz w:val="20"/>
                <w:szCs w:val="20"/>
                <w:color w:val="auto"/>
              </w:rPr>
            </w:pPr>
            <w:r>
              <w:rPr>
                <w:rFonts w:ascii="Courier New" w:cs="Courier New" w:eastAsia="Courier New" w:hAnsi="Courier New"/>
                <w:sz w:val="15"/>
                <w:szCs w:val="15"/>
                <w:color w:val="auto"/>
              </w:rPr>
              <w:t>Opinion of Arthur R. Block, Esquire.*</w:t>
            </w:r>
          </w:p>
        </w:tc>
      </w:tr>
      <w:tr>
        <w:trPr>
          <w:trHeight w:val="336"/>
        </w:trPr>
        <w:tc>
          <w:tcPr>
            <w:tcW w:w="1100" w:type="dxa"/>
            <w:vAlign w:val="bottom"/>
          </w:tcPr>
          <w:p>
            <w:pPr>
              <w:ind w:left="280"/>
              <w:spacing w:after="0"/>
              <w:rPr>
                <w:sz w:val="20"/>
                <w:szCs w:val="20"/>
                <w:color w:val="auto"/>
              </w:rPr>
            </w:pPr>
            <w:r>
              <w:rPr>
                <w:rFonts w:ascii="Courier New" w:cs="Courier New" w:eastAsia="Courier New" w:hAnsi="Courier New"/>
                <w:sz w:val="15"/>
                <w:szCs w:val="15"/>
                <w:color w:val="auto"/>
              </w:rPr>
              <w:t>5.2</w:t>
            </w:r>
          </w:p>
        </w:tc>
        <w:tc>
          <w:tcPr>
            <w:tcW w:w="5820" w:type="dxa"/>
            <w:vAlign w:val="bottom"/>
          </w:tcPr>
          <w:p>
            <w:pPr>
              <w:ind w:left="300"/>
              <w:spacing w:after="0"/>
              <w:rPr>
                <w:sz w:val="20"/>
                <w:szCs w:val="20"/>
                <w:color w:val="auto"/>
              </w:rPr>
            </w:pPr>
            <w:r>
              <w:rPr>
                <w:rFonts w:ascii="Courier New" w:cs="Courier New" w:eastAsia="Courier New" w:hAnsi="Courier New"/>
                <w:sz w:val="15"/>
                <w:szCs w:val="15"/>
                <w:color w:val="auto"/>
              </w:rPr>
              <w:t>Opinion of Davis Polk &amp; Wardwell.*</w:t>
            </w:r>
          </w:p>
        </w:tc>
      </w:tr>
      <w:tr>
        <w:trPr>
          <w:trHeight w:val="336"/>
        </w:trPr>
        <w:tc>
          <w:tcPr>
            <w:tcW w:w="1100" w:type="dxa"/>
            <w:vAlign w:val="bottom"/>
          </w:tcPr>
          <w:p>
            <w:pPr>
              <w:ind w:left="280"/>
              <w:spacing w:after="0"/>
              <w:rPr>
                <w:sz w:val="20"/>
                <w:szCs w:val="20"/>
                <w:color w:val="auto"/>
              </w:rPr>
            </w:pPr>
            <w:r>
              <w:rPr>
                <w:rFonts w:ascii="Courier New" w:cs="Courier New" w:eastAsia="Courier New" w:hAnsi="Courier New"/>
                <w:sz w:val="15"/>
                <w:szCs w:val="15"/>
                <w:color w:val="auto"/>
              </w:rPr>
              <w:t>12.1</w:t>
            </w:r>
          </w:p>
        </w:tc>
        <w:tc>
          <w:tcPr>
            <w:tcW w:w="5820" w:type="dxa"/>
            <w:vAlign w:val="bottom"/>
          </w:tcPr>
          <w:p>
            <w:pPr>
              <w:ind w:left="300"/>
              <w:spacing w:after="0"/>
              <w:rPr>
                <w:sz w:val="20"/>
                <w:szCs w:val="20"/>
                <w:color w:val="auto"/>
              </w:rPr>
            </w:pPr>
            <w:r>
              <w:rPr>
                <w:rFonts w:ascii="Courier New" w:cs="Courier New" w:eastAsia="Courier New" w:hAnsi="Courier New"/>
                <w:sz w:val="15"/>
                <w:szCs w:val="15"/>
                <w:color w:val="auto"/>
              </w:rPr>
              <w:t>Statement Regarding Computation of Ratio of Earnings to Fixed</w:t>
            </w:r>
          </w:p>
        </w:tc>
      </w:tr>
      <w:tr>
        <w:trPr>
          <w:trHeight w:val="168"/>
        </w:trPr>
        <w:tc>
          <w:tcPr>
            <w:tcW w:w="1100" w:type="dxa"/>
            <w:vAlign w:val="bottom"/>
          </w:tcPr>
          <w:p>
            <w:pPr>
              <w:spacing w:after="0"/>
              <w:rPr>
                <w:sz w:val="14"/>
                <w:szCs w:val="14"/>
                <w:color w:val="auto"/>
              </w:rPr>
            </w:pPr>
          </w:p>
        </w:tc>
        <w:tc>
          <w:tcPr>
            <w:tcW w:w="582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Charges of Comcast Corporation.</w:t>
            </w:r>
          </w:p>
        </w:tc>
      </w:tr>
      <w:tr>
        <w:trPr>
          <w:trHeight w:val="336"/>
        </w:trPr>
        <w:tc>
          <w:tcPr>
            <w:tcW w:w="1100" w:type="dxa"/>
            <w:vAlign w:val="bottom"/>
          </w:tcPr>
          <w:p>
            <w:pPr>
              <w:ind w:left="280"/>
              <w:spacing w:after="0"/>
              <w:rPr>
                <w:sz w:val="20"/>
                <w:szCs w:val="20"/>
                <w:color w:val="auto"/>
              </w:rPr>
            </w:pPr>
            <w:r>
              <w:rPr>
                <w:rFonts w:ascii="Courier New" w:cs="Courier New" w:eastAsia="Courier New" w:hAnsi="Courier New"/>
                <w:sz w:val="15"/>
                <w:szCs w:val="15"/>
                <w:color w:val="auto"/>
              </w:rPr>
              <w:t>12.2</w:t>
            </w:r>
          </w:p>
        </w:tc>
        <w:tc>
          <w:tcPr>
            <w:tcW w:w="5820" w:type="dxa"/>
            <w:vAlign w:val="bottom"/>
          </w:tcPr>
          <w:p>
            <w:pPr>
              <w:ind w:left="300"/>
              <w:spacing w:after="0"/>
              <w:rPr>
                <w:sz w:val="20"/>
                <w:szCs w:val="20"/>
                <w:color w:val="auto"/>
              </w:rPr>
            </w:pPr>
            <w:r>
              <w:rPr>
                <w:rFonts w:ascii="Courier New" w:cs="Courier New" w:eastAsia="Courier New" w:hAnsi="Courier New"/>
                <w:sz w:val="15"/>
                <w:szCs w:val="15"/>
                <w:color w:val="auto"/>
              </w:rPr>
              <w:t>Statement Regarding Computation of Ratio of Earnings to Fixed</w:t>
            </w:r>
          </w:p>
        </w:tc>
      </w:tr>
      <w:tr>
        <w:trPr>
          <w:trHeight w:val="168"/>
        </w:trPr>
        <w:tc>
          <w:tcPr>
            <w:tcW w:w="1100" w:type="dxa"/>
            <w:vAlign w:val="bottom"/>
          </w:tcPr>
          <w:p>
            <w:pPr>
              <w:spacing w:after="0"/>
              <w:rPr>
                <w:sz w:val="14"/>
                <w:szCs w:val="14"/>
                <w:color w:val="auto"/>
              </w:rPr>
            </w:pPr>
          </w:p>
        </w:tc>
        <w:tc>
          <w:tcPr>
            <w:tcW w:w="582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Charges of Comcast Cable Communications, Inc.</w:t>
            </w:r>
          </w:p>
        </w:tc>
      </w:tr>
      <w:tr>
        <w:trPr>
          <w:trHeight w:val="336"/>
        </w:trPr>
        <w:tc>
          <w:tcPr>
            <w:tcW w:w="1100" w:type="dxa"/>
            <w:vAlign w:val="bottom"/>
          </w:tcPr>
          <w:p>
            <w:pPr>
              <w:ind w:left="280"/>
              <w:spacing w:after="0"/>
              <w:rPr>
                <w:sz w:val="20"/>
                <w:szCs w:val="20"/>
                <w:color w:val="auto"/>
              </w:rPr>
            </w:pPr>
            <w:r>
              <w:rPr>
                <w:rFonts w:ascii="Courier New" w:cs="Courier New" w:eastAsia="Courier New" w:hAnsi="Courier New"/>
                <w:sz w:val="15"/>
                <w:szCs w:val="15"/>
                <w:color w:val="auto"/>
              </w:rPr>
              <w:t>12.3</w:t>
            </w:r>
          </w:p>
        </w:tc>
        <w:tc>
          <w:tcPr>
            <w:tcW w:w="5820" w:type="dxa"/>
            <w:vAlign w:val="bottom"/>
          </w:tcPr>
          <w:p>
            <w:pPr>
              <w:ind w:left="300"/>
              <w:spacing w:after="0"/>
              <w:rPr>
                <w:sz w:val="20"/>
                <w:szCs w:val="20"/>
                <w:color w:val="auto"/>
              </w:rPr>
            </w:pPr>
            <w:r>
              <w:rPr>
                <w:rFonts w:ascii="Courier New" w:cs="Courier New" w:eastAsia="Courier New" w:hAnsi="Courier New"/>
                <w:sz w:val="15"/>
                <w:szCs w:val="15"/>
                <w:color w:val="auto"/>
              </w:rPr>
              <w:t>Statement Regarding Computation of Ratio of Earnings to Fixed</w:t>
            </w:r>
          </w:p>
        </w:tc>
      </w:tr>
      <w:tr>
        <w:trPr>
          <w:trHeight w:val="168"/>
        </w:trPr>
        <w:tc>
          <w:tcPr>
            <w:tcW w:w="1100" w:type="dxa"/>
            <w:vAlign w:val="bottom"/>
          </w:tcPr>
          <w:p>
            <w:pPr>
              <w:spacing w:after="0"/>
              <w:rPr>
                <w:sz w:val="14"/>
                <w:szCs w:val="14"/>
                <w:color w:val="auto"/>
              </w:rPr>
            </w:pPr>
          </w:p>
        </w:tc>
        <w:tc>
          <w:tcPr>
            <w:tcW w:w="582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Charges of Comcast Cable Communications Holdings, Inc.</w:t>
            </w:r>
          </w:p>
        </w:tc>
      </w:tr>
      <w:tr>
        <w:trPr>
          <w:trHeight w:val="336"/>
        </w:trPr>
        <w:tc>
          <w:tcPr>
            <w:tcW w:w="1100" w:type="dxa"/>
            <w:vAlign w:val="bottom"/>
          </w:tcPr>
          <w:p>
            <w:pPr>
              <w:ind w:left="280"/>
              <w:spacing w:after="0"/>
              <w:rPr>
                <w:sz w:val="20"/>
                <w:szCs w:val="20"/>
                <w:color w:val="auto"/>
              </w:rPr>
            </w:pPr>
            <w:r>
              <w:rPr>
                <w:rFonts w:ascii="Courier New" w:cs="Courier New" w:eastAsia="Courier New" w:hAnsi="Courier New"/>
                <w:sz w:val="15"/>
                <w:szCs w:val="15"/>
                <w:color w:val="auto"/>
              </w:rPr>
              <w:t>12.4</w:t>
            </w:r>
          </w:p>
        </w:tc>
        <w:tc>
          <w:tcPr>
            <w:tcW w:w="5820" w:type="dxa"/>
            <w:vAlign w:val="bottom"/>
          </w:tcPr>
          <w:p>
            <w:pPr>
              <w:ind w:left="300"/>
              <w:spacing w:after="0"/>
              <w:rPr>
                <w:sz w:val="20"/>
                <w:szCs w:val="20"/>
                <w:color w:val="auto"/>
              </w:rPr>
            </w:pPr>
            <w:r>
              <w:rPr>
                <w:rFonts w:ascii="Courier New" w:cs="Courier New" w:eastAsia="Courier New" w:hAnsi="Courier New"/>
                <w:sz w:val="15"/>
                <w:szCs w:val="15"/>
                <w:color w:val="auto"/>
              </w:rPr>
              <w:t>Statement Regarding Computation of Ratio of Earnings to Fixed</w:t>
            </w:r>
          </w:p>
        </w:tc>
      </w:tr>
      <w:tr>
        <w:trPr>
          <w:trHeight w:val="168"/>
        </w:trPr>
        <w:tc>
          <w:tcPr>
            <w:tcW w:w="1100" w:type="dxa"/>
            <w:vAlign w:val="bottom"/>
          </w:tcPr>
          <w:p>
            <w:pPr>
              <w:spacing w:after="0"/>
              <w:rPr>
                <w:sz w:val="14"/>
                <w:szCs w:val="14"/>
                <w:color w:val="auto"/>
              </w:rPr>
            </w:pPr>
          </w:p>
        </w:tc>
        <w:tc>
          <w:tcPr>
            <w:tcW w:w="582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Charges of Comcast Cable Holdings, LLC.</w:t>
            </w:r>
          </w:p>
        </w:tc>
      </w:tr>
      <w:tr>
        <w:trPr>
          <w:trHeight w:val="336"/>
        </w:trPr>
        <w:tc>
          <w:tcPr>
            <w:tcW w:w="1100" w:type="dxa"/>
            <w:vAlign w:val="bottom"/>
          </w:tcPr>
          <w:p>
            <w:pPr>
              <w:ind w:left="280"/>
              <w:spacing w:after="0"/>
              <w:rPr>
                <w:sz w:val="20"/>
                <w:szCs w:val="20"/>
                <w:color w:val="auto"/>
              </w:rPr>
            </w:pPr>
            <w:r>
              <w:rPr>
                <w:rFonts w:ascii="Courier New" w:cs="Courier New" w:eastAsia="Courier New" w:hAnsi="Courier New"/>
                <w:sz w:val="15"/>
                <w:szCs w:val="15"/>
                <w:color w:val="auto"/>
              </w:rPr>
              <w:t>12.5</w:t>
            </w:r>
          </w:p>
        </w:tc>
        <w:tc>
          <w:tcPr>
            <w:tcW w:w="5820" w:type="dxa"/>
            <w:vAlign w:val="bottom"/>
          </w:tcPr>
          <w:p>
            <w:pPr>
              <w:ind w:left="300"/>
              <w:spacing w:after="0"/>
              <w:rPr>
                <w:sz w:val="20"/>
                <w:szCs w:val="20"/>
                <w:color w:val="auto"/>
              </w:rPr>
            </w:pPr>
            <w:r>
              <w:rPr>
                <w:rFonts w:ascii="Courier New" w:cs="Courier New" w:eastAsia="Courier New" w:hAnsi="Courier New"/>
                <w:sz w:val="15"/>
                <w:szCs w:val="15"/>
                <w:color w:val="auto"/>
              </w:rPr>
              <w:t>Statement Regarding Computation of Ratio of Earnings to Fixed</w:t>
            </w:r>
          </w:p>
        </w:tc>
      </w:tr>
      <w:tr>
        <w:trPr>
          <w:trHeight w:val="168"/>
        </w:trPr>
        <w:tc>
          <w:tcPr>
            <w:tcW w:w="1100" w:type="dxa"/>
            <w:vAlign w:val="bottom"/>
          </w:tcPr>
          <w:p>
            <w:pPr>
              <w:spacing w:after="0"/>
              <w:rPr>
                <w:sz w:val="14"/>
                <w:szCs w:val="14"/>
                <w:color w:val="auto"/>
              </w:rPr>
            </w:pPr>
          </w:p>
        </w:tc>
        <w:tc>
          <w:tcPr>
            <w:tcW w:w="582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Charges of Comcast MO Group, Inc.</w:t>
            </w:r>
          </w:p>
        </w:tc>
      </w:tr>
      <w:tr>
        <w:trPr>
          <w:trHeight w:val="336"/>
        </w:trPr>
        <w:tc>
          <w:tcPr>
            <w:tcW w:w="1100" w:type="dxa"/>
            <w:vAlign w:val="bottom"/>
          </w:tcPr>
          <w:p>
            <w:pPr>
              <w:ind w:left="280"/>
              <w:spacing w:after="0"/>
              <w:rPr>
                <w:sz w:val="20"/>
                <w:szCs w:val="20"/>
                <w:color w:val="auto"/>
              </w:rPr>
            </w:pPr>
            <w:r>
              <w:rPr>
                <w:rFonts w:ascii="Courier New" w:cs="Courier New" w:eastAsia="Courier New" w:hAnsi="Courier New"/>
                <w:sz w:val="15"/>
                <w:szCs w:val="15"/>
                <w:color w:val="auto"/>
              </w:rPr>
              <w:t>12.6</w:t>
            </w:r>
          </w:p>
        </w:tc>
        <w:tc>
          <w:tcPr>
            <w:tcW w:w="5820" w:type="dxa"/>
            <w:vAlign w:val="bottom"/>
          </w:tcPr>
          <w:p>
            <w:pPr>
              <w:ind w:left="300"/>
              <w:spacing w:after="0"/>
              <w:rPr>
                <w:sz w:val="20"/>
                <w:szCs w:val="20"/>
                <w:color w:val="auto"/>
              </w:rPr>
            </w:pPr>
            <w:r>
              <w:rPr>
                <w:rFonts w:ascii="Courier New" w:cs="Courier New" w:eastAsia="Courier New" w:hAnsi="Courier New"/>
                <w:sz w:val="15"/>
                <w:szCs w:val="15"/>
                <w:color w:val="auto"/>
                <w:w w:val="98"/>
              </w:rPr>
              <w:t>Statement Regarding Computation of Pro Forma Ratio of Earnings</w:t>
            </w:r>
          </w:p>
        </w:tc>
      </w:tr>
      <w:tr>
        <w:trPr>
          <w:trHeight w:val="168"/>
        </w:trPr>
        <w:tc>
          <w:tcPr>
            <w:tcW w:w="1100" w:type="dxa"/>
            <w:vAlign w:val="bottom"/>
          </w:tcPr>
          <w:p>
            <w:pPr>
              <w:spacing w:after="0"/>
              <w:rPr>
                <w:sz w:val="14"/>
                <w:szCs w:val="14"/>
                <w:color w:val="auto"/>
              </w:rPr>
            </w:pPr>
          </w:p>
        </w:tc>
        <w:tc>
          <w:tcPr>
            <w:tcW w:w="582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to Fixed Charges of Comcast Corporation.</w:t>
            </w:r>
          </w:p>
        </w:tc>
      </w:tr>
      <w:tr>
        <w:trPr>
          <w:trHeight w:val="336"/>
        </w:trPr>
        <w:tc>
          <w:tcPr>
            <w:tcW w:w="1100" w:type="dxa"/>
            <w:vAlign w:val="bottom"/>
          </w:tcPr>
          <w:p>
            <w:pPr>
              <w:ind w:left="280"/>
              <w:spacing w:after="0"/>
              <w:rPr>
                <w:sz w:val="20"/>
                <w:szCs w:val="20"/>
                <w:color w:val="auto"/>
              </w:rPr>
            </w:pPr>
            <w:r>
              <w:rPr>
                <w:rFonts w:ascii="Courier New" w:cs="Courier New" w:eastAsia="Courier New" w:hAnsi="Courier New"/>
                <w:sz w:val="15"/>
                <w:szCs w:val="15"/>
                <w:color w:val="auto"/>
              </w:rPr>
              <w:t>12.7</w:t>
            </w:r>
          </w:p>
        </w:tc>
        <w:tc>
          <w:tcPr>
            <w:tcW w:w="5820" w:type="dxa"/>
            <w:vAlign w:val="bottom"/>
          </w:tcPr>
          <w:p>
            <w:pPr>
              <w:ind w:left="300"/>
              <w:spacing w:after="0"/>
              <w:rPr>
                <w:sz w:val="20"/>
                <w:szCs w:val="20"/>
                <w:color w:val="auto"/>
              </w:rPr>
            </w:pPr>
            <w:r>
              <w:rPr>
                <w:rFonts w:ascii="Courier New" w:cs="Courier New" w:eastAsia="Courier New" w:hAnsi="Courier New"/>
                <w:sz w:val="15"/>
                <w:szCs w:val="15"/>
                <w:color w:val="auto"/>
                <w:w w:val="98"/>
              </w:rPr>
              <w:t>Statement Regarding Computation of Pro Forma Ratio of Earnings</w:t>
            </w:r>
          </w:p>
        </w:tc>
      </w:tr>
      <w:tr>
        <w:trPr>
          <w:trHeight w:val="168"/>
        </w:trPr>
        <w:tc>
          <w:tcPr>
            <w:tcW w:w="1100" w:type="dxa"/>
            <w:vAlign w:val="bottom"/>
          </w:tcPr>
          <w:p>
            <w:pPr>
              <w:spacing w:after="0"/>
              <w:rPr>
                <w:sz w:val="14"/>
                <w:szCs w:val="14"/>
                <w:color w:val="auto"/>
              </w:rPr>
            </w:pPr>
          </w:p>
        </w:tc>
        <w:tc>
          <w:tcPr>
            <w:tcW w:w="582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to Combined Fixed Charges and Preferred Dividends of Comcast</w:t>
            </w:r>
          </w:p>
        </w:tc>
      </w:tr>
      <w:tr>
        <w:trPr>
          <w:trHeight w:val="168"/>
        </w:trPr>
        <w:tc>
          <w:tcPr>
            <w:tcW w:w="1100" w:type="dxa"/>
            <w:vAlign w:val="bottom"/>
          </w:tcPr>
          <w:p>
            <w:pPr>
              <w:spacing w:after="0"/>
              <w:rPr>
                <w:sz w:val="14"/>
                <w:szCs w:val="14"/>
                <w:color w:val="auto"/>
              </w:rPr>
            </w:pPr>
          </w:p>
        </w:tc>
        <w:tc>
          <w:tcPr>
            <w:tcW w:w="582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Corporation.</w:t>
            </w:r>
          </w:p>
        </w:tc>
      </w:tr>
      <w:tr>
        <w:trPr>
          <w:trHeight w:val="336"/>
        </w:trPr>
        <w:tc>
          <w:tcPr>
            <w:tcW w:w="1100" w:type="dxa"/>
            <w:vAlign w:val="bottom"/>
          </w:tcPr>
          <w:p>
            <w:pPr>
              <w:ind w:left="280"/>
              <w:spacing w:after="0"/>
              <w:rPr>
                <w:sz w:val="20"/>
                <w:szCs w:val="20"/>
                <w:color w:val="auto"/>
              </w:rPr>
            </w:pPr>
            <w:r>
              <w:rPr>
                <w:rFonts w:ascii="Courier New" w:cs="Courier New" w:eastAsia="Courier New" w:hAnsi="Courier New"/>
                <w:sz w:val="15"/>
                <w:szCs w:val="15"/>
                <w:color w:val="auto"/>
              </w:rPr>
              <w:t>12.8</w:t>
            </w:r>
          </w:p>
        </w:tc>
        <w:tc>
          <w:tcPr>
            <w:tcW w:w="5820" w:type="dxa"/>
            <w:vAlign w:val="bottom"/>
          </w:tcPr>
          <w:p>
            <w:pPr>
              <w:ind w:left="300"/>
              <w:spacing w:after="0"/>
              <w:rPr>
                <w:sz w:val="20"/>
                <w:szCs w:val="20"/>
                <w:color w:val="auto"/>
              </w:rPr>
            </w:pPr>
            <w:r>
              <w:rPr>
                <w:rFonts w:ascii="Courier New" w:cs="Courier New" w:eastAsia="Courier New" w:hAnsi="Courier New"/>
                <w:sz w:val="15"/>
                <w:szCs w:val="15"/>
                <w:color w:val="auto"/>
              </w:rPr>
              <w:t>Statement Regarding Computation of Ratio of Earnings to</w:t>
            </w:r>
          </w:p>
        </w:tc>
      </w:tr>
      <w:tr>
        <w:trPr>
          <w:trHeight w:val="168"/>
        </w:trPr>
        <w:tc>
          <w:tcPr>
            <w:tcW w:w="1100" w:type="dxa"/>
            <w:vAlign w:val="bottom"/>
          </w:tcPr>
          <w:p>
            <w:pPr>
              <w:spacing w:after="0"/>
              <w:rPr>
                <w:sz w:val="14"/>
                <w:szCs w:val="14"/>
                <w:color w:val="auto"/>
              </w:rPr>
            </w:pPr>
          </w:p>
        </w:tc>
        <w:tc>
          <w:tcPr>
            <w:tcW w:w="582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Combined Fixed Charges and Preferred Dividends of Comcast</w:t>
            </w:r>
          </w:p>
        </w:tc>
      </w:tr>
      <w:tr>
        <w:trPr>
          <w:trHeight w:val="168"/>
        </w:trPr>
        <w:tc>
          <w:tcPr>
            <w:tcW w:w="1100" w:type="dxa"/>
            <w:vAlign w:val="bottom"/>
          </w:tcPr>
          <w:p>
            <w:pPr>
              <w:spacing w:after="0"/>
              <w:rPr>
                <w:sz w:val="14"/>
                <w:szCs w:val="14"/>
                <w:color w:val="auto"/>
              </w:rPr>
            </w:pPr>
          </w:p>
        </w:tc>
        <w:tc>
          <w:tcPr>
            <w:tcW w:w="582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Corporation.</w:t>
            </w:r>
          </w:p>
        </w:tc>
      </w:tr>
      <w:tr>
        <w:trPr>
          <w:trHeight w:val="336"/>
        </w:trPr>
        <w:tc>
          <w:tcPr>
            <w:tcW w:w="1100" w:type="dxa"/>
            <w:vAlign w:val="bottom"/>
          </w:tcPr>
          <w:p>
            <w:pPr>
              <w:ind w:left="280"/>
              <w:spacing w:after="0"/>
              <w:rPr>
                <w:sz w:val="20"/>
                <w:szCs w:val="20"/>
                <w:color w:val="auto"/>
              </w:rPr>
            </w:pPr>
            <w:r>
              <w:rPr>
                <w:rFonts w:ascii="Courier New" w:cs="Courier New" w:eastAsia="Courier New" w:hAnsi="Courier New"/>
                <w:sz w:val="15"/>
                <w:szCs w:val="15"/>
                <w:color w:val="auto"/>
              </w:rPr>
              <w:t>23.1</w:t>
            </w:r>
          </w:p>
        </w:tc>
        <w:tc>
          <w:tcPr>
            <w:tcW w:w="5820" w:type="dxa"/>
            <w:vAlign w:val="bottom"/>
          </w:tcPr>
          <w:p>
            <w:pPr>
              <w:ind w:left="300"/>
              <w:spacing w:after="0"/>
              <w:rPr>
                <w:sz w:val="20"/>
                <w:szCs w:val="20"/>
                <w:color w:val="auto"/>
              </w:rPr>
            </w:pPr>
            <w:r>
              <w:rPr>
                <w:rFonts w:ascii="Courier New" w:cs="Courier New" w:eastAsia="Courier New" w:hAnsi="Courier New"/>
                <w:sz w:val="15"/>
                <w:szCs w:val="15"/>
                <w:color w:val="auto"/>
              </w:rPr>
              <w:t>Consent of Deloitte &amp; Touche LLP with respect to Comcast</w:t>
            </w:r>
          </w:p>
        </w:tc>
      </w:tr>
      <w:tr>
        <w:trPr>
          <w:trHeight w:val="168"/>
        </w:trPr>
        <w:tc>
          <w:tcPr>
            <w:tcW w:w="1100" w:type="dxa"/>
            <w:vAlign w:val="bottom"/>
          </w:tcPr>
          <w:p>
            <w:pPr>
              <w:spacing w:after="0"/>
              <w:rPr>
                <w:sz w:val="14"/>
                <w:szCs w:val="14"/>
                <w:color w:val="auto"/>
              </w:rPr>
            </w:pPr>
          </w:p>
        </w:tc>
        <w:tc>
          <w:tcPr>
            <w:tcW w:w="582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Corporation (formerly known as AT&amp;T Comcast Corporation).</w:t>
            </w:r>
          </w:p>
        </w:tc>
      </w:tr>
      <w:tr>
        <w:trPr>
          <w:trHeight w:val="336"/>
        </w:trPr>
        <w:tc>
          <w:tcPr>
            <w:tcW w:w="1100" w:type="dxa"/>
            <w:vAlign w:val="bottom"/>
          </w:tcPr>
          <w:p>
            <w:pPr>
              <w:ind w:left="280"/>
              <w:spacing w:after="0"/>
              <w:rPr>
                <w:sz w:val="20"/>
                <w:szCs w:val="20"/>
                <w:color w:val="auto"/>
              </w:rPr>
            </w:pPr>
            <w:r>
              <w:rPr>
                <w:rFonts w:ascii="Courier New" w:cs="Courier New" w:eastAsia="Courier New" w:hAnsi="Courier New"/>
                <w:sz w:val="15"/>
                <w:szCs w:val="15"/>
                <w:color w:val="auto"/>
              </w:rPr>
              <w:t>23.2</w:t>
            </w:r>
          </w:p>
        </w:tc>
        <w:tc>
          <w:tcPr>
            <w:tcW w:w="5820" w:type="dxa"/>
            <w:vAlign w:val="bottom"/>
          </w:tcPr>
          <w:p>
            <w:pPr>
              <w:ind w:left="300"/>
              <w:spacing w:after="0"/>
              <w:rPr>
                <w:sz w:val="20"/>
                <w:szCs w:val="20"/>
                <w:color w:val="auto"/>
              </w:rPr>
            </w:pPr>
            <w:r>
              <w:rPr>
                <w:rFonts w:ascii="Courier New" w:cs="Courier New" w:eastAsia="Courier New" w:hAnsi="Courier New"/>
                <w:sz w:val="15"/>
                <w:szCs w:val="15"/>
                <w:color w:val="auto"/>
              </w:rPr>
              <w:t>Consent of Deloitte &amp; Touche LLP with respect to Comcast</w:t>
            </w:r>
          </w:p>
        </w:tc>
      </w:tr>
      <w:tr>
        <w:trPr>
          <w:trHeight w:val="168"/>
        </w:trPr>
        <w:tc>
          <w:tcPr>
            <w:tcW w:w="1100" w:type="dxa"/>
            <w:vAlign w:val="bottom"/>
          </w:tcPr>
          <w:p>
            <w:pPr>
              <w:spacing w:after="0"/>
              <w:rPr>
                <w:sz w:val="14"/>
                <w:szCs w:val="14"/>
                <w:color w:val="auto"/>
              </w:rPr>
            </w:pPr>
          </w:p>
        </w:tc>
        <w:tc>
          <w:tcPr>
            <w:tcW w:w="582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Holdings Corporation (formerly known as Comcast Corporation).</w:t>
            </w:r>
          </w:p>
        </w:tc>
      </w:tr>
      <w:tr>
        <w:trPr>
          <w:trHeight w:val="336"/>
        </w:trPr>
        <w:tc>
          <w:tcPr>
            <w:tcW w:w="1100" w:type="dxa"/>
            <w:vAlign w:val="bottom"/>
          </w:tcPr>
          <w:p>
            <w:pPr>
              <w:ind w:left="280"/>
              <w:spacing w:after="0"/>
              <w:rPr>
                <w:sz w:val="20"/>
                <w:szCs w:val="20"/>
                <w:color w:val="auto"/>
              </w:rPr>
            </w:pPr>
            <w:r>
              <w:rPr>
                <w:rFonts w:ascii="Courier New" w:cs="Courier New" w:eastAsia="Courier New" w:hAnsi="Courier New"/>
                <w:sz w:val="15"/>
                <w:szCs w:val="15"/>
                <w:color w:val="auto"/>
              </w:rPr>
              <w:t>23.3</w:t>
            </w:r>
          </w:p>
        </w:tc>
        <w:tc>
          <w:tcPr>
            <w:tcW w:w="5820" w:type="dxa"/>
            <w:vAlign w:val="bottom"/>
          </w:tcPr>
          <w:p>
            <w:pPr>
              <w:ind w:left="300"/>
              <w:spacing w:after="0"/>
              <w:rPr>
                <w:sz w:val="20"/>
                <w:szCs w:val="20"/>
                <w:color w:val="auto"/>
              </w:rPr>
            </w:pPr>
            <w:r>
              <w:rPr>
                <w:rFonts w:ascii="Courier New" w:cs="Courier New" w:eastAsia="Courier New" w:hAnsi="Courier New"/>
                <w:sz w:val="15"/>
                <w:szCs w:val="15"/>
                <w:color w:val="auto"/>
                <w:w w:val="98"/>
              </w:rPr>
              <w:t>Consent of Deloitte &amp; Touche LLP with respect to Comcast Cable</w:t>
            </w:r>
          </w:p>
        </w:tc>
      </w:tr>
      <w:tr>
        <w:trPr>
          <w:trHeight w:val="168"/>
        </w:trPr>
        <w:tc>
          <w:tcPr>
            <w:tcW w:w="1100" w:type="dxa"/>
            <w:vAlign w:val="bottom"/>
          </w:tcPr>
          <w:p>
            <w:pPr>
              <w:spacing w:after="0"/>
              <w:rPr>
                <w:sz w:val="14"/>
                <w:szCs w:val="14"/>
                <w:color w:val="auto"/>
              </w:rPr>
            </w:pPr>
          </w:p>
        </w:tc>
        <w:tc>
          <w:tcPr>
            <w:tcW w:w="582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Communications, Inc.</w:t>
            </w:r>
          </w:p>
        </w:tc>
      </w:tr>
      <w:tr>
        <w:trPr>
          <w:trHeight w:val="336"/>
        </w:trPr>
        <w:tc>
          <w:tcPr>
            <w:tcW w:w="1100" w:type="dxa"/>
            <w:vAlign w:val="bottom"/>
          </w:tcPr>
          <w:p>
            <w:pPr>
              <w:ind w:left="280"/>
              <w:spacing w:after="0"/>
              <w:rPr>
                <w:sz w:val="20"/>
                <w:szCs w:val="20"/>
                <w:color w:val="auto"/>
              </w:rPr>
            </w:pPr>
            <w:r>
              <w:rPr>
                <w:rFonts w:ascii="Courier New" w:cs="Courier New" w:eastAsia="Courier New" w:hAnsi="Courier New"/>
                <w:sz w:val="15"/>
                <w:szCs w:val="15"/>
                <w:color w:val="auto"/>
              </w:rPr>
              <w:t>23.4</w:t>
            </w:r>
          </w:p>
        </w:tc>
        <w:tc>
          <w:tcPr>
            <w:tcW w:w="5820" w:type="dxa"/>
            <w:vAlign w:val="bottom"/>
          </w:tcPr>
          <w:p>
            <w:pPr>
              <w:ind w:left="300"/>
              <w:spacing w:after="0"/>
              <w:rPr>
                <w:sz w:val="20"/>
                <w:szCs w:val="20"/>
                <w:color w:val="auto"/>
              </w:rPr>
            </w:pPr>
            <w:r>
              <w:rPr>
                <w:rFonts w:ascii="Courier New" w:cs="Courier New" w:eastAsia="Courier New" w:hAnsi="Courier New"/>
                <w:sz w:val="15"/>
                <w:szCs w:val="15"/>
                <w:color w:val="auto"/>
              </w:rPr>
              <w:t>Consent of PricewaterhouseCoopers LLP with respect to AT&amp;T</w:t>
            </w:r>
          </w:p>
        </w:tc>
      </w:tr>
      <w:tr>
        <w:trPr>
          <w:trHeight w:val="168"/>
        </w:trPr>
        <w:tc>
          <w:tcPr>
            <w:tcW w:w="1100" w:type="dxa"/>
            <w:vAlign w:val="bottom"/>
          </w:tcPr>
          <w:p>
            <w:pPr>
              <w:spacing w:after="0"/>
              <w:rPr>
                <w:sz w:val="14"/>
                <w:szCs w:val="14"/>
                <w:color w:val="auto"/>
              </w:rPr>
            </w:pPr>
          </w:p>
        </w:tc>
        <w:tc>
          <w:tcPr>
            <w:tcW w:w="582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Broadband Group.</w:t>
            </w:r>
          </w:p>
        </w:tc>
      </w:tr>
      <w:tr>
        <w:trPr>
          <w:trHeight w:val="336"/>
        </w:trPr>
        <w:tc>
          <w:tcPr>
            <w:tcW w:w="1100" w:type="dxa"/>
            <w:vAlign w:val="bottom"/>
          </w:tcPr>
          <w:p>
            <w:pPr>
              <w:ind w:left="280"/>
              <w:spacing w:after="0"/>
              <w:rPr>
                <w:sz w:val="20"/>
                <w:szCs w:val="20"/>
                <w:color w:val="auto"/>
              </w:rPr>
            </w:pPr>
            <w:r>
              <w:rPr>
                <w:rFonts w:ascii="Courier New" w:cs="Courier New" w:eastAsia="Courier New" w:hAnsi="Courier New"/>
                <w:sz w:val="15"/>
                <w:szCs w:val="15"/>
                <w:color w:val="auto"/>
              </w:rPr>
              <w:t>23.5</w:t>
            </w:r>
          </w:p>
        </w:tc>
        <w:tc>
          <w:tcPr>
            <w:tcW w:w="5820" w:type="dxa"/>
            <w:vAlign w:val="bottom"/>
          </w:tcPr>
          <w:p>
            <w:pPr>
              <w:ind w:left="300"/>
              <w:spacing w:after="0"/>
              <w:rPr>
                <w:sz w:val="20"/>
                <w:szCs w:val="20"/>
                <w:color w:val="auto"/>
              </w:rPr>
            </w:pPr>
            <w:r>
              <w:rPr>
                <w:rFonts w:ascii="Courier New" w:cs="Courier New" w:eastAsia="Courier New" w:hAnsi="Courier New"/>
                <w:sz w:val="15"/>
                <w:szCs w:val="15"/>
                <w:color w:val="auto"/>
                <w:w w:val="98"/>
              </w:rPr>
              <w:t>Consent of Arthur R. Block, Esquire (to be included in Exhibit</w:t>
            </w:r>
          </w:p>
        </w:tc>
      </w:tr>
      <w:tr>
        <w:trPr>
          <w:trHeight w:val="168"/>
        </w:trPr>
        <w:tc>
          <w:tcPr>
            <w:tcW w:w="1100" w:type="dxa"/>
            <w:vAlign w:val="bottom"/>
          </w:tcPr>
          <w:p>
            <w:pPr>
              <w:spacing w:after="0"/>
              <w:rPr>
                <w:sz w:val="14"/>
                <w:szCs w:val="14"/>
                <w:color w:val="auto"/>
              </w:rPr>
            </w:pPr>
          </w:p>
        </w:tc>
        <w:tc>
          <w:tcPr>
            <w:tcW w:w="582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5.1).</w:t>
            </w:r>
          </w:p>
        </w:tc>
      </w:tr>
      <w:tr>
        <w:trPr>
          <w:trHeight w:val="336"/>
        </w:trPr>
        <w:tc>
          <w:tcPr>
            <w:tcW w:w="1100" w:type="dxa"/>
            <w:vAlign w:val="bottom"/>
          </w:tcPr>
          <w:p>
            <w:pPr>
              <w:ind w:left="280"/>
              <w:spacing w:after="0"/>
              <w:rPr>
                <w:sz w:val="20"/>
                <w:szCs w:val="20"/>
                <w:color w:val="auto"/>
              </w:rPr>
            </w:pPr>
            <w:r>
              <w:rPr>
                <w:rFonts w:ascii="Courier New" w:cs="Courier New" w:eastAsia="Courier New" w:hAnsi="Courier New"/>
                <w:sz w:val="15"/>
                <w:szCs w:val="15"/>
                <w:color w:val="auto"/>
              </w:rPr>
              <w:t>23.6</w:t>
            </w:r>
          </w:p>
        </w:tc>
        <w:tc>
          <w:tcPr>
            <w:tcW w:w="5820" w:type="dxa"/>
            <w:vAlign w:val="bottom"/>
          </w:tcPr>
          <w:p>
            <w:pPr>
              <w:ind w:left="300"/>
              <w:spacing w:after="0"/>
              <w:rPr>
                <w:sz w:val="20"/>
                <w:szCs w:val="20"/>
                <w:color w:val="auto"/>
              </w:rPr>
            </w:pPr>
            <w:r>
              <w:rPr>
                <w:rFonts w:ascii="Courier New" w:cs="Courier New" w:eastAsia="Courier New" w:hAnsi="Courier New"/>
                <w:sz w:val="15"/>
                <w:szCs w:val="15"/>
                <w:color w:val="auto"/>
              </w:rPr>
              <w:t>Consent of Davis Polk &amp; Wardwell (to be included in Exhibit</w:t>
            </w:r>
          </w:p>
        </w:tc>
      </w:tr>
      <w:tr>
        <w:trPr>
          <w:trHeight w:val="168"/>
        </w:trPr>
        <w:tc>
          <w:tcPr>
            <w:tcW w:w="1100" w:type="dxa"/>
            <w:vAlign w:val="bottom"/>
          </w:tcPr>
          <w:p>
            <w:pPr>
              <w:spacing w:after="0"/>
              <w:rPr>
                <w:sz w:val="14"/>
                <w:szCs w:val="14"/>
                <w:color w:val="auto"/>
              </w:rPr>
            </w:pPr>
          </w:p>
        </w:tc>
        <w:tc>
          <w:tcPr>
            <w:tcW w:w="582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5.2).</w:t>
            </w:r>
          </w:p>
        </w:tc>
      </w:tr>
      <w:tr>
        <w:trPr>
          <w:trHeight w:val="336"/>
        </w:trPr>
        <w:tc>
          <w:tcPr>
            <w:tcW w:w="1100" w:type="dxa"/>
            <w:vAlign w:val="bottom"/>
          </w:tcPr>
          <w:p>
            <w:pPr>
              <w:ind w:left="280"/>
              <w:spacing w:after="0"/>
              <w:rPr>
                <w:sz w:val="20"/>
                <w:szCs w:val="20"/>
                <w:color w:val="auto"/>
              </w:rPr>
            </w:pPr>
            <w:r>
              <w:rPr>
                <w:rFonts w:ascii="Courier New" w:cs="Courier New" w:eastAsia="Courier New" w:hAnsi="Courier New"/>
                <w:sz w:val="15"/>
                <w:szCs w:val="15"/>
                <w:color w:val="auto"/>
              </w:rPr>
              <w:t>24.1</w:t>
            </w:r>
          </w:p>
        </w:tc>
        <w:tc>
          <w:tcPr>
            <w:tcW w:w="5820" w:type="dxa"/>
            <w:vAlign w:val="bottom"/>
          </w:tcPr>
          <w:p>
            <w:pPr>
              <w:ind w:left="300"/>
              <w:spacing w:after="0"/>
              <w:rPr>
                <w:sz w:val="20"/>
                <w:szCs w:val="20"/>
                <w:color w:val="auto"/>
              </w:rPr>
            </w:pPr>
            <w:r>
              <w:rPr>
                <w:rFonts w:ascii="Courier New" w:cs="Courier New" w:eastAsia="Courier New" w:hAnsi="Courier New"/>
                <w:sz w:val="15"/>
                <w:szCs w:val="15"/>
                <w:color w:val="auto"/>
              </w:rPr>
              <w:t>Powers of Attorney (included on the signature pages hereof).</w:t>
            </w:r>
          </w:p>
        </w:tc>
      </w:tr>
      <w:tr>
        <w:trPr>
          <w:trHeight w:val="336"/>
        </w:trPr>
        <w:tc>
          <w:tcPr>
            <w:tcW w:w="1100" w:type="dxa"/>
            <w:vAlign w:val="bottom"/>
          </w:tcPr>
          <w:p>
            <w:pPr>
              <w:ind w:left="280"/>
              <w:spacing w:after="0"/>
              <w:rPr>
                <w:sz w:val="20"/>
                <w:szCs w:val="20"/>
                <w:color w:val="auto"/>
              </w:rPr>
            </w:pPr>
            <w:r>
              <w:rPr>
                <w:rFonts w:ascii="Courier New" w:cs="Courier New" w:eastAsia="Courier New" w:hAnsi="Courier New"/>
                <w:sz w:val="15"/>
                <w:szCs w:val="15"/>
                <w:color w:val="auto"/>
              </w:rPr>
              <w:t>25.1</w:t>
            </w:r>
          </w:p>
        </w:tc>
        <w:tc>
          <w:tcPr>
            <w:tcW w:w="5820" w:type="dxa"/>
            <w:vAlign w:val="bottom"/>
          </w:tcPr>
          <w:p>
            <w:pPr>
              <w:ind w:left="300"/>
              <w:spacing w:after="0"/>
              <w:rPr>
                <w:sz w:val="20"/>
                <w:szCs w:val="20"/>
                <w:color w:val="auto"/>
              </w:rPr>
            </w:pPr>
            <w:r>
              <w:rPr>
                <w:rFonts w:ascii="Courier New" w:cs="Courier New" w:eastAsia="Courier New" w:hAnsi="Courier New"/>
                <w:sz w:val="15"/>
                <w:szCs w:val="15"/>
                <w:color w:val="auto"/>
                <w:w w:val="96"/>
              </w:rPr>
              <w:t>Statement of Eligibility under the Trust Indenture Act of 1939,</w:t>
            </w:r>
          </w:p>
        </w:tc>
      </w:tr>
      <w:tr>
        <w:trPr>
          <w:trHeight w:val="168"/>
        </w:trPr>
        <w:tc>
          <w:tcPr>
            <w:tcW w:w="1100" w:type="dxa"/>
            <w:vAlign w:val="bottom"/>
          </w:tcPr>
          <w:p>
            <w:pPr>
              <w:spacing w:after="0"/>
              <w:rPr>
                <w:sz w:val="14"/>
                <w:szCs w:val="14"/>
                <w:color w:val="auto"/>
              </w:rPr>
            </w:pPr>
          </w:p>
        </w:tc>
        <w:tc>
          <w:tcPr>
            <w:tcW w:w="582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as amended, of The Bank of New York, as Trustee under the</w:t>
            </w:r>
          </w:p>
        </w:tc>
      </w:tr>
      <w:tr>
        <w:trPr>
          <w:trHeight w:val="168"/>
        </w:trPr>
        <w:tc>
          <w:tcPr>
            <w:tcW w:w="1100" w:type="dxa"/>
            <w:vAlign w:val="bottom"/>
          </w:tcPr>
          <w:p>
            <w:pPr>
              <w:spacing w:after="0"/>
              <w:rPr>
                <w:sz w:val="14"/>
                <w:szCs w:val="14"/>
                <w:color w:val="auto"/>
              </w:rPr>
            </w:pPr>
          </w:p>
        </w:tc>
        <w:tc>
          <w:tcPr>
            <w:tcW w:w="582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Senior Indenture.</w:t>
            </w:r>
          </w:p>
        </w:tc>
      </w:tr>
      <w:tr>
        <w:trPr>
          <w:trHeight w:val="336"/>
        </w:trPr>
        <w:tc>
          <w:tcPr>
            <w:tcW w:w="1100" w:type="dxa"/>
            <w:vAlign w:val="bottom"/>
          </w:tcPr>
          <w:p>
            <w:pPr>
              <w:ind w:left="280"/>
              <w:spacing w:after="0"/>
              <w:rPr>
                <w:sz w:val="20"/>
                <w:szCs w:val="20"/>
                <w:color w:val="auto"/>
              </w:rPr>
            </w:pPr>
            <w:r>
              <w:rPr>
                <w:rFonts w:ascii="Courier New" w:cs="Courier New" w:eastAsia="Courier New" w:hAnsi="Courier New"/>
                <w:sz w:val="15"/>
                <w:szCs w:val="15"/>
                <w:color w:val="auto"/>
              </w:rPr>
              <w:t>25.2</w:t>
            </w:r>
          </w:p>
        </w:tc>
        <w:tc>
          <w:tcPr>
            <w:tcW w:w="5820" w:type="dxa"/>
            <w:vAlign w:val="bottom"/>
          </w:tcPr>
          <w:p>
            <w:pPr>
              <w:ind w:left="300"/>
              <w:spacing w:after="0"/>
              <w:rPr>
                <w:sz w:val="20"/>
                <w:szCs w:val="20"/>
                <w:color w:val="auto"/>
              </w:rPr>
            </w:pPr>
            <w:r>
              <w:rPr>
                <w:rFonts w:ascii="Courier New" w:cs="Courier New" w:eastAsia="Courier New" w:hAnsi="Courier New"/>
                <w:sz w:val="15"/>
                <w:szCs w:val="15"/>
                <w:color w:val="auto"/>
                <w:w w:val="96"/>
              </w:rPr>
              <w:t>Statement of Eligibility under the Trust Indenture Act of 1939,</w:t>
            </w:r>
          </w:p>
        </w:tc>
      </w:tr>
      <w:tr>
        <w:trPr>
          <w:trHeight w:val="168"/>
        </w:trPr>
        <w:tc>
          <w:tcPr>
            <w:tcW w:w="1100" w:type="dxa"/>
            <w:vAlign w:val="bottom"/>
          </w:tcPr>
          <w:p>
            <w:pPr>
              <w:spacing w:after="0"/>
              <w:rPr>
                <w:sz w:val="14"/>
                <w:szCs w:val="14"/>
                <w:color w:val="auto"/>
              </w:rPr>
            </w:pPr>
          </w:p>
        </w:tc>
        <w:tc>
          <w:tcPr>
            <w:tcW w:w="582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as amended, of The Bank of New York, as Trustee under the</w:t>
            </w:r>
          </w:p>
        </w:tc>
      </w:tr>
      <w:tr>
        <w:trPr>
          <w:trHeight w:val="168"/>
        </w:trPr>
        <w:tc>
          <w:tcPr>
            <w:tcW w:w="1100" w:type="dxa"/>
            <w:vAlign w:val="bottom"/>
          </w:tcPr>
          <w:p>
            <w:pPr>
              <w:spacing w:after="0"/>
              <w:rPr>
                <w:sz w:val="14"/>
                <w:szCs w:val="14"/>
                <w:color w:val="auto"/>
              </w:rPr>
            </w:pPr>
          </w:p>
        </w:tc>
        <w:tc>
          <w:tcPr>
            <w:tcW w:w="582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Subordinated Indenture.</w:t>
            </w:r>
          </w:p>
        </w:tc>
      </w:tr>
    </w:tbl>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ind w:left="540" w:hanging="530"/>
        <w:spacing w:after="0" w:line="237" w:lineRule="auto"/>
        <w:tabs>
          <w:tab w:leader="none" w:pos="540" w:val="left"/>
        </w:tabs>
        <w:numPr>
          <w:ilvl w:val="0"/>
          <w:numId w:val="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be filed by amendment.</w:t>
      </w:r>
    </w:p>
    <w:p>
      <w:pPr>
        <w:spacing w:after="0" w:line="173" w:lineRule="exact"/>
        <w:rPr>
          <w:sz w:val="20"/>
          <w:szCs w:val="20"/>
          <w:color w:val="auto"/>
        </w:rPr>
      </w:pPr>
    </w:p>
    <w:p>
      <w:pPr>
        <w:ind w:left="540" w:right="3319" w:hanging="530"/>
        <w:spacing w:after="0" w:line="234" w:lineRule="auto"/>
        <w:tabs>
          <w:tab w:leader="none" w:pos="540" w:val="left"/>
        </w:tabs>
        <w:numPr>
          <w:ilvl w:val="0"/>
          <w:numId w:val="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to our Current Report on Form 8-K12g3, filed on November 18, 2002.</w:t>
      </w:r>
    </w:p>
    <w:p>
      <w:pPr>
        <w:spacing w:after="0" w:line="173" w:lineRule="exact"/>
        <w:rPr>
          <w:rFonts w:ascii="Courier New" w:cs="Courier New" w:eastAsia="Courier New" w:hAnsi="Courier New"/>
          <w:sz w:val="15"/>
          <w:szCs w:val="15"/>
          <w:color w:val="auto"/>
        </w:rPr>
      </w:pPr>
    </w:p>
    <w:p>
      <w:pPr>
        <w:ind w:left="540" w:right="3239" w:hanging="530"/>
        <w:spacing w:after="0" w:line="234" w:lineRule="auto"/>
        <w:tabs>
          <w:tab w:leader="none" w:pos="540" w:val="left"/>
        </w:tabs>
        <w:numPr>
          <w:ilvl w:val="0"/>
          <w:numId w:val="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to our registration statement on Form S-4, filed on February 11, 2002.</w:t>
      </w:r>
    </w:p>
    <w:p>
      <w:pPr>
        <w:spacing w:after="0" w:line="33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II-8</w:t>
      </w:r>
    </w:p>
    <w:p>
      <w:pPr>
        <w:sectPr>
          <w:pgSz w:w="11900" w:h="16838" w:orient="portrait"/>
          <w:cols w:equalWidth="0" w:num="1">
            <w:col w:w="10239"/>
          </w:cols>
          <w:pgMar w:left="220" w:top="785" w:right="1440" w:bottom="1440" w:gutter="0" w:footer="0" w:header="0"/>
        </w:sectPr>
      </w:pPr>
    </w:p>
    <w:bookmarkStart w:id="64" w:name="page65"/>
    <w:bookmarkEnd w:id="64"/>
    <w:p>
      <w:pPr>
        <w:ind w:left="540" w:right="3759" w:hanging="530"/>
        <w:spacing w:after="0" w:line="261" w:lineRule="auto"/>
        <w:tabs>
          <w:tab w:leader="none" w:pos="540" w:val="left"/>
        </w:tabs>
        <w:numPr>
          <w:ilvl w:val="0"/>
          <w:numId w:val="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Incorporated by reference to AT&amp;T Corp.'s Annual Report on Form 10-K for the year ended December 31, 2001, filed on April 1, 2002.</w:t>
      </w:r>
    </w:p>
    <w:p>
      <w:pPr>
        <w:spacing w:after="0" w:line="159" w:lineRule="exact"/>
        <w:rPr>
          <w:rFonts w:ascii="Courier New" w:cs="Courier New" w:eastAsia="Courier New" w:hAnsi="Courier New"/>
          <w:sz w:val="14"/>
          <w:szCs w:val="14"/>
          <w:color w:val="auto"/>
        </w:rPr>
      </w:pPr>
    </w:p>
    <w:p>
      <w:pPr>
        <w:ind w:left="620" w:right="3399" w:hanging="610"/>
        <w:spacing w:after="0" w:line="234" w:lineRule="auto"/>
        <w:tabs>
          <w:tab w:leader="none" w:pos="620" w:val="left"/>
        </w:tabs>
        <w:numPr>
          <w:ilvl w:val="0"/>
          <w:numId w:val="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to our registration statement on Form 8-A12g, filed on November 18, 2002.</w:t>
      </w:r>
    </w:p>
    <w:p>
      <w:pPr>
        <w:spacing w:after="0" w:line="173" w:lineRule="exact"/>
        <w:rPr>
          <w:sz w:val="20"/>
          <w:szCs w:val="20"/>
          <w:color w:val="auto"/>
        </w:rPr>
      </w:pPr>
    </w:p>
    <w:p>
      <w:pPr>
        <w:ind w:left="620" w:right="3399" w:hanging="619"/>
        <w:spacing w:after="0" w:line="234" w:lineRule="auto"/>
        <w:tabs>
          <w:tab w:leader="none" w:pos="600" w:val="left"/>
        </w:tabs>
        <w:rPr>
          <w:sz w:val="20"/>
          <w:szCs w:val="20"/>
          <w:color w:val="auto"/>
        </w:rPr>
      </w:pPr>
      <w:r>
        <w:rPr>
          <w:rFonts w:ascii="Courier New" w:cs="Courier New" w:eastAsia="Courier New" w:hAnsi="Courier New"/>
          <w:sz w:val="15"/>
          <w:szCs w:val="15"/>
          <w:color w:val="auto"/>
        </w:rPr>
        <w:t>******</w:t>
        <w:tab/>
        <w:t>Incorporated by reference to our Amended Registration Statement on Form S-4/A, filed on May 14, 2002.</w:t>
      </w:r>
    </w:p>
    <w:p>
      <w:pPr>
        <w:spacing w:after="0" w:line="335"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Item 17.</w:t>
      </w:r>
      <w:r>
        <w:rPr>
          <w:sz w:val="20"/>
          <w:szCs w:val="20"/>
          <w:color w:val="auto"/>
        </w:rPr>
        <w:tab/>
      </w:r>
      <w:r>
        <w:rPr>
          <w:rFonts w:ascii="Courier New" w:cs="Courier New" w:eastAsia="Courier New" w:hAnsi="Courier New"/>
          <w:sz w:val="14"/>
          <w:szCs w:val="14"/>
          <w:color w:val="auto"/>
        </w:rPr>
        <w:t>Undertakings.</w:t>
      </w:r>
    </w:p>
    <w:p>
      <w:pPr>
        <w:spacing w:after="0" w:line="16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undersigned registrants hereby undertake:</w:t>
      </w:r>
    </w:p>
    <w:p>
      <w:pPr>
        <w:spacing w:after="0" w:line="173" w:lineRule="exact"/>
        <w:rPr>
          <w:sz w:val="20"/>
          <w:szCs w:val="20"/>
          <w:color w:val="auto"/>
        </w:rPr>
      </w:pPr>
    </w:p>
    <w:p>
      <w:pPr>
        <w:ind w:right="3679" w:firstLine="447"/>
        <w:spacing w:after="0" w:line="234" w:lineRule="auto"/>
        <w:tabs>
          <w:tab w:leader="none" w:pos="787" w:val="left"/>
        </w:tabs>
        <w:numPr>
          <w:ilvl w:val="0"/>
          <w:numId w:val="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To file, during any period in which offers or sales are being made, a post-effective amendment to this Registration Statement:</w:t>
      </w:r>
    </w:p>
    <w:p>
      <w:pPr>
        <w:spacing w:after="0" w:line="173" w:lineRule="exact"/>
        <w:rPr>
          <w:rFonts w:ascii="Courier New" w:cs="Courier New" w:eastAsia="Courier New" w:hAnsi="Courier New"/>
          <w:sz w:val="15"/>
          <w:szCs w:val="15"/>
          <w:color w:val="auto"/>
        </w:rPr>
      </w:pPr>
    </w:p>
    <w:p>
      <w:pPr>
        <w:ind w:left="800" w:right="3319" w:firstLine="434"/>
        <w:spacing w:after="0" w:line="234" w:lineRule="auto"/>
        <w:tabs>
          <w:tab w:leader="none" w:pos="1587" w:val="left"/>
        </w:tabs>
        <w:numPr>
          <w:ilvl w:val="1"/>
          <w:numId w:val="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include any prospectus required by Section 10(a)(3) of the Securities Act of 1933 (the "Securities Act");</w:t>
      </w:r>
    </w:p>
    <w:p>
      <w:pPr>
        <w:spacing w:after="0" w:line="173" w:lineRule="exact"/>
        <w:rPr>
          <w:rFonts w:ascii="Courier New" w:cs="Courier New" w:eastAsia="Courier New" w:hAnsi="Courier New"/>
          <w:sz w:val="15"/>
          <w:szCs w:val="15"/>
          <w:color w:val="auto"/>
        </w:rPr>
      </w:pPr>
    </w:p>
    <w:p>
      <w:pPr>
        <w:ind w:left="800" w:right="3239" w:firstLine="347"/>
        <w:spacing w:after="0" w:line="236" w:lineRule="auto"/>
        <w:tabs>
          <w:tab w:leader="none" w:pos="1587" w:val="left"/>
        </w:tabs>
        <w:numPr>
          <w:ilvl w:val="1"/>
          <w:numId w:val="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w:t>
      </w:r>
    </w:p>
    <w:p>
      <w:pPr>
        <w:spacing w:after="0" w:line="174" w:lineRule="exact"/>
        <w:rPr>
          <w:sz w:val="20"/>
          <w:szCs w:val="20"/>
          <w:color w:val="auto"/>
        </w:rPr>
      </w:pPr>
    </w:p>
    <w:p>
      <w:pPr>
        <w:jc w:val="both"/>
        <w:ind w:left="800" w:right="3319" w:firstLine="347"/>
        <w:spacing w:after="0" w:line="235" w:lineRule="auto"/>
        <w:tabs>
          <w:tab w:leader="none" w:pos="1675" w:val="left"/>
        </w:tabs>
        <w:numPr>
          <w:ilvl w:val="0"/>
          <w:numId w:val="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include any material information with respect to the plan of distribution not previously disclosed in the Registration Statement or any material change to such information in the Registration Statement;</w:t>
      </w:r>
    </w:p>
    <w:p>
      <w:pPr>
        <w:spacing w:after="0" w:line="175" w:lineRule="exact"/>
        <w:rPr>
          <w:sz w:val="20"/>
          <w:szCs w:val="20"/>
          <w:color w:val="auto"/>
        </w:rPr>
      </w:pPr>
    </w:p>
    <w:p>
      <w:pPr>
        <w:ind w:left="800" w:right="3319"/>
        <w:spacing w:after="0" w:line="236" w:lineRule="auto"/>
        <w:rPr>
          <w:sz w:val="20"/>
          <w:szCs w:val="20"/>
          <w:color w:val="auto"/>
        </w:rPr>
      </w:pPr>
      <w:r>
        <w:rPr>
          <w:rFonts w:ascii="Courier New" w:cs="Courier New" w:eastAsia="Courier New" w:hAnsi="Courier New"/>
          <w:sz w:val="15"/>
          <w:szCs w:val="15"/>
          <w:color w:val="auto"/>
        </w:rPr>
        <w:t>provided, however, that subparagraphs (a) (i) and (a) (ii) shall not apply to the extent that information required to be included in a post-effective amendment by those subparagraphs is contained in periodic reports filed by the registrant pursuant to Section 13 or 15(d) of the Securities Exchange Act of 1934 (the "Exchange Act") that are incorporated by reference in the Registration Statement.</w:t>
      </w:r>
    </w:p>
    <w:p>
      <w:pPr>
        <w:spacing w:after="0" w:line="175" w:lineRule="exact"/>
        <w:rPr>
          <w:sz w:val="20"/>
          <w:szCs w:val="20"/>
          <w:color w:val="auto"/>
        </w:rPr>
      </w:pPr>
    </w:p>
    <w:p>
      <w:pPr>
        <w:ind w:right="3319" w:firstLine="797"/>
        <w:spacing w:after="0" w:line="236" w:lineRule="auto"/>
        <w:tabs>
          <w:tab w:leader="none" w:pos="1137" w:val="left"/>
        </w:tabs>
        <w:numPr>
          <w:ilvl w:val="1"/>
          <w:numId w:val="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173" w:lineRule="exact"/>
        <w:rPr>
          <w:rFonts w:ascii="Courier New" w:cs="Courier New" w:eastAsia="Courier New" w:hAnsi="Courier New"/>
          <w:sz w:val="15"/>
          <w:szCs w:val="15"/>
          <w:color w:val="auto"/>
        </w:rPr>
      </w:pPr>
    </w:p>
    <w:p>
      <w:pPr>
        <w:ind w:right="3239" w:firstLine="797"/>
        <w:spacing w:after="0" w:line="235" w:lineRule="auto"/>
        <w:tabs>
          <w:tab w:leader="none" w:pos="1137" w:val="left"/>
        </w:tabs>
        <w:numPr>
          <w:ilvl w:val="1"/>
          <w:numId w:val="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remove from registration by means of a post-effective amendment any of the securities being registered which remain unsold at the termination of the offering.</w:t>
      </w:r>
    </w:p>
    <w:p>
      <w:pPr>
        <w:spacing w:after="0" w:line="173" w:lineRule="exact"/>
        <w:rPr>
          <w:rFonts w:ascii="Courier New" w:cs="Courier New" w:eastAsia="Courier New" w:hAnsi="Courier New"/>
          <w:sz w:val="15"/>
          <w:szCs w:val="15"/>
          <w:color w:val="auto"/>
        </w:rPr>
      </w:pPr>
    </w:p>
    <w:p>
      <w:pPr>
        <w:ind w:right="3319" w:firstLine="447"/>
        <w:spacing w:after="0" w:line="236" w:lineRule="auto"/>
        <w:tabs>
          <w:tab w:leader="none" w:pos="700" w:val="left"/>
        </w:tabs>
        <w:numPr>
          <w:ilvl w:val="0"/>
          <w:numId w:val="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undersigned registrants hereby undertake that, for purposes of determining any liability under the Securities Act, each filing of the Registrant's annual report pursuant to Section 13(a) or 15(d) of the Exchange Act that is incorporated by reference in this Registration Statement shall be deemed to be a new registration statement relating to the securities offered therein, and the offering of such securities at that time shall be deemed to be the initial bona fide offering thereof.</w:t>
      </w:r>
    </w:p>
    <w:p>
      <w:pPr>
        <w:spacing w:after="0" w:line="175" w:lineRule="exact"/>
        <w:rPr>
          <w:rFonts w:ascii="Courier New" w:cs="Courier New" w:eastAsia="Courier New" w:hAnsi="Courier New"/>
          <w:sz w:val="15"/>
          <w:szCs w:val="15"/>
          <w:color w:val="auto"/>
        </w:rPr>
      </w:pPr>
    </w:p>
    <w:p>
      <w:pPr>
        <w:ind w:right="3239" w:firstLine="447"/>
        <w:spacing w:after="0" w:line="237" w:lineRule="auto"/>
        <w:tabs>
          <w:tab w:leader="none" w:pos="700" w:val="left"/>
        </w:tabs>
        <w:numPr>
          <w:ilvl w:val="0"/>
          <w:numId w:val="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securities to be registered are to be offered at competitive bidding, the undersigned registrants hereby undertake (1) to use their best efforts to distribute prior to the opening of bids, to prospective bidders, underwriters, and dealers, a reasonable number of copies of a prospectus which at that time meets the requirements of Section 10(a) of the Securities Act, and relating to the securities offered at competitive bidding, as contained in the Registration Statement, together with any supplements thereto, and (2) to file an amendment to the Registration Statement reflecting the results of bidding, the terms of the reoffering and related matters to the extent required by the applicable form, not later than the first use, authorized by the issuer after the opening of bids, of a prospectus relating to the securities offered at competitive bidding, unless no further public offering of such securities by the issuer and no reoffering of such securities by the purchasers is proposed to be made.</w:t>
      </w:r>
    </w:p>
    <w:p>
      <w:pPr>
        <w:spacing w:after="0" w:line="173" w:lineRule="exact"/>
        <w:rPr>
          <w:rFonts w:ascii="Courier New" w:cs="Courier New" w:eastAsia="Courier New" w:hAnsi="Courier New"/>
          <w:sz w:val="15"/>
          <w:szCs w:val="15"/>
          <w:color w:val="auto"/>
        </w:rPr>
      </w:pPr>
    </w:p>
    <w:p>
      <w:pPr>
        <w:ind w:right="3319" w:firstLine="447"/>
        <w:spacing w:after="0" w:line="258" w:lineRule="auto"/>
        <w:tabs>
          <w:tab w:leader="none" w:pos="700" w:val="left"/>
        </w:tabs>
        <w:numPr>
          <w:ilvl w:val="0"/>
          <w:numId w:val="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Insofar as indemnification for liabilities arising under the Securities Act may be permitted to directors, officers and controlling persons of the registrant pursuant to the foregoing provisions, or otherwise, the registrants</w:t>
      </w:r>
    </w:p>
    <w:p>
      <w:pPr>
        <w:spacing w:after="0" w:line="323"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II-9</w:t>
      </w:r>
    </w:p>
    <w:p>
      <w:pPr>
        <w:sectPr>
          <w:pgSz w:w="11900" w:h="16838" w:orient="portrait"/>
          <w:cols w:equalWidth="0" w:num="1">
            <w:col w:w="10239"/>
          </w:cols>
          <w:pgMar w:left="220" w:top="792" w:right="1440" w:bottom="1440" w:gutter="0" w:footer="0" w:header="0"/>
        </w:sectPr>
      </w:pPr>
    </w:p>
    <w:bookmarkStart w:id="65" w:name="page66"/>
    <w:bookmarkEnd w:id="65"/>
    <w:p>
      <w:pPr>
        <w:ind w:right="3239"/>
        <w:spacing w:after="0" w:line="237" w:lineRule="auto"/>
        <w:rPr>
          <w:sz w:val="20"/>
          <w:szCs w:val="20"/>
          <w:color w:val="auto"/>
        </w:rPr>
      </w:pPr>
      <w:r>
        <w:rPr>
          <w:rFonts w:ascii="Courier New" w:cs="Courier New" w:eastAsia="Courier New" w:hAnsi="Courier New"/>
          <w:sz w:val="15"/>
          <w:szCs w:val="15"/>
          <w:color w:val="auto"/>
        </w:rPr>
        <w:t>have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335"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II-10</w:t>
      </w:r>
    </w:p>
    <w:p>
      <w:pPr>
        <w:sectPr>
          <w:pgSz w:w="11900" w:h="16838" w:orient="portrait"/>
          <w:cols w:equalWidth="0" w:num="1">
            <w:col w:w="10239"/>
          </w:cols>
          <w:pgMar w:left="220" w:top="792" w:right="1440" w:bottom="1440" w:gutter="0" w:footer="0" w:header="0"/>
        </w:sectPr>
      </w:pPr>
    </w:p>
    <w:bookmarkStart w:id="66" w:name="page67"/>
    <w:bookmarkEnd w:id="66"/>
    <w:p>
      <w:pPr>
        <w:ind w:left="1060"/>
        <w:spacing w:after="0"/>
        <w:rPr>
          <w:sz w:val="20"/>
          <w:szCs w:val="20"/>
          <w:color w:val="auto"/>
        </w:rPr>
      </w:pPr>
      <w:r>
        <w:rPr>
          <w:rFonts w:ascii="Courier New" w:cs="Courier New" w:eastAsia="Courier New" w:hAnsi="Courier New"/>
          <w:sz w:val="15"/>
          <w:szCs w:val="15"/>
          <w:color w:val="auto"/>
        </w:rPr>
        <w:t>SIGNATURES AND POWER OF ATTORNEY FOR COMCAST CORPORATION</w:t>
      </w:r>
    </w:p>
    <w:p>
      <w:pPr>
        <w:spacing w:after="0" w:line="173" w:lineRule="exact"/>
        <w:rPr>
          <w:sz w:val="20"/>
          <w:szCs w:val="20"/>
          <w:color w:val="auto"/>
        </w:rPr>
      </w:pPr>
    </w:p>
    <w:p>
      <w:pPr>
        <w:ind w:right="880" w:firstLine="437"/>
        <w:spacing w:after="0" w:line="236" w:lineRule="auto"/>
        <w:rPr>
          <w:sz w:val="20"/>
          <w:szCs w:val="20"/>
          <w:color w:val="auto"/>
        </w:rPr>
      </w:pPr>
      <w:r>
        <w:rPr>
          <w:rFonts w:ascii="Courier New" w:cs="Courier New" w:eastAsia="Courier New" w:hAnsi="Courier New"/>
          <w:sz w:val="15"/>
          <w:szCs w:val="15"/>
          <w:color w:val="auto"/>
        </w:rPr>
        <w:t>Pursuant to the requirements of the Securities Act of 1933, Comcast Corporation certifies that it has reasonable grounds to believe that it meets all of the requirements for filing on Form S-3 and has duly caused this Registration Statement to be signed on its behalf by the undersigned, thereunto duly authorized in Philadelphia, Pennsylvania, on the 16th day of December, 2002.</w:t>
      </w:r>
    </w:p>
    <w:p>
      <w:pPr>
        <w:spacing w:after="0" w:line="168" w:lineRule="exact"/>
        <w:rPr>
          <w:sz w:val="20"/>
          <w:szCs w:val="20"/>
          <w:color w:val="auto"/>
        </w:rPr>
      </w:pPr>
    </w:p>
    <w:p>
      <w:pPr>
        <w:jc w:val="center"/>
        <w:ind w:left="520"/>
        <w:spacing w:after="0"/>
        <w:rPr>
          <w:sz w:val="20"/>
          <w:szCs w:val="20"/>
          <w:color w:val="auto"/>
        </w:rPr>
      </w:pPr>
      <w:r>
        <w:rPr>
          <w:rFonts w:ascii="Courier New" w:cs="Courier New" w:eastAsia="Courier New" w:hAnsi="Courier New"/>
          <w:sz w:val="15"/>
          <w:szCs w:val="15"/>
          <w:color w:val="auto"/>
        </w:rPr>
        <w:t>COMCAST CORPORATION</w:t>
      </w:r>
    </w:p>
    <w:p>
      <w:pPr>
        <w:spacing w:after="0" w:line="335" w:lineRule="exact"/>
        <w:rPr>
          <w:sz w:val="20"/>
          <w:szCs w:val="20"/>
          <w:color w:val="auto"/>
        </w:rPr>
      </w:pPr>
    </w:p>
    <w:p>
      <w:pPr>
        <w:ind w:left="3340"/>
        <w:spacing w:after="0"/>
        <w:tabs>
          <w:tab w:leader="none" w:pos="3760" w:val="left"/>
        </w:tabs>
        <w:rPr>
          <w:sz w:val="20"/>
          <w:szCs w:val="20"/>
          <w:color w:val="auto"/>
        </w:rPr>
      </w:pPr>
      <w:r>
        <w:rPr>
          <w:rFonts w:ascii="Courier New" w:cs="Courier New" w:eastAsia="Courier New" w:hAnsi="Courier New"/>
          <w:sz w:val="15"/>
          <w:szCs w:val="15"/>
          <w:color w:val="auto"/>
        </w:rPr>
        <w:t>By:</w:t>
        <w:tab/>
        <w:t>/s/ Arthur R. Block</w:t>
      </w:r>
    </w:p>
    <w:p>
      <w:pPr>
        <w:ind w:left="3780"/>
        <w:spacing w:after="0" w:line="237" w:lineRule="auto"/>
        <w:rPr>
          <w:sz w:val="20"/>
          <w:szCs w:val="20"/>
          <w:color w:val="auto"/>
        </w:rPr>
      </w:pPr>
      <w:r>
        <w:rPr>
          <w:rFonts w:ascii="Courier New" w:cs="Courier New" w:eastAsia="Courier New" w:hAnsi="Courier New"/>
          <w:sz w:val="15"/>
          <w:szCs w:val="15"/>
          <w:color w:val="auto"/>
        </w:rPr>
        <w:t>------------------------------------</w:t>
      </w:r>
    </w:p>
    <w:p>
      <w:pPr>
        <w:ind w:left="3780"/>
        <w:spacing w:after="0" w:line="238" w:lineRule="auto"/>
        <w:tabs>
          <w:tab w:leader="none" w:pos="4540" w:val="left"/>
        </w:tabs>
        <w:rPr>
          <w:sz w:val="20"/>
          <w:szCs w:val="20"/>
          <w:color w:val="auto"/>
        </w:rPr>
      </w:pPr>
      <w:r>
        <w:rPr>
          <w:rFonts w:ascii="Courier New" w:cs="Courier New" w:eastAsia="Courier New" w:hAnsi="Courier New"/>
          <w:sz w:val="15"/>
          <w:szCs w:val="15"/>
          <w:color w:val="auto"/>
        </w:rPr>
        <w:t>Name:</w:t>
      </w:r>
      <w:r>
        <w:rPr>
          <w:sz w:val="20"/>
          <w:szCs w:val="20"/>
          <w:color w:val="auto"/>
        </w:rPr>
        <w:tab/>
      </w:r>
      <w:r>
        <w:rPr>
          <w:rFonts w:ascii="Courier New" w:cs="Courier New" w:eastAsia="Courier New" w:hAnsi="Courier New"/>
          <w:sz w:val="15"/>
          <w:szCs w:val="15"/>
          <w:color w:val="auto"/>
        </w:rPr>
        <w:t>Arthur R. Block</w:t>
      </w:r>
    </w:p>
    <w:p>
      <w:pPr>
        <w:ind w:left="3780"/>
        <w:spacing w:after="0" w:line="237" w:lineRule="auto"/>
        <w:tabs>
          <w:tab w:leader="none" w:pos="4540" w:val="left"/>
        </w:tabs>
        <w:rPr>
          <w:sz w:val="20"/>
          <w:szCs w:val="20"/>
          <w:color w:val="auto"/>
        </w:rPr>
      </w:pPr>
      <w:r>
        <w:rPr>
          <w:rFonts w:ascii="Courier New" w:cs="Courier New" w:eastAsia="Courier New" w:hAnsi="Courier New"/>
          <w:sz w:val="15"/>
          <w:szCs w:val="15"/>
          <w:color w:val="auto"/>
        </w:rPr>
        <w:t>Title:</w:t>
        <w:tab/>
        <w:t>Senior Vice President</w:t>
      </w:r>
    </w:p>
    <w:p>
      <w:pPr>
        <w:spacing w:after="0" w:line="173" w:lineRule="exact"/>
        <w:rPr>
          <w:sz w:val="20"/>
          <w:szCs w:val="20"/>
          <w:color w:val="auto"/>
        </w:rPr>
      </w:pPr>
    </w:p>
    <w:p>
      <w:pPr>
        <w:ind w:right="800" w:firstLine="437"/>
        <w:spacing w:after="0" w:line="255" w:lineRule="auto"/>
        <w:rPr>
          <w:sz w:val="20"/>
          <w:szCs w:val="20"/>
          <w:color w:val="auto"/>
        </w:rPr>
      </w:pPr>
      <w:r>
        <w:rPr>
          <w:rFonts w:ascii="Courier New" w:cs="Courier New" w:eastAsia="Courier New" w:hAnsi="Courier New"/>
          <w:sz w:val="14"/>
          <w:szCs w:val="14"/>
          <w:color w:val="auto"/>
        </w:rPr>
        <w:t>KNOW ALL MEN BY THESE PRESENTS, that each person whose signature appears below hereby constitutes and appoints Brian L. Roberts, Lawrence S. Smith, John R. Alchin, David L. Cohen, Lawrence J. Salva and Arthur R. Block and each of them, his (her) true and lawful attorneys-in-fact and agents, with full power of substitution and resubstitution, for him (her) and in his (her) name, place and stead, in any and all capacities, to sign any and all amendments to this Registration Statement (including post-effective amendments, as well as any related registration statement for amendment thereto) filed pursuant to Rule 462 promulgated under the Securities Act of 1933, and to file the same, with all exhibits thereto, and other documents in connection therewith, with the Securities and Exchange Commission, granting unto said attorneys-in-fact and agents full power and authority to do and perform each and every act and thing requisite and necessary to be done in and about the premises, as fully to all intents and purposes as he (she) might or could do in person, hereby ratifying and confirming all that said attorneys-in-fact and agents, or their substitute or substitutes, may lawfully do or cause to be done by virtue hereof.</w:t>
      </w:r>
    </w:p>
    <w:p>
      <w:pPr>
        <w:spacing w:after="0" w:line="163" w:lineRule="exact"/>
        <w:rPr>
          <w:sz w:val="20"/>
          <w:szCs w:val="20"/>
          <w:color w:val="auto"/>
        </w:rPr>
      </w:pPr>
    </w:p>
    <w:p>
      <w:pPr>
        <w:ind w:right="1140" w:firstLine="437"/>
        <w:spacing w:after="0" w:line="235" w:lineRule="auto"/>
        <w:rPr>
          <w:sz w:val="20"/>
          <w:szCs w:val="20"/>
          <w:color w:val="auto"/>
        </w:rPr>
      </w:pPr>
      <w:r>
        <w:rPr>
          <w:rFonts w:ascii="Courier New" w:cs="Courier New" w:eastAsia="Courier New" w:hAnsi="Courier New"/>
          <w:sz w:val="15"/>
          <w:szCs w:val="15"/>
          <w:color w:val="auto"/>
        </w:rPr>
        <w:t>Pursuant to the requirements of the Securities Act of 1933, this Registration Statement has been signed below by the following persons in the capacities and on the dates indicated.</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240" w:type="dxa"/>
            <w:vAlign w:val="bottom"/>
          </w:tcPr>
          <w:p>
            <w:pPr>
              <w:jc w:val="center"/>
              <w:ind w:left="467"/>
              <w:spacing w:after="0"/>
              <w:rPr>
                <w:sz w:val="20"/>
                <w:szCs w:val="20"/>
                <w:color w:val="auto"/>
              </w:rPr>
            </w:pPr>
            <w:r>
              <w:rPr>
                <w:rFonts w:ascii="Courier New" w:cs="Courier New" w:eastAsia="Courier New" w:hAnsi="Courier New"/>
                <w:sz w:val="15"/>
                <w:szCs w:val="15"/>
                <w:color w:val="auto"/>
                <w:w w:val="96"/>
              </w:rPr>
              <w:t>Signature</w:t>
            </w:r>
          </w:p>
        </w:tc>
        <w:tc>
          <w:tcPr>
            <w:tcW w:w="4560" w:type="dxa"/>
            <w:vAlign w:val="bottom"/>
          </w:tcPr>
          <w:p>
            <w:pPr>
              <w:ind w:left="2460"/>
              <w:spacing w:after="0"/>
              <w:rPr>
                <w:sz w:val="20"/>
                <w:szCs w:val="20"/>
                <w:color w:val="auto"/>
              </w:rPr>
            </w:pPr>
            <w:r>
              <w:rPr>
                <w:rFonts w:ascii="Courier New" w:cs="Courier New" w:eastAsia="Courier New" w:hAnsi="Courier New"/>
                <w:sz w:val="15"/>
                <w:szCs w:val="15"/>
                <w:color w:val="auto"/>
              </w:rPr>
              <w:t>Title</w:t>
            </w:r>
          </w:p>
        </w:tc>
      </w:tr>
      <w:tr>
        <w:trPr>
          <w:trHeight w:val="168"/>
        </w:trPr>
        <w:tc>
          <w:tcPr>
            <w:tcW w:w="3240" w:type="dxa"/>
            <w:vAlign w:val="bottom"/>
          </w:tcPr>
          <w:p>
            <w:pPr>
              <w:jc w:val="center"/>
              <w:ind w:left="467"/>
              <w:spacing w:after="0" w:line="168" w:lineRule="exact"/>
              <w:rPr>
                <w:sz w:val="20"/>
                <w:szCs w:val="20"/>
                <w:color w:val="auto"/>
              </w:rPr>
            </w:pPr>
            <w:r>
              <w:rPr>
                <w:rFonts w:ascii="Courier New" w:cs="Courier New" w:eastAsia="Courier New" w:hAnsi="Courier New"/>
                <w:sz w:val="15"/>
                <w:szCs w:val="15"/>
                <w:color w:val="auto"/>
                <w:w w:val="96"/>
              </w:rPr>
              <w:t>---------</w:t>
            </w:r>
          </w:p>
        </w:tc>
        <w:tc>
          <w:tcPr>
            <w:tcW w:w="4560" w:type="dxa"/>
            <w:vAlign w:val="bottom"/>
          </w:tcPr>
          <w:p>
            <w:pPr>
              <w:ind w:left="2460"/>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3240" w:type="dxa"/>
            <w:vAlign w:val="bottom"/>
          </w:tcPr>
          <w:p>
            <w:pPr>
              <w:jc w:val="center"/>
              <w:ind w:left="547"/>
              <w:spacing w:after="0"/>
              <w:rPr>
                <w:sz w:val="20"/>
                <w:szCs w:val="20"/>
                <w:color w:val="auto"/>
              </w:rPr>
            </w:pPr>
            <w:r>
              <w:rPr>
                <w:rFonts w:ascii="Courier New" w:cs="Courier New" w:eastAsia="Courier New" w:hAnsi="Courier New"/>
                <w:sz w:val="15"/>
                <w:szCs w:val="15"/>
                <w:color w:val="auto"/>
                <w:w w:val="96"/>
              </w:rPr>
              <w:t>/s/ Ralph J. Roberts</w:t>
            </w:r>
          </w:p>
        </w:tc>
        <w:tc>
          <w:tcPr>
            <w:tcW w:w="45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Chairman of the Executive and Finance</w:t>
            </w:r>
          </w:p>
        </w:tc>
      </w:tr>
      <w:tr>
        <w:trPr>
          <w:trHeight w:val="168"/>
        </w:trPr>
        <w:tc>
          <w:tcPr>
            <w:tcW w:w="32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76"/>
              </w:rPr>
              <w:t>- ---------------------------------------------</w:t>
            </w:r>
          </w:p>
        </w:tc>
        <w:tc>
          <w:tcPr>
            <w:tcW w:w="4560" w:type="dxa"/>
            <w:vAlign w:val="bottom"/>
          </w:tcPr>
          <w:p>
            <w:pPr>
              <w:ind w:left="1140"/>
              <w:spacing w:after="0" w:line="168" w:lineRule="exact"/>
              <w:rPr>
                <w:sz w:val="20"/>
                <w:szCs w:val="20"/>
                <w:color w:val="auto"/>
              </w:rPr>
            </w:pPr>
            <w:r>
              <w:rPr>
                <w:rFonts w:ascii="Courier New" w:cs="Courier New" w:eastAsia="Courier New" w:hAnsi="Courier New"/>
                <w:sz w:val="15"/>
                <w:szCs w:val="15"/>
                <w:color w:val="auto"/>
              </w:rPr>
              <w:t>Committee of the Board of Directors;</w:t>
            </w:r>
          </w:p>
        </w:tc>
      </w:tr>
      <w:tr>
        <w:trPr>
          <w:trHeight w:val="168"/>
        </w:trPr>
        <w:tc>
          <w:tcPr>
            <w:tcW w:w="3240" w:type="dxa"/>
            <w:vAlign w:val="bottom"/>
          </w:tcPr>
          <w:p>
            <w:pPr>
              <w:jc w:val="center"/>
              <w:ind w:left="567"/>
              <w:spacing w:after="0" w:line="168" w:lineRule="exact"/>
              <w:rPr>
                <w:sz w:val="20"/>
                <w:szCs w:val="20"/>
                <w:color w:val="auto"/>
              </w:rPr>
            </w:pPr>
            <w:r>
              <w:rPr>
                <w:rFonts w:ascii="Courier New" w:cs="Courier New" w:eastAsia="Courier New" w:hAnsi="Courier New"/>
                <w:sz w:val="15"/>
                <w:szCs w:val="15"/>
                <w:color w:val="auto"/>
                <w:w w:val="97"/>
              </w:rPr>
              <w:t>Ralph L. Roberts</w:t>
            </w:r>
          </w:p>
        </w:tc>
        <w:tc>
          <w:tcPr>
            <w:tcW w:w="4560" w:type="dxa"/>
            <w:vAlign w:val="bottom"/>
          </w:tcPr>
          <w:p>
            <w:pPr>
              <w:jc w:val="center"/>
              <w:ind w:left="627"/>
              <w:spacing w:after="0" w:line="168" w:lineRule="exact"/>
              <w:rPr>
                <w:sz w:val="20"/>
                <w:szCs w:val="20"/>
                <w:color w:val="auto"/>
              </w:rPr>
            </w:pPr>
            <w:r>
              <w:rPr>
                <w:rFonts w:ascii="Courier New" w:cs="Courier New" w:eastAsia="Courier New" w:hAnsi="Courier New"/>
                <w:sz w:val="15"/>
                <w:szCs w:val="15"/>
                <w:color w:val="auto"/>
                <w:w w:val="97"/>
              </w:rPr>
              <w:t>Director</w:t>
            </w:r>
          </w:p>
        </w:tc>
      </w:tr>
      <w:tr>
        <w:trPr>
          <w:trHeight w:val="505"/>
        </w:trPr>
        <w:tc>
          <w:tcPr>
            <w:tcW w:w="3240" w:type="dxa"/>
            <w:vAlign w:val="bottom"/>
          </w:tcPr>
          <w:p>
            <w:pPr>
              <w:jc w:val="center"/>
              <w:ind w:left="547"/>
              <w:spacing w:after="0"/>
              <w:rPr>
                <w:sz w:val="20"/>
                <w:szCs w:val="20"/>
                <w:color w:val="auto"/>
              </w:rPr>
            </w:pPr>
            <w:r>
              <w:rPr>
                <w:rFonts w:ascii="Courier New" w:cs="Courier New" w:eastAsia="Courier New" w:hAnsi="Courier New"/>
                <w:sz w:val="15"/>
                <w:szCs w:val="15"/>
                <w:color w:val="auto"/>
                <w:w w:val="97"/>
              </w:rPr>
              <w:t>/s/ C. Michael Armstrong</w:t>
            </w:r>
          </w:p>
        </w:tc>
        <w:tc>
          <w:tcPr>
            <w:tcW w:w="45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Chairman of the Board of Directors;</w:t>
            </w:r>
          </w:p>
        </w:tc>
      </w:tr>
      <w:tr>
        <w:trPr>
          <w:trHeight w:val="168"/>
        </w:trPr>
        <w:tc>
          <w:tcPr>
            <w:tcW w:w="32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76"/>
              </w:rPr>
              <w:t>- ---------------------------------------------</w:t>
            </w:r>
          </w:p>
        </w:tc>
        <w:tc>
          <w:tcPr>
            <w:tcW w:w="4560" w:type="dxa"/>
            <w:vAlign w:val="bottom"/>
          </w:tcPr>
          <w:p>
            <w:pPr>
              <w:ind w:left="2460"/>
              <w:spacing w:after="0" w:line="168" w:lineRule="exact"/>
              <w:rPr>
                <w:sz w:val="20"/>
                <w:szCs w:val="20"/>
                <w:color w:val="auto"/>
              </w:rPr>
            </w:pPr>
            <w:r>
              <w:rPr>
                <w:rFonts w:ascii="Courier New" w:cs="Courier New" w:eastAsia="Courier New" w:hAnsi="Courier New"/>
                <w:sz w:val="15"/>
                <w:szCs w:val="15"/>
                <w:color w:val="auto"/>
              </w:rPr>
              <w:t>Director</w:t>
            </w:r>
          </w:p>
        </w:tc>
      </w:tr>
      <w:tr>
        <w:trPr>
          <w:trHeight w:val="168"/>
        </w:trPr>
        <w:tc>
          <w:tcPr>
            <w:tcW w:w="3240" w:type="dxa"/>
            <w:vAlign w:val="bottom"/>
          </w:tcPr>
          <w:p>
            <w:pPr>
              <w:jc w:val="center"/>
              <w:ind w:left="547"/>
              <w:spacing w:after="0" w:line="168" w:lineRule="exact"/>
              <w:rPr>
                <w:sz w:val="20"/>
                <w:szCs w:val="20"/>
                <w:color w:val="auto"/>
              </w:rPr>
            </w:pPr>
            <w:r>
              <w:rPr>
                <w:rFonts w:ascii="Courier New" w:cs="Courier New" w:eastAsia="Courier New" w:hAnsi="Courier New"/>
                <w:sz w:val="15"/>
                <w:szCs w:val="15"/>
                <w:color w:val="auto"/>
                <w:w w:val="96"/>
              </w:rPr>
              <w:t>C. Michael Armstrong</w:t>
            </w:r>
          </w:p>
        </w:tc>
        <w:tc>
          <w:tcPr>
            <w:tcW w:w="4560" w:type="dxa"/>
            <w:vAlign w:val="bottom"/>
          </w:tcPr>
          <w:p>
            <w:pPr>
              <w:spacing w:after="0"/>
              <w:rPr>
                <w:sz w:val="14"/>
                <w:szCs w:val="14"/>
                <w:color w:val="auto"/>
              </w:rPr>
            </w:pPr>
          </w:p>
        </w:tc>
      </w:tr>
      <w:tr>
        <w:trPr>
          <w:trHeight w:val="505"/>
        </w:trPr>
        <w:tc>
          <w:tcPr>
            <w:tcW w:w="3240" w:type="dxa"/>
            <w:vAlign w:val="bottom"/>
          </w:tcPr>
          <w:p>
            <w:pPr>
              <w:jc w:val="center"/>
              <w:ind w:left="467"/>
              <w:spacing w:after="0"/>
              <w:rPr>
                <w:sz w:val="20"/>
                <w:szCs w:val="20"/>
                <w:color w:val="auto"/>
              </w:rPr>
            </w:pPr>
            <w:r>
              <w:rPr>
                <w:rFonts w:ascii="Courier New" w:cs="Courier New" w:eastAsia="Courier New" w:hAnsi="Courier New"/>
                <w:sz w:val="15"/>
                <w:szCs w:val="15"/>
                <w:color w:val="auto"/>
                <w:w w:val="96"/>
              </w:rPr>
              <w:t>/s/ Julian A. Brodsky</w:t>
            </w:r>
          </w:p>
        </w:tc>
        <w:tc>
          <w:tcPr>
            <w:tcW w:w="4560" w:type="dxa"/>
            <w:vAlign w:val="bottom"/>
          </w:tcPr>
          <w:p>
            <w:pPr>
              <w:jc w:val="center"/>
              <w:ind w:left="627"/>
              <w:spacing w:after="0"/>
              <w:rPr>
                <w:sz w:val="20"/>
                <w:szCs w:val="20"/>
                <w:color w:val="auto"/>
              </w:rPr>
            </w:pPr>
            <w:r>
              <w:rPr>
                <w:rFonts w:ascii="Courier New" w:cs="Courier New" w:eastAsia="Courier New" w:hAnsi="Courier New"/>
                <w:sz w:val="15"/>
                <w:szCs w:val="15"/>
                <w:color w:val="auto"/>
                <w:w w:val="97"/>
              </w:rPr>
              <w:t>Vice Chairman of the Board of Directors;</w:t>
            </w:r>
          </w:p>
        </w:tc>
      </w:tr>
      <w:tr>
        <w:trPr>
          <w:trHeight w:val="168"/>
        </w:trPr>
        <w:tc>
          <w:tcPr>
            <w:tcW w:w="32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76"/>
              </w:rPr>
              <w:t>- ---------------------------------------------</w:t>
            </w:r>
          </w:p>
        </w:tc>
        <w:tc>
          <w:tcPr>
            <w:tcW w:w="4560" w:type="dxa"/>
            <w:vAlign w:val="bottom"/>
          </w:tcPr>
          <w:p>
            <w:pPr>
              <w:ind w:left="2460"/>
              <w:spacing w:after="0" w:line="168" w:lineRule="exact"/>
              <w:rPr>
                <w:sz w:val="20"/>
                <w:szCs w:val="20"/>
                <w:color w:val="auto"/>
              </w:rPr>
            </w:pPr>
            <w:r>
              <w:rPr>
                <w:rFonts w:ascii="Courier New" w:cs="Courier New" w:eastAsia="Courier New" w:hAnsi="Courier New"/>
                <w:sz w:val="15"/>
                <w:szCs w:val="15"/>
                <w:color w:val="auto"/>
              </w:rPr>
              <w:t>Director</w:t>
            </w:r>
          </w:p>
        </w:tc>
      </w:tr>
      <w:tr>
        <w:trPr>
          <w:trHeight w:val="168"/>
        </w:trPr>
        <w:tc>
          <w:tcPr>
            <w:tcW w:w="3240" w:type="dxa"/>
            <w:vAlign w:val="bottom"/>
          </w:tcPr>
          <w:p>
            <w:pPr>
              <w:jc w:val="center"/>
              <w:ind w:left="467"/>
              <w:spacing w:after="0" w:line="168" w:lineRule="exact"/>
              <w:rPr>
                <w:sz w:val="20"/>
                <w:szCs w:val="20"/>
                <w:color w:val="auto"/>
              </w:rPr>
            </w:pPr>
            <w:r>
              <w:rPr>
                <w:rFonts w:ascii="Courier New" w:cs="Courier New" w:eastAsia="Courier New" w:hAnsi="Courier New"/>
                <w:sz w:val="15"/>
                <w:szCs w:val="15"/>
                <w:color w:val="auto"/>
                <w:w w:val="98"/>
              </w:rPr>
              <w:t>Julian A. Brodsky</w:t>
            </w:r>
          </w:p>
        </w:tc>
        <w:tc>
          <w:tcPr>
            <w:tcW w:w="4560" w:type="dxa"/>
            <w:vAlign w:val="bottom"/>
          </w:tcPr>
          <w:p>
            <w:pPr>
              <w:spacing w:after="0"/>
              <w:rPr>
                <w:sz w:val="14"/>
                <w:szCs w:val="14"/>
                <w:color w:val="auto"/>
              </w:rPr>
            </w:pPr>
          </w:p>
        </w:tc>
      </w:tr>
      <w:tr>
        <w:trPr>
          <w:trHeight w:val="505"/>
        </w:trPr>
        <w:tc>
          <w:tcPr>
            <w:tcW w:w="3240" w:type="dxa"/>
            <w:vAlign w:val="bottom"/>
          </w:tcPr>
          <w:p>
            <w:pPr>
              <w:jc w:val="center"/>
              <w:ind w:left="547"/>
              <w:spacing w:after="0"/>
              <w:rPr>
                <w:sz w:val="20"/>
                <w:szCs w:val="20"/>
                <w:color w:val="auto"/>
              </w:rPr>
            </w:pPr>
            <w:r>
              <w:rPr>
                <w:rFonts w:ascii="Courier New" w:cs="Courier New" w:eastAsia="Courier New" w:hAnsi="Courier New"/>
                <w:sz w:val="15"/>
                <w:szCs w:val="15"/>
                <w:color w:val="auto"/>
                <w:w w:val="96"/>
              </w:rPr>
              <w:t>/s/ Brian L. Roberts</w:t>
            </w:r>
          </w:p>
        </w:tc>
        <w:tc>
          <w:tcPr>
            <w:tcW w:w="4560" w:type="dxa"/>
            <w:vAlign w:val="bottom"/>
          </w:tcPr>
          <w:p>
            <w:pPr>
              <w:ind w:left="1060"/>
              <w:spacing w:after="0"/>
              <w:rPr>
                <w:sz w:val="20"/>
                <w:szCs w:val="20"/>
                <w:color w:val="auto"/>
              </w:rPr>
            </w:pPr>
            <w:r>
              <w:rPr>
                <w:rFonts w:ascii="Courier New" w:cs="Courier New" w:eastAsia="Courier New" w:hAnsi="Courier New"/>
                <w:sz w:val="15"/>
                <w:szCs w:val="15"/>
                <w:color w:val="auto"/>
              </w:rPr>
              <w:t>President and Chief Executive Officer</w:t>
            </w:r>
          </w:p>
        </w:tc>
      </w:tr>
      <w:tr>
        <w:trPr>
          <w:trHeight w:val="168"/>
        </w:trPr>
        <w:tc>
          <w:tcPr>
            <w:tcW w:w="32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76"/>
              </w:rPr>
              <w:t>- ---------------------------------------------</w:t>
            </w:r>
          </w:p>
        </w:tc>
        <w:tc>
          <w:tcPr>
            <w:tcW w:w="4560" w:type="dxa"/>
            <w:vAlign w:val="bottom"/>
          </w:tcPr>
          <w:p>
            <w:pPr>
              <w:ind w:left="1140"/>
              <w:spacing w:after="0" w:line="168" w:lineRule="exact"/>
              <w:rPr>
                <w:sz w:val="20"/>
                <w:szCs w:val="20"/>
                <w:color w:val="auto"/>
              </w:rPr>
            </w:pPr>
            <w:r>
              <w:rPr>
                <w:rFonts w:ascii="Courier New" w:cs="Courier New" w:eastAsia="Courier New" w:hAnsi="Courier New"/>
                <w:sz w:val="15"/>
                <w:szCs w:val="15"/>
                <w:color w:val="auto"/>
                <w:w w:val="96"/>
              </w:rPr>
              <w:t>(Principal Executive Officer); Director</w:t>
            </w:r>
          </w:p>
        </w:tc>
      </w:tr>
      <w:tr>
        <w:trPr>
          <w:trHeight w:val="168"/>
        </w:trPr>
        <w:tc>
          <w:tcPr>
            <w:tcW w:w="3240" w:type="dxa"/>
            <w:vAlign w:val="bottom"/>
          </w:tcPr>
          <w:p>
            <w:pPr>
              <w:jc w:val="center"/>
              <w:ind w:left="567"/>
              <w:spacing w:after="0" w:line="168" w:lineRule="exact"/>
              <w:rPr>
                <w:sz w:val="20"/>
                <w:szCs w:val="20"/>
                <w:color w:val="auto"/>
              </w:rPr>
            </w:pPr>
            <w:r>
              <w:rPr>
                <w:rFonts w:ascii="Courier New" w:cs="Courier New" w:eastAsia="Courier New" w:hAnsi="Courier New"/>
                <w:sz w:val="15"/>
                <w:szCs w:val="15"/>
                <w:color w:val="auto"/>
                <w:w w:val="97"/>
              </w:rPr>
              <w:t>Brian L. Roberts</w:t>
            </w:r>
          </w:p>
        </w:tc>
        <w:tc>
          <w:tcPr>
            <w:tcW w:w="4560" w:type="dxa"/>
            <w:vAlign w:val="bottom"/>
          </w:tcPr>
          <w:p>
            <w:pPr>
              <w:spacing w:after="0"/>
              <w:rPr>
                <w:sz w:val="14"/>
                <w:szCs w:val="14"/>
                <w:color w:val="auto"/>
              </w:rPr>
            </w:pPr>
          </w:p>
        </w:tc>
      </w:tr>
      <w:tr>
        <w:trPr>
          <w:trHeight w:val="505"/>
        </w:trPr>
        <w:tc>
          <w:tcPr>
            <w:tcW w:w="3240" w:type="dxa"/>
            <w:vAlign w:val="bottom"/>
          </w:tcPr>
          <w:p>
            <w:pPr>
              <w:jc w:val="center"/>
              <w:ind w:left="467"/>
              <w:spacing w:after="0"/>
              <w:rPr>
                <w:sz w:val="20"/>
                <w:szCs w:val="20"/>
                <w:color w:val="auto"/>
              </w:rPr>
            </w:pPr>
            <w:r>
              <w:rPr>
                <w:rFonts w:ascii="Courier New" w:cs="Courier New" w:eastAsia="Courier New" w:hAnsi="Courier New"/>
                <w:sz w:val="15"/>
                <w:szCs w:val="15"/>
                <w:color w:val="auto"/>
                <w:w w:val="96"/>
              </w:rPr>
              <w:t>/s/ Lawrence S. Smith</w:t>
            </w:r>
          </w:p>
        </w:tc>
        <w:tc>
          <w:tcPr>
            <w:tcW w:w="4560" w:type="dxa"/>
            <w:vAlign w:val="bottom"/>
          </w:tcPr>
          <w:p>
            <w:pPr>
              <w:jc w:val="center"/>
              <w:ind w:left="627"/>
              <w:spacing w:after="0"/>
              <w:rPr>
                <w:sz w:val="20"/>
                <w:szCs w:val="20"/>
                <w:color w:val="auto"/>
              </w:rPr>
            </w:pPr>
            <w:r>
              <w:rPr>
                <w:rFonts w:ascii="Courier New" w:cs="Courier New" w:eastAsia="Courier New" w:hAnsi="Courier New"/>
                <w:sz w:val="15"/>
                <w:szCs w:val="15"/>
                <w:color w:val="auto"/>
                <w:w w:val="97"/>
              </w:rPr>
              <w:t>Executive Vice President</w:t>
            </w:r>
          </w:p>
        </w:tc>
      </w:tr>
      <w:tr>
        <w:trPr>
          <w:trHeight w:val="168"/>
        </w:trPr>
        <w:tc>
          <w:tcPr>
            <w:tcW w:w="32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76"/>
              </w:rPr>
              <w:t>- ---------------------------------------------</w:t>
            </w:r>
          </w:p>
        </w:tc>
        <w:tc>
          <w:tcPr>
            <w:tcW w:w="45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(Co-Principal Financial Officer)</w:t>
            </w:r>
          </w:p>
        </w:tc>
      </w:tr>
      <w:tr>
        <w:trPr>
          <w:trHeight w:val="168"/>
        </w:trPr>
        <w:tc>
          <w:tcPr>
            <w:tcW w:w="3240" w:type="dxa"/>
            <w:vAlign w:val="bottom"/>
          </w:tcPr>
          <w:p>
            <w:pPr>
              <w:jc w:val="center"/>
              <w:ind w:left="467"/>
              <w:spacing w:after="0" w:line="168" w:lineRule="exact"/>
              <w:rPr>
                <w:sz w:val="20"/>
                <w:szCs w:val="20"/>
                <w:color w:val="auto"/>
              </w:rPr>
            </w:pPr>
            <w:r>
              <w:rPr>
                <w:rFonts w:ascii="Courier New" w:cs="Courier New" w:eastAsia="Courier New" w:hAnsi="Courier New"/>
                <w:sz w:val="15"/>
                <w:szCs w:val="15"/>
                <w:color w:val="auto"/>
                <w:w w:val="98"/>
              </w:rPr>
              <w:t>Lawrence S. Smith</w:t>
            </w:r>
          </w:p>
        </w:tc>
        <w:tc>
          <w:tcPr>
            <w:tcW w:w="4560" w:type="dxa"/>
            <w:vAlign w:val="bottom"/>
          </w:tcPr>
          <w:p>
            <w:pPr>
              <w:spacing w:after="0"/>
              <w:rPr>
                <w:sz w:val="14"/>
                <w:szCs w:val="14"/>
                <w:color w:val="auto"/>
              </w:rPr>
            </w:pPr>
          </w:p>
        </w:tc>
      </w:tr>
      <w:tr>
        <w:trPr>
          <w:trHeight w:val="505"/>
        </w:trPr>
        <w:tc>
          <w:tcPr>
            <w:tcW w:w="3240" w:type="dxa"/>
            <w:vAlign w:val="bottom"/>
          </w:tcPr>
          <w:p>
            <w:pPr>
              <w:jc w:val="center"/>
              <w:ind w:left="547"/>
              <w:spacing w:after="0"/>
              <w:rPr>
                <w:sz w:val="20"/>
                <w:szCs w:val="20"/>
                <w:color w:val="auto"/>
              </w:rPr>
            </w:pPr>
            <w:r>
              <w:rPr>
                <w:rFonts w:ascii="Courier New" w:cs="Courier New" w:eastAsia="Courier New" w:hAnsi="Courier New"/>
                <w:sz w:val="15"/>
                <w:szCs w:val="15"/>
                <w:color w:val="auto"/>
                <w:w w:val="97"/>
              </w:rPr>
              <w:t>/s/ John R. Alchin</w:t>
            </w:r>
          </w:p>
        </w:tc>
        <w:tc>
          <w:tcPr>
            <w:tcW w:w="4560" w:type="dxa"/>
            <w:vAlign w:val="bottom"/>
          </w:tcPr>
          <w:p>
            <w:pPr>
              <w:jc w:val="center"/>
              <w:ind w:left="627"/>
              <w:spacing w:after="0"/>
              <w:rPr>
                <w:sz w:val="20"/>
                <w:szCs w:val="20"/>
                <w:color w:val="auto"/>
              </w:rPr>
            </w:pPr>
            <w:r>
              <w:rPr>
                <w:rFonts w:ascii="Courier New" w:cs="Courier New" w:eastAsia="Courier New" w:hAnsi="Courier New"/>
                <w:sz w:val="15"/>
                <w:szCs w:val="15"/>
                <w:color w:val="auto"/>
                <w:w w:val="97"/>
              </w:rPr>
              <w:t>Executive Vice President and Treasurer</w:t>
            </w:r>
          </w:p>
        </w:tc>
      </w:tr>
      <w:tr>
        <w:trPr>
          <w:trHeight w:val="168"/>
        </w:trPr>
        <w:tc>
          <w:tcPr>
            <w:tcW w:w="32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76"/>
              </w:rPr>
              <w:t>- ---------------------------------------------</w:t>
            </w:r>
          </w:p>
        </w:tc>
        <w:tc>
          <w:tcPr>
            <w:tcW w:w="45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(Co-Principal Financial Officer)</w:t>
            </w:r>
          </w:p>
        </w:tc>
      </w:tr>
      <w:tr>
        <w:trPr>
          <w:trHeight w:val="168"/>
        </w:trPr>
        <w:tc>
          <w:tcPr>
            <w:tcW w:w="3240" w:type="dxa"/>
            <w:vAlign w:val="bottom"/>
          </w:tcPr>
          <w:p>
            <w:pPr>
              <w:jc w:val="center"/>
              <w:ind w:left="547"/>
              <w:spacing w:after="0" w:line="168" w:lineRule="exact"/>
              <w:rPr>
                <w:sz w:val="20"/>
                <w:szCs w:val="20"/>
                <w:color w:val="auto"/>
              </w:rPr>
            </w:pPr>
            <w:r>
              <w:rPr>
                <w:rFonts w:ascii="Courier New" w:cs="Courier New" w:eastAsia="Courier New" w:hAnsi="Courier New"/>
                <w:sz w:val="15"/>
                <w:szCs w:val="15"/>
                <w:color w:val="auto"/>
                <w:w w:val="96"/>
              </w:rPr>
              <w:t>John R. Alchin</w:t>
            </w:r>
          </w:p>
        </w:tc>
        <w:tc>
          <w:tcPr>
            <w:tcW w:w="4560" w:type="dxa"/>
            <w:vAlign w:val="bottom"/>
          </w:tcPr>
          <w:p>
            <w:pPr>
              <w:spacing w:after="0"/>
              <w:rPr>
                <w:sz w:val="14"/>
                <w:szCs w:val="14"/>
                <w:color w:val="auto"/>
              </w:rPr>
            </w:pPr>
          </w:p>
        </w:tc>
      </w:tr>
      <w:tr>
        <w:trPr>
          <w:trHeight w:val="505"/>
        </w:trPr>
        <w:tc>
          <w:tcPr>
            <w:tcW w:w="3240" w:type="dxa"/>
            <w:vAlign w:val="bottom"/>
          </w:tcPr>
          <w:p>
            <w:pPr>
              <w:spacing w:after="0"/>
              <w:rPr>
                <w:sz w:val="24"/>
                <w:szCs w:val="24"/>
                <w:color w:val="auto"/>
              </w:rPr>
            </w:pPr>
          </w:p>
        </w:tc>
        <w:tc>
          <w:tcPr>
            <w:tcW w:w="4560" w:type="dxa"/>
            <w:vAlign w:val="bottom"/>
          </w:tcPr>
          <w:p>
            <w:pPr>
              <w:spacing w:after="0"/>
              <w:rPr>
                <w:sz w:val="20"/>
                <w:szCs w:val="20"/>
                <w:color w:val="auto"/>
              </w:rPr>
            </w:pPr>
            <w:r>
              <w:rPr>
                <w:rFonts w:ascii="Courier New" w:cs="Courier New" w:eastAsia="Courier New" w:hAnsi="Courier New"/>
                <w:sz w:val="15"/>
                <w:szCs w:val="15"/>
                <w:color w:val="auto"/>
              </w:rPr>
              <w:t>II-11</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Date</w:t>
      </w:r>
    </w:p>
    <w:p>
      <w:pPr>
        <w:ind w:left="700"/>
        <w:spacing w:after="0" w:line="237" w:lineRule="auto"/>
        <w:rPr>
          <w:sz w:val="20"/>
          <w:szCs w:val="20"/>
          <w:color w:val="auto"/>
        </w:rPr>
      </w:pPr>
      <w:r>
        <w:rPr>
          <w:rFonts w:ascii="Courier New" w:cs="Courier New" w:eastAsia="Courier New" w:hAnsi="Courier New"/>
          <w:sz w:val="15"/>
          <w:szCs w:val="15"/>
          <w:color w:val="auto"/>
        </w:rPr>
        <w:t>----</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December 16, 2002</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December 16, 2002</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December 16, 2002</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December 16, 2002</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December 16, 2002</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December 16, 2002</w:t>
      </w:r>
    </w:p>
    <w:p>
      <w:pPr>
        <w:sectPr>
          <w:pgSz w:w="11900" w:h="16838" w:orient="portrait"/>
          <w:cols w:equalWidth="0" w:num="2">
            <w:col w:w="7800" w:space="440"/>
            <w:col w:w="1999"/>
          </w:cols>
          <w:pgMar w:left="220" w:top="1122" w:right="1440" w:bottom="1440" w:gutter="0" w:footer="0" w:header="0"/>
        </w:sectPr>
      </w:pPr>
    </w:p>
    <w:bookmarkStart w:id="67" w:name="page68"/>
    <w:bookmarkEnd w:id="67"/>
    <w:tbl>
      <w:tblPr>
        <w:tblLayout w:type="fixed"/>
        <w:tblInd w:w="0" w:type="dxa"/>
        <w:tblCellMar>
          <w:top w:w="0" w:type="dxa"/>
          <w:left w:w="0" w:type="dxa"/>
          <w:bottom w:w="0" w:type="dxa"/>
          <w:right w:w="0" w:type="dxa"/>
        </w:tblCellMar>
      </w:tblPr>
      <w:tr>
        <w:trPr>
          <w:trHeight w:val="170"/>
        </w:trPr>
        <w:tc>
          <w:tcPr>
            <w:tcW w:w="4200" w:type="dxa"/>
            <w:vAlign w:val="bottom"/>
          </w:tcPr>
          <w:p>
            <w:pPr>
              <w:jc w:val="center"/>
              <w:ind w:right="347"/>
              <w:spacing w:after="0"/>
              <w:rPr>
                <w:sz w:val="20"/>
                <w:szCs w:val="20"/>
                <w:color w:val="auto"/>
              </w:rPr>
            </w:pPr>
            <w:r>
              <w:rPr>
                <w:rFonts w:ascii="Courier New" w:cs="Courier New" w:eastAsia="Courier New" w:hAnsi="Courier New"/>
                <w:sz w:val="15"/>
                <w:szCs w:val="15"/>
                <w:color w:val="auto"/>
                <w:w w:val="96"/>
              </w:rPr>
              <w:t>/s/ Lawrence J. Salva</w:t>
            </w:r>
          </w:p>
        </w:tc>
        <w:tc>
          <w:tcPr>
            <w:tcW w:w="3640" w:type="dxa"/>
            <w:vAlign w:val="bottom"/>
          </w:tcPr>
          <w:p>
            <w:pPr>
              <w:jc w:val="center"/>
              <w:ind w:right="227"/>
              <w:spacing w:after="0"/>
              <w:rPr>
                <w:sz w:val="20"/>
                <w:szCs w:val="20"/>
                <w:color w:val="auto"/>
              </w:rPr>
            </w:pPr>
            <w:r>
              <w:rPr>
                <w:rFonts w:ascii="Courier New" w:cs="Courier New" w:eastAsia="Courier New" w:hAnsi="Courier New"/>
                <w:sz w:val="15"/>
                <w:szCs w:val="15"/>
                <w:color w:val="auto"/>
                <w:w w:val="96"/>
              </w:rPr>
              <w:t>Senior Vice President and Controller</w:t>
            </w:r>
          </w:p>
        </w:tc>
        <w:tc>
          <w:tcPr>
            <w:tcW w:w="1880" w:type="dxa"/>
            <w:vAlign w:val="bottom"/>
          </w:tcPr>
          <w:p>
            <w:pPr>
              <w:ind w:left="400"/>
              <w:spacing w:after="0"/>
              <w:rPr>
                <w:sz w:val="20"/>
                <w:szCs w:val="20"/>
                <w:color w:val="auto"/>
              </w:rPr>
            </w:pPr>
            <w:r>
              <w:rPr>
                <w:rFonts w:ascii="Courier New" w:cs="Courier New" w:eastAsia="Courier New" w:hAnsi="Courier New"/>
                <w:sz w:val="15"/>
                <w:szCs w:val="15"/>
                <w:color w:val="auto"/>
                <w:w w:val="95"/>
              </w:rPr>
              <w:t>December 16, 2002</w:t>
            </w:r>
          </w:p>
        </w:tc>
      </w:tr>
      <w:tr>
        <w:trPr>
          <w:trHeight w:val="168"/>
        </w:trPr>
        <w:tc>
          <w:tcPr>
            <w:tcW w:w="42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 ---------------------------------------------</w:t>
            </w:r>
          </w:p>
        </w:tc>
        <w:tc>
          <w:tcPr>
            <w:tcW w:w="364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(Principal Accounting Officer)</w:t>
            </w:r>
          </w:p>
        </w:tc>
        <w:tc>
          <w:tcPr>
            <w:tcW w:w="1880" w:type="dxa"/>
            <w:vAlign w:val="bottom"/>
          </w:tcPr>
          <w:p>
            <w:pPr>
              <w:spacing w:after="0"/>
              <w:rPr>
                <w:sz w:val="14"/>
                <w:szCs w:val="14"/>
                <w:color w:val="auto"/>
              </w:rPr>
            </w:pPr>
          </w:p>
        </w:tc>
      </w:tr>
      <w:tr>
        <w:trPr>
          <w:trHeight w:val="168"/>
        </w:trPr>
        <w:tc>
          <w:tcPr>
            <w:tcW w:w="4200" w:type="dxa"/>
            <w:vAlign w:val="bottom"/>
          </w:tcPr>
          <w:p>
            <w:pPr>
              <w:jc w:val="center"/>
              <w:ind w:right="347"/>
              <w:spacing w:after="0" w:line="168" w:lineRule="exact"/>
              <w:rPr>
                <w:sz w:val="20"/>
                <w:szCs w:val="20"/>
                <w:color w:val="auto"/>
              </w:rPr>
            </w:pPr>
            <w:r>
              <w:rPr>
                <w:rFonts w:ascii="Courier New" w:cs="Courier New" w:eastAsia="Courier New" w:hAnsi="Courier New"/>
                <w:sz w:val="15"/>
                <w:szCs w:val="15"/>
                <w:color w:val="auto"/>
                <w:w w:val="98"/>
              </w:rPr>
              <w:t>Lawrence J. Salva</w:t>
            </w:r>
          </w:p>
        </w:tc>
        <w:tc>
          <w:tcPr>
            <w:tcW w:w="3640" w:type="dxa"/>
            <w:vAlign w:val="bottom"/>
          </w:tcPr>
          <w:p>
            <w:pPr>
              <w:spacing w:after="0"/>
              <w:rPr>
                <w:sz w:val="14"/>
                <w:szCs w:val="14"/>
                <w:color w:val="auto"/>
              </w:rPr>
            </w:pPr>
          </w:p>
        </w:tc>
        <w:tc>
          <w:tcPr>
            <w:tcW w:w="1880" w:type="dxa"/>
            <w:vAlign w:val="bottom"/>
          </w:tcPr>
          <w:p>
            <w:pPr>
              <w:spacing w:after="0"/>
              <w:rPr>
                <w:sz w:val="14"/>
                <w:szCs w:val="14"/>
                <w:color w:val="auto"/>
              </w:rPr>
            </w:pPr>
          </w:p>
        </w:tc>
      </w:tr>
      <w:tr>
        <w:trPr>
          <w:trHeight w:val="505"/>
        </w:trPr>
        <w:tc>
          <w:tcPr>
            <w:tcW w:w="4200" w:type="dxa"/>
            <w:vAlign w:val="bottom"/>
          </w:tcPr>
          <w:p>
            <w:pPr>
              <w:jc w:val="center"/>
              <w:ind w:right="347"/>
              <w:spacing w:after="0"/>
              <w:rPr>
                <w:sz w:val="20"/>
                <w:szCs w:val="20"/>
                <w:color w:val="auto"/>
              </w:rPr>
            </w:pPr>
            <w:r>
              <w:rPr>
                <w:rFonts w:ascii="Courier New" w:cs="Courier New" w:eastAsia="Courier New" w:hAnsi="Courier New"/>
                <w:sz w:val="15"/>
                <w:szCs w:val="15"/>
                <w:color w:val="auto"/>
                <w:w w:val="96"/>
              </w:rPr>
              <w:t>/s/ S. Decker Anstrom</w:t>
            </w:r>
          </w:p>
        </w:tc>
        <w:tc>
          <w:tcPr>
            <w:tcW w:w="3640" w:type="dxa"/>
            <w:vAlign w:val="bottom"/>
          </w:tcPr>
          <w:p>
            <w:pPr>
              <w:jc w:val="center"/>
              <w:ind w:right="227"/>
              <w:spacing w:after="0"/>
              <w:rPr>
                <w:sz w:val="20"/>
                <w:szCs w:val="20"/>
                <w:color w:val="auto"/>
              </w:rPr>
            </w:pPr>
            <w:r>
              <w:rPr>
                <w:rFonts w:ascii="Courier New" w:cs="Courier New" w:eastAsia="Courier New" w:hAnsi="Courier New"/>
                <w:sz w:val="15"/>
                <w:szCs w:val="15"/>
                <w:color w:val="auto"/>
                <w:w w:val="97"/>
              </w:rPr>
              <w:t>Director</w:t>
            </w:r>
          </w:p>
        </w:tc>
        <w:tc>
          <w:tcPr>
            <w:tcW w:w="1880" w:type="dxa"/>
            <w:vAlign w:val="bottom"/>
          </w:tcPr>
          <w:p>
            <w:pPr>
              <w:ind w:left="400"/>
              <w:spacing w:after="0"/>
              <w:rPr>
                <w:sz w:val="20"/>
                <w:szCs w:val="20"/>
                <w:color w:val="auto"/>
              </w:rPr>
            </w:pPr>
            <w:r>
              <w:rPr>
                <w:rFonts w:ascii="Courier New" w:cs="Courier New" w:eastAsia="Courier New" w:hAnsi="Courier New"/>
                <w:sz w:val="15"/>
                <w:szCs w:val="15"/>
                <w:color w:val="auto"/>
                <w:w w:val="95"/>
              </w:rPr>
              <w:t>December 16, 2002</w:t>
            </w:r>
          </w:p>
        </w:tc>
      </w:tr>
      <w:tr>
        <w:trPr>
          <w:trHeight w:val="168"/>
        </w:trPr>
        <w:tc>
          <w:tcPr>
            <w:tcW w:w="42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 ---------------------------------------------</w:t>
            </w:r>
          </w:p>
        </w:tc>
        <w:tc>
          <w:tcPr>
            <w:tcW w:w="3640" w:type="dxa"/>
            <w:vAlign w:val="bottom"/>
          </w:tcPr>
          <w:p>
            <w:pPr>
              <w:spacing w:after="0"/>
              <w:rPr>
                <w:sz w:val="14"/>
                <w:szCs w:val="14"/>
                <w:color w:val="auto"/>
              </w:rPr>
            </w:pPr>
          </w:p>
        </w:tc>
        <w:tc>
          <w:tcPr>
            <w:tcW w:w="1880" w:type="dxa"/>
            <w:vAlign w:val="bottom"/>
          </w:tcPr>
          <w:p>
            <w:pPr>
              <w:spacing w:after="0"/>
              <w:rPr>
                <w:sz w:val="14"/>
                <w:szCs w:val="14"/>
                <w:color w:val="auto"/>
              </w:rPr>
            </w:pPr>
          </w:p>
        </w:tc>
      </w:tr>
      <w:tr>
        <w:trPr>
          <w:trHeight w:val="168"/>
        </w:trPr>
        <w:tc>
          <w:tcPr>
            <w:tcW w:w="4200" w:type="dxa"/>
            <w:vAlign w:val="bottom"/>
          </w:tcPr>
          <w:p>
            <w:pPr>
              <w:jc w:val="center"/>
              <w:ind w:right="347"/>
              <w:spacing w:after="0" w:line="168" w:lineRule="exact"/>
              <w:rPr>
                <w:sz w:val="20"/>
                <w:szCs w:val="20"/>
                <w:color w:val="auto"/>
              </w:rPr>
            </w:pPr>
            <w:r>
              <w:rPr>
                <w:rFonts w:ascii="Courier New" w:cs="Courier New" w:eastAsia="Courier New" w:hAnsi="Courier New"/>
                <w:sz w:val="15"/>
                <w:szCs w:val="15"/>
                <w:color w:val="auto"/>
                <w:w w:val="98"/>
              </w:rPr>
              <w:t>S. Decker Anstrom</w:t>
            </w:r>
          </w:p>
        </w:tc>
        <w:tc>
          <w:tcPr>
            <w:tcW w:w="3640" w:type="dxa"/>
            <w:vAlign w:val="bottom"/>
          </w:tcPr>
          <w:p>
            <w:pPr>
              <w:spacing w:after="0"/>
              <w:rPr>
                <w:sz w:val="14"/>
                <w:szCs w:val="14"/>
                <w:color w:val="auto"/>
              </w:rPr>
            </w:pPr>
          </w:p>
        </w:tc>
        <w:tc>
          <w:tcPr>
            <w:tcW w:w="1880" w:type="dxa"/>
            <w:vAlign w:val="bottom"/>
          </w:tcPr>
          <w:p>
            <w:pPr>
              <w:spacing w:after="0"/>
              <w:rPr>
                <w:sz w:val="14"/>
                <w:szCs w:val="14"/>
                <w:color w:val="auto"/>
              </w:rPr>
            </w:pPr>
          </w:p>
        </w:tc>
      </w:tr>
      <w:tr>
        <w:trPr>
          <w:trHeight w:val="505"/>
        </w:trPr>
        <w:tc>
          <w:tcPr>
            <w:tcW w:w="4200" w:type="dxa"/>
            <w:vAlign w:val="bottom"/>
          </w:tcPr>
          <w:p>
            <w:pPr>
              <w:jc w:val="center"/>
              <w:ind w:right="347"/>
              <w:spacing w:after="0"/>
              <w:rPr>
                <w:sz w:val="20"/>
                <w:szCs w:val="20"/>
                <w:color w:val="auto"/>
              </w:rPr>
            </w:pPr>
            <w:r>
              <w:rPr>
                <w:rFonts w:ascii="Courier New" w:cs="Courier New" w:eastAsia="Courier New" w:hAnsi="Courier New"/>
                <w:sz w:val="15"/>
                <w:szCs w:val="15"/>
                <w:color w:val="auto"/>
                <w:w w:val="97"/>
              </w:rPr>
              <w:t>/s/ Sheldon M. Bonovitz</w:t>
            </w:r>
          </w:p>
        </w:tc>
        <w:tc>
          <w:tcPr>
            <w:tcW w:w="3640" w:type="dxa"/>
            <w:vAlign w:val="bottom"/>
          </w:tcPr>
          <w:p>
            <w:pPr>
              <w:jc w:val="center"/>
              <w:ind w:right="227"/>
              <w:spacing w:after="0"/>
              <w:rPr>
                <w:sz w:val="20"/>
                <w:szCs w:val="20"/>
                <w:color w:val="auto"/>
              </w:rPr>
            </w:pPr>
            <w:r>
              <w:rPr>
                <w:rFonts w:ascii="Courier New" w:cs="Courier New" w:eastAsia="Courier New" w:hAnsi="Courier New"/>
                <w:sz w:val="15"/>
                <w:szCs w:val="15"/>
                <w:color w:val="auto"/>
                <w:w w:val="97"/>
              </w:rPr>
              <w:t>Director</w:t>
            </w:r>
          </w:p>
        </w:tc>
        <w:tc>
          <w:tcPr>
            <w:tcW w:w="1880" w:type="dxa"/>
            <w:vAlign w:val="bottom"/>
          </w:tcPr>
          <w:p>
            <w:pPr>
              <w:ind w:left="400"/>
              <w:spacing w:after="0"/>
              <w:rPr>
                <w:sz w:val="20"/>
                <w:szCs w:val="20"/>
                <w:color w:val="auto"/>
              </w:rPr>
            </w:pPr>
            <w:r>
              <w:rPr>
                <w:rFonts w:ascii="Courier New" w:cs="Courier New" w:eastAsia="Courier New" w:hAnsi="Courier New"/>
                <w:sz w:val="15"/>
                <w:szCs w:val="15"/>
                <w:color w:val="auto"/>
                <w:w w:val="95"/>
              </w:rPr>
              <w:t>December 16, 2002</w:t>
            </w:r>
          </w:p>
        </w:tc>
      </w:tr>
      <w:tr>
        <w:trPr>
          <w:trHeight w:val="168"/>
        </w:trPr>
        <w:tc>
          <w:tcPr>
            <w:tcW w:w="42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 ---------------------------------------------</w:t>
            </w:r>
          </w:p>
        </w:tc>
        <w:tc>
          <w:tcPr>
            <w:tcW w:w="3640" w:type="dxa"/>
            <w:vAlign w:val="bottom"/>
          </w:tcPr>
          <w:p>
            <w:pPr>
              <w:spacing w:after="0"/>
              <w:rPr>
                <w:sz w:val="14"/>
                <w:szCs w:val="14"/>
                <w:color w:val="auto"/>
              </w:rPr>
            </w:pPr>
          </w:p>
        </w:tc>
        <w:tc>
          <w:tcPr>
            <w:tcW w:w="1880" w:type="dxa"/>
            <w:vAlign w:val="bottom"/>
          </w:tcPr>
          <w:p>
            <w:pPr>
              <w:spacing w:after="0"/>
              <w:rPr>
                <w:sz w:val="14"/>
                <w:szCs w:val="14"/>
                <w:color w:val="auto"/>
              </w:rPr>
            </w:pPr>
          </w:p>
        </w:tc>
      </w:tr>
      <w:tr>
        <w:trPr>
          <w:trHeight w:val="168"/>
        </w:trPr>
        <w:tc>
          <w:tcPr>
            <w:tcW w:w="4200" w:type="dxa"/>
            <w:vAlign w:val="bottom"/>
          </w:tcPr>
          <w:p>
            <w:pPr>
              <w:jc w:val="center"/>
              <w:ind w:right="347"/>
              <w:spacing w:after="0" w:line="168" w:lineRule="exact"/>
              <w:rPr>
                <w:sz w:val="20"/>
                <w:szCs w:val="20"/>
                <w:color w:val="auto"/>
              </w:rPr>
            </w:pPr>
            <w:r>
              <w:rPr>
                <w:rFonts w:ascii="Courier New" w:cs="Courier New" w:eastAsia="Courier New" w:hAnsi="Courier New"/>
                <w:sz w:val="15"/>
                <w:szCs w:val="15"/>
                <w:color w:val="auto"/>
                <w:w w:val="97"/>
              </w:rPr>
              <w:t>Sheldon M. Bonovitz</w:t>
            </w:r>
          </w:p>
        </w:tc>
        <w:tc>
          <w:tcPr>
            <w:tcW w:w="3640" w:type="dxa"/>
            <w:vAlign w:val="bottom"/>
          </w:tcPr>
          <w:p>
            <w:pPr>
              <w:spacing w:after="0"/>
              <w:rPr>
                <w:sz w:val="14"/>
                <w:szCs w:val="14"/>
                <w:color w:val="auto"/>
              </w:rPr>
            </w:pPr>
          </w:p>
        </w:tc>
        <w:tc>
          <w:tcPr>
            <w:tcW w:w="1880" w:type="dxa"/>
            <w:vAlign w:val="bottom"/>
          </w:tcPr>
          <w:p>
            <w:pPr>
              <w:spacing w:after="0"/>
              <w:rPr>
                <w:sz w:val="14"/>
                <w:szCs w:val="14"/>
                <w:color w:val="auto"/>
              </w:rPr>
            </w:pPr>
          </w:p>
        </w:tc>
      </w:tr>
      <w:tr>
        <w:trPr>
          <w:trHeight w:val="505"/>
        </w:trPr>
        <w:tc>
          <w:tcPr>
            <w:tcW w:w="4200" w:type="dxa"/>
            <w:vAlign w:val="bottom"/>
          </w:tcPr>
          <w:p>
            <w:pPr>
              <w:jc w:val="center"/>
              <w:ind w:right="347"/>
              <w:spacing w:after="0"/>
              <w:rPr>
                <w:sz w:val="20"/>
                <w:szCs w:val="20"/>
                <w:color w:val="auto"/>
              </w:rPr>
            </w:pPr>
            <w:r>
              <w:rPr>
                <w:rFonts w:ascii="Courier New" w:cs="Courier New" w:eastAsia="Courier New" w:hAnsi="Courier New"/>
                <w:sz w:val="15"/>
                <w:szCs w:val="15"/>
                <w:color w:val="auto"/>
                <w:w w:val="97"/>
              </w:rPr>
              <w:t>/s/ J. Michael Cook</w:t>
            </w:r>
          </w:p>
        </w:tc>
        <w:tc>
          <w:tcPr>
            <w:tcW w:w="3640" w:type="dxa"/>
            <w:vAlign w:val="bottom"/>
          </w:tcPr>
          <w:p>
            <w:pPr>
              <w:jc w:val="center"/>
              <w:ind w:right="227"/>
              <w:spacing w:after="0"/>
              <w:rPr>
                <w:sz w:val="20"/>
                <w:szCs w:val="20"/>
                <w:color w:val="auto"/>
              </w:rPr>
            </w:pPr>
            <w:r>
              <w:rPr>
                <w:rFonts w:ascii="Courier New" w:cs="Courier New" w:eastAsia="Courier New" w:hAnsi="Courier New"/>
                <w:sz w:val="15"/>
                <w:szCs w:val="15"/>
                <w:color w:val="auto"/>
                <w:w w:val="97"/>
              </w:rPr>
              <w:t>Director</w:t>
            </w:r>
          </w:p>
        </w:tc>
        <w:tc>
          <w:tcPr>
            <w:tcW w:w="1880" w:type="dxa"/>
            <w:vAlign w:val="bottom"/>
          </w:tcPr>
          <w:p>
            <w:pPr>
              <w:ind w:left="400"/>
              <w:spacing w:after="0"/>
              <w:rPr>
                <w:sz w:val="20"/>
                <w:szCs w:val="20"/>
                <w:color w:val="auto"/>
              </w:rPr>
            </w:pPr>
            <w:r>
              <w:rPr>
                <w:rFonts w:ascii="Courier New" w:cs="Courier New" w:eastAsia="Courier New" w:hAnsi="Courier New"/>
                <w:sz w:val="15"/>
                <w:szCs w:val="15"/>
                <w:color w:val="auto"/>
                <w:w w:val="95"/>
              </w:rPr>
              <w:t>December 16, 2002</w:t>
            </w:r>
          </w:p>
        </w:tc>
      </w:tr>
      <w:tr>
        <w:trPr>
          <w:trHeight w:val="168"/>
        </w:trPr>
        <w:tc>
          <w:tcPr>
            <w:tcW w:w="42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 ---------------------------------------------</w:t>
            </w:r>
          </w:p>
        </w:tc>
        <w:tc>
          <w:tcPr>
            <w:tcW w:w="3640" w:type="dxa"/>
            <w:vAlign w:val="bottom"/>
          </w:tcPr>
          <w:p>
            <w:pPr>
              <w:spacing w:after="0"/>
              <w:rPr>
                <w:sz w:val="14"/>
                <w:szCs w:val="14"/>
                <w:color w:val="auto"/>
              </w:rPr>
            </w:pPr>
          </w:p>
        </w:tc>
        <w:tc>
          <w:tcPr>
            <w:tcW w:w="1880" w:type="dxa"/>
            <w:vAlign w:val="bottom"/>
          </w:tcPr>
          <w:p>
            <w:pPr>
              <w:spacing w:after="0"/>
              <w:rPr>
                <w:sz w:val="14"/>
                <w:szCs w:val="14"/>
                <w:color w:val="auto"/>
              </w:rPr>
            </w:pPr>
          </w:p>
        </w:tc>
      </w:tr>
      <w:tr>
        <w:trPr>
          <w:trHeight w:val="168"/>
        </w:trPr>
        <w:tc>
          <w:tcPr>
            <w:tcW w:w="4200" w:type="dxa"/>
            <w:vAlign w:val="bottom"/>
          </w:tcPr>
          <w:p>
            <w:pPr>
              <w:jc w:val="center"/>
              <w:ind w:right="347"/>
              <w:spacing w:after="0" w:line="168" w:lineRule="exact"/>
              <w:rPr>
                <w:sz w:val="20"/>
                <w:szCs w:val="20"/>
                <w:color w:val="auto"/>
              </w:rPr>
            </w:pPr>
            <w:r>
              <w:rPr>
                <w:rFonts w:ascii="Courier New" w:cs="Courier New" w:eastAsia="Courier New" w:hAnsi="Courier New"/>
                <w:sz w:val="15"/>
                <w:szCs w:val="15"/>
                <w:color w:val="auto"/>
                <w:w w:val="96"/>
              </w:rPr>
              <w:t>J. Michael Cook</w:t>
            </w:r>
          </w:p>
        </w:tc>
        <w:tc>
          <w:tcPr>
            <w:tcW w:w="3640" w:type="dxa"/>
            <w:vAlign w:val="bottom"/>
          </w:tcPr>
          <w:p>
            <w:pPr>
              <w:spacing w:after="0"/>
              <w:rPr>
                <w:sz w:val="14"/>
                <w:szCs w:val="14"/>
                <w:color w:val="auto"/>
              </w:rPr>
            </w:pPr>
          </w:p>
        </w:tc>
        <w:tc>
          <w:tcPr>
            <w:tcW w:w="1880" w:type="dxa"/>
            <w:vAlign w:val="bottom"/>
          </w:tcPr>
          <w:p>
            <w:pPr>
              <w:spacing w:after="0"/>
              <w:rPr>
                <w:sz w:val="14"/>
                <w:szCs w:val="14"/>
                <w:color w:val="auto"/>
              </w:rPr>
            </w:pPr>
          </w:p>
        </w:tc>
      </w:tr>
      <w:tr>
        <w:trPr>
          <w:trHeight w:val="505"/>
        </w:trPr>
        <w:tc>
          <w:tcPr>
            <w:tcW w:w="4200" w:type="dxa"/>
            <w:vAlign w:val="bottom"/>
          </w:tcPr>
          <w:p>
            <w:pPr>
              <w:jc w:val="center"/>
              <w:ind w:right="347"/>
              <w:spacing w:after="0"/>
              <w:rPr>
                <w:sz w:val="20"/>
                <w:szCs w:val="20"/>
                <w:color w:val="auto"/>
              </w:rPr>
            </w:pPr>
            <w:r>
              <w:rPr>
                <w:rFonts w:ascii="Courier New" w:cs="Courier New" w:eastAsia="Courier New" w:hAnsi="Courier New"/>
                <w:sz w:val="15"/>
                <w:szCs w:val="15"/>
                <w:color w:val="auto"/>
                <w:w w:val="97"/>
              </w:rPr>
              <w:t>/s/ George M. C. Fisher</w:t>
            </w:r>
          </w:p>
        </w:tc>
        <w:tc>
          <w:tcPr>
            <w:tcW w:w="3640" w:type="dxa"/>
            <w:vAlign w:val="bottom"/>
          </w:tcPr>
          <w:p>
            <w:pPr>
              <w:jc w:val="center"/>
              <w:ind w:right="227"/>
              <w:spacing w:after="0"/>
              <w:rPr>
                <w:sz w:val="20"/>
                <w:szCs w:val="20"/>
                <w:color w:val="auto"/>
              </w:rPr>
            </w:pPr>
            <w:r>
              <w:rPr>
                <w:rFonts w:ascii="Courier New" w:cs="Courier New" w:eastAsia="Courier New" w:hAnsi="Courier New"/>
                <w:sz w:val="15"/>
                <w:szCs w:val="15"/>
                <w:color w:val="auto"/>
                <w:w w:val="97"/>
              </w:rPr>
              <w:t>Director</w:t>
            </w:r>
          </w:p>
        </w:tc>
        <w:tc>
          <w:tcPr>
            <w:tcW w:w="1880" w:type="dxa"/>
            <w:vAlign w:val="bottom"/>
          </w:tcPr>
          <w:p>
            <w:pPr>
              <w:ind w:left="400"/>
              <w:spacing w:after="0"/>
              <w:rPr>
                <w:sz w:val="20"/>
                <w:szCs w:val="20"/>
                <w:color w:val="auto"/>
              </w:rPr>
            </w:pPr>
            <w:r>
              <w:rPr>
                <w:rFonts w:ascii="Courier New" w:cs="Courier New" w:eastAsia="Courier New" w:hAnsi="Courier New"/>
                <w:sz w:val="15"/>
                <w:szCs w:val="15"/>
                <w:color w:val="auto"/>
                <w:w w:val="95"/>
              </w:rPr>
              <w:t>December 16, 2002</w:t>
            </w:r>
          </w:p>
        </w:tc>
      </w:tr>
      <w:tr>
        <w:trPr>
          <w:trHeight w:val="168"/>
        </w:trPr>
        <w:tc>
          <w:tcPr>
            <w:tcW w:w="42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 ---------------------------------------------</w:t>
            </w:r>
          </w:p>
        </w:tc>
        <w:tc>
          <w:tcPr>
            <w:tcW w:w="3640" w:type="dxa"/>
            <w:vAlign w:val="bottom"/>
          </w:tcPr>
          <w:p>
            <w:pPr>
              <w:spacing w:after="0"/>
              <w:rPr>
                <w:sz w:val="14"/>
                <w:szCs w:val="14"/>
                <w:color w:val="auto"/>
              </w:rPr>
            </w:pPr>
          </w:p>
        </w:tc>
        <w:tc>
          <w:tcPr>
            <w:tcW w:w="1880" w:type="dxa"/>
            <w:vAlign w:val="bottom"/>
          </w:tcPr>
          <w:p>
            <w:pPr>
              <w:spacing w:after="0"/>
              <w:rPr>
                <w:sz w:val="14"/>
                <w:szCs w:val="14"/>
                <w:color w:val="auto"/>
              </w:rPr>
            </w:pPr>
          </w:p>
        </w:tc>
      </w:tr>
      <w:tr>
        <w:trPr>
          <w:trHeight w:val="168"/>
        </w:trPr>
        <w:tc>
          <w:tcPr>
            <w:tcW w:w="4200" w:type="dxa"/>
            <w:vAlign w:val="bottom"/>
          </w:tcPr>
          <w:p>
            <w:pPr>
              <w:jc w:val="center"/>
              <w:ind w:right="347"/>
              <w:spacing w:after="0" w:line="168" w:lineRule="exact"/>
              <w:rPr>
                <w:sz w:val="20"/>
                <w:szCs w:val="20"/>
                <w:color w:val="auto"/>
              </w:rPr>
            </w:pPr>
            <w:r>
              <w:rPr>
                <w:rFonts w:ascii="Courier New" w:cs="Courier New" w:eastAsia="Courier New" w:hAnsi="Courier New"/>
                <w:sz w:val="15"/>
                <w:szCs w:val="15"/>
                <w:color w:val="auto"/>
                <w:w w:val="97"/>
              </w:rPr>
              <w:t>George M. C. Fisher</w:t>
            </w:r>
          </w:p>
        </w:tc>
        <w:tc>
          <w:tcPr>
            <w:tcW w:w="3640" w:type="dxa"/>
            <w:vAlign w:val="bottom"/>
          </w:tcPr>
          <w:p>
            <w:pPr>
              <w:spacing w:after="0"/>
              <w:rPr>
                <w:sz w:val="14"/>
                <w:szCs w:val="14"/>
                <w:color w:val="auto"/>
              </w:rPr>
            </w:pPr>
          </w:p>
        </w:tc>
        <w:tc>
          <w:tcPr>
            <w:tcW w:w="1880" w:type="dxa"/>
            <w:vAlign w:val="bottom"/>
          </w:tcPr>
          <w:p>
            <w:pPr>
              <w:spacing w:after="0"/>
              <w:rPr>
                <w:sz w:val="14"/>
                <w:szCs w:val="14"/>
                <w:color w:val="auto"/>
              </w:rPr>
            </w:pPr>
          </w:p>
        </w:tc>
      </w:tr>
      <w:tr>
        <w:trPr>
          <w:trHeight w:val="505"/>
        </w:trPr>
        <w:tc>
          <w:tcPr>
            <w:tcW w:w="4200" w:type="dxa"/>
            <w:vAlign w:val="bottom"/>
          </w:tcPr>
          <w:p>
            <w:pPr>
              <w:jc w:val="center"/>
              <w:ind w:right="267"/>
              <w:spacing w:after="0"/>
              <w:rPr>
                <w:sz w:val="20"/>
                <w:szCs w:val="20"/>
                <w:color w:val="auto"/>
              </w:rPr>
            </w:pPr>
            <w:r>
              <w:rPr>
                <w:rFonts w:ascii="Courier New" w:cs="Courier New" w:eastAsia="Courier New" w:hAnsi="Courier New"/>
                <w:sz w:val="15"/>
                <w:szCs w:val="15"/>
                <w:color w:val="auto"/>
                <w:w w:val="96"/>
              </w:rPr>
              <w:t>/s/ Dr. Judith Rodin</w:t>
            </w:r>
          </w:p>
        </w:tc>
        <w:tc>
          <w:tcPr>
            <w:tcW w:w="3640" w:type="dxa"/>
            <w:vAlign w:val="bottom"/>
          </w:tcPr>
          <w:p>
            <w:pPr>
              <w:jc w:val="center"/>
              <w:ind w:right="227"/>
              <w:spacing w:after="0"/>
              <w:rPr>
                <w:sz w:val="20"/>
                <w:szCs w:val="20"/>
                <w:color w:val="auto"/>
              </w:rPr>
            </w:pPr>
            <w:r>
              <w:rPr>
                <w:rFonts w:ascii="Courier New" w:cs="Courier New" w:eastAsia="Courier New" w:hAnsi="Courier New"/>
                <w:sz w:val="15"/>
                <w:szCs w:val="15"/>
                <w:color w:val="auto"/>
                <w:w w:val="97"/>
              </w:rPr>
              <w:t>Director</w:t>
            </w:r>
          </w:p>
        </w:tc>
        <w:tc>
          <w:tcPr>
            <w:tcW w:w="1880" w:type="dxa"/>
            <w:vAlign w:val="bottom"/>
          </w:tcPr>
          <w:p>
            <w:pPr>
              <w:ind w:left="400"/>
              <w:spacing w:after="0"/>
              <w:rPr>
                <w:sz w:val="20"/>
                <w:szCs w:val="20"/>
                <w:color w:val="auto"/>
              </w:rPr>
            </w:pPr>
            <w:r>
              <w:rPr>
                <w:rFonts w:ascii="Courier New" w:cs="Courier New" w:eastAsia="Courier New" w:hAnsi="Courier New"/>
                <w:sz w:val="15"/>
                <w:szCs w:val="15"/>
                <w:color w:val="auto"/>
                <w:w w:val="95"/>
              </w:rPr>
              <w:t>December 16, 2002</w:t>
            </w:r>
          </w:p>
        </w:tc>
      </w:tr>
      <w:tr>
        <w:trPr>
          <w:trHeight w:val="168"/>
        </w:trPr>
        <w:tc>
          <w:tcPr>
            <w:tcW w:w="42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 ---------------------------------------------</w:t>
            </w:r>
          </w:p>
        </w:tc>
        <w:tc>
          <w:tcPr>
            <w:tcW w:w="3640" w:type="dxa"/>
            <w:vAlign w:val="bottom"/>
          </w:tcPr>
          <w:p>
            <w:pPr>
              <w:spacing w:after="0"/>
              <w:rPr>
                <w:sz w:val="14"/>
                <w:szCs w:val="14"/>
                <w:color w:val="auto"/>
              </w:rPr>
            </w:pPr>
          </w:p>
        </w:tc>
        <w:tc>
          <w:tcPr>
            <w:tcW w:w="1880" w:type="dxa"/>
            <w:vAlign w:val="bottom"/>
          </w:tcPr>
          <w:p>
            <w:pPr>
              <w:spacing w:after="0"/>
              <w:rPr>
                <w:sz w:val="14"/>
                <w:szCs w:val="14"/>
                <w:color w:val="auto"/>
              </w:rPr>
            </w:pPr>
          </w:p>
        </w:tc>
      </w:tr>
      <w:tr>
        <w:trPr>
          <w:trHeight w:val="168"/>
        </w:trPr>
        <w:tc>
          <w:tcPr>
            <w:tcW w:w="4200" w:type="dxa"/>
            <w:vAlign w:val="bottom"/>
          </w:tcPr>
          <w:p>
            <w:pPr>
              <w:jc w:val="center"/>
              <w:ind w:right="247"/>
              <w:spacing w:after="0" w:line="168" w:lineRule="exact"/>
              <w:rPr>
                <w:sz w:val="20"/>
                <w:szCs w:val="20"/>
                <w:color w:val="auto"/>
              </w:rPr>
            </w:pPr>
            <w:r>
              <w:rPr>
                <w:rFonts w:ascii="Courier New" w:cs="Courier New" w:eastAsia="Courier New" w:hAnsi="Courier New"/>
                <w:sz w:val="15"/>
                <w:szCs w:val="15"/>
                <w:color w:val="auto"/>
                <w:w w:val="97"/>
              </w:rPr>
              <w:t>Dr. Judith Rodin</w:t>
            </w:r>
          </w:p>
        </w:tc>
        <w:tc>
          <w:tcPr>
            <w:tcW w:w="3640" w:type="dxa"/>
            <w:vAlign w:val="bottom"/>
          </w:tcPr>
          <w:p>
            <w:pPr>
              <w:spacing w:after="0"/>
              <w:rPr>
                <w:sz w:val="14"/>
                <w:szCs w:val="14"/>
                <w:color w:val="auto"/>
              </w:rPr>
            </w:pPr>
          </w:p>
        </w:tc>
        <w:tc>
          <w:tcPr>
            <w:tcW w:w="1880" w:type="dxa"/>
            <w:vAlign w:val="bottom"/>
          </w:tcPr>
          <w:p>
            <w:pPr>
              <w:spacing w:after="0"/>
              <w:rPr>
                <w:sz w:val="14"/>
                <w:szCs w:val="14"/>
                <w:color w:val="auto"/>
              </w:rPr>
            </w:pPr>
          </w:p>
        </w:tc>
      </w:tr>
      <w:tr>
        <w:trPr>
          <w:trHeight w:val="505"/>
        </w:trPr>
        <w:tc>
          <w:tcPr>
            <w:tcW w:w="4200" w:type="dxa"/>
            <w:vAlign w:val="bottom"/>
          </w:tcPr>
          <w:p>
            <w:pPr>
              <w:jc w:val="center"/>
              <w:ind w:right="267"/>
              <w:spacing w:after="0"/>
              <w:rPr>
                <w:sz w:val="20"/>
                <w:szCs w:val="20"/>
                <w:color w:val="auto"/>
              </w:rPr>
            </w:pPr>
            <w:r>
              <w:rPr>
                <w:rFonts w:ascii="Courier New" w:cs="Courier New" w:eastAsia="Courier New" w:hAnsi="Courier New"/>
                <w:sz w:val="15"/>
                <w:szCs w:val="15"/>
                <w:color w:val="auto"/>
                <w:w w:val="96"/>
              </w:rPr>
              <w:t>/s/ Louis A. Simpson</w:t>
            </w:r>
          </w:p>
        </w:tc>
        <w:tc>
          <w:tcPr>
            <w:tcW w:w="3640" w:type="dxa"/>
            <w:vAlign w:val="bottom"/>
          </w:tcPr>
          <w:p>
            <w:pPr>
              <w:jc w:val="center"/>
              <w:ind w:right="227"/>
              <w:spacing w:after="0"/>
              <w:rPr>
                <w:sz w:val="20"/>
                <w:szCs w:val="20"/>
                <w:color w:val="auto"/>
              </w:rPr>
            </w:pPr>
            <w:r>
              <w:rPr>
                <w:rFonts w:ascii="Courier New" w:cs="Courier New" w:eastAsia="Courier New" w:hAnsi="Courier New"/>
                <w:sz w:val="15"/>
                <w:szCs w:val="15"/>
                <w:color w:val="auto"/>
                <w:w w:val="97"/>
              </w:rPr>
              <w:t>Director</w:t>
            </w:r>
          </w:p>
        </w:tc>
        <w:tc>
          <w:tcPr>
            <w:tcW w:w="1880" w:type="dxa"/>
            <w:vAlign w:val="bottom"/>
          </w:tcPr>
          <w:p>
            <w:pPr>
              <w:ind w:left="400"/>
              <w:spacing w:after="0"/>
              <w:rPr>
                <w:sz w:val="20"/>
                <w:szCs w:val="20"/>
                <w:color w:val="auto"/>
              </w:rPr>
            </w:pPr>
            <w:r>
              <w:rPr>
                <w:rFonts w:ascii="Courier New" w:cs="Courier New" w:eastAsia="Courier New" w:hAnsi="Courier New"/>
                <w:sz w:val="15"/>
                <w:szCs w:val="15"/>
                <w:color w:val="auto"/>
                <w:w w:val="95"/>
              </w:rPr>
              <w:t>December 16, 2002</w:t>
            </w:r>
          </w:p>
        </w:tc>
      </w:tr>
      <w:tr>
        <w:trPr>
          <w:trHeight w:val="168"/>
        </w:trPr>
        <w:tc>
          <w:tcPr>
            <w:tcW w:w="42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 ---------------------------------------------</w:t>
            </w:r>
          </w:p>
        </w:tc>
        <w:tc>
          <w:tcPr>
            <w:tcW w:w="3640" w:type="dxa"/>
            <w:vAlign w:val="bottom"/>
          </w:tcPr>
          <w:p>
            <w:pPr>
              <w:spacing w:after="0"/>
              <w:rPr>
                <w:sz w:val="14"/>
                <w:szCs w:val="14"/>
                <w:color w:val="auto"/>
              </w:rPr>
            </w:pPr>
          </w:p>
        </w:tc>
        <w:tc>
          <w:tcPr>
            <w:tcW w:w="1880" w:type="dxa"/>
            <w:vAlign w:val="bottom"/>
          </w:tcPr>
          <w:p>
            <w:pPr>
              <w:spacing w:after="0"/>
              <w:rPr>
                <w:sz w:val="14"/>
                <w:szCs w:val="14"/>
                <w:color w:val="auto"/>
              </w:rPr>
            </w:pPr>
          </w:p>
        </w:tc>
      </w:tr>
      <w:tr>
        <w:trPr>
          <w:trHeight w:val="168"/>
        </w:trPr>
        <w:tc>
          <w:tcPr>
            <w:tcW w:w="4200" w:type="dxa"/>
            <w:vAlign w:val="bottom"/>
          </w:tcPr>
          <w:p>
            <w:pPr>
              <w:jc w:val="center"/>
              <w:ind w:right="247"/>
              <w:spacing w:after="0" w:line="168" w:lineRule="exact"/>
              <w:rPr>
                <w:sz w:val="20"/>
                <w:szCs w:val="20"/>
                <w:color w:val="auto"/>
              </w:rPr>
            </w:pPr>
            <w:r>
              <w:rPr>
                <w:rFonts w:ascii="Courier New" w:cs="Courier New" w:eastAsia="Courier New" w:hAnsi="Courier New"/>
                <w:sz w:val="15"/>
                <w:szCs w:val="15"/>
                <w:color w:val="auto"/>
                <w:w w:val="97"/>
              </w:rPr>
              <w:t>Louis A. Simpson</w:t>
            </w:r>
          </w:p>
        </w:tc>
        <w:tc>
          <w:tcPr>
            <w:tcW w:w="3640" w:type="dxa"/>
            <w:vAlign w:val="bottom"/>
          </w:tcPr>
          <w:p>
            <w:pPr>
              <w:spacing w:after="0"/>
              <w:rPr>
                <w:sz w:val="14"/>
                <w:szCs w:val="14"/>
                <w:color w:val="auto"/>
              </w:rPr>
            </w:pPr>
          </w:p>
        </w:tc>
        <w:tc>
          <w:tcPr>
            <w:tcW w:w="1880" w:type="dxa"/>
            <w:vAlign w:val="bottom"/>
          </w:tcPr>
          <w:p>
            <w:pPr>
              <w:spacing w:after="0"/>
              <w:rPr>
                <w:sz w:val="14"/>
                <w:szCs w:val="14"/>
                <w:color w:val="auto"/>
              </w:rPr>
            </w:pPr>
          </w:p>
        </w:tc>
      </w:tr>
      <w:tr>
        <w:trPr>
          <w:trHeight w:val="505"/>
        </w:trPr>
        <w:tc>
          <w:tcPr>
            <w:tcW w:w="4200" w:type="dxa"/>
            <w:vAlign w:val="bottom"/>
          </w:tcPr>
          <w:p>
            <w:pPr>
              <w:jc w:val="center"/>
              <w:ind w:right="347"/>
              <w:spacing w:after="0"/>
              <w:rPr>
                <w:sz w:val="20"/>
                <w:szCs w:val="20"/>
                <w:color w:val="auto"/>
              </w:rPr>
            </w:pPr>
            <w:r>
              <w:rPr>
                <w:rFonts w:ascii="Courier New" w:cs="Courier New" w:eastAsia="Courier New" w:hAnsi="Courier New"/>
                <w:sz w:val="15"/>
                <w:szCs w:val="15"/>
                <w:color w:val="auto"/>
                <w:w w:val="96"/>
              </w:rPr>
              <w:t>/s/ Michael I. Sovern</w:t>
            </w:r>
          </w:p>
        </w:tc>
        <w:tc>
          <w:tcPr>
            <w:tcW w:w="3640" w:type="dxa"/>
            <w:vAlign w:val="bottom"/>
          </w:tcPr>
          <w:p>
            <w:pPr>
              <w:jc w:val="center"/>
              <w:ind w:right="227"/>
              <w:spacing w:after="0"/>
              <w:rPr>
                <w:sz w:val="20"/>
                <w:szCs w:val="20"/>
                <w:color w:val="auto"/>
              </w:rPr>
            </w:pPr>
            <w:r>
              <w:rPr>
                <w:rFonts w:ascii="Courier New" w:cs="Courier New" w:eastAsia="Courier New" w:hAnsi="Courier New"/>
                <w:sz w:val="15"/>
                <w:szCs w:val="15"/>
                <w:color w:val="auto"/>
                <w:w w:val="97"/>
              </w:rPr>
              <w:t>Director</w:t>
            </w:r>
          </w:p>
        </w:tc>
        <w:tc>
          <w:tcPr>
            <w:tcW w:w="1880" w:type="dxa"/>
            <w:vAlign w:val="bottom"/>
          </w:tcPr>
          <w:p>
            <w:pPr>
              <w:ind w:left="400"/>
              <w:spacing w:after="0"/>
              <w:rPr>
                <w:sz w:val="20"/>
                <w:szCs w:val="20"/>
                <w:color w:val="auto"/>
              </w:rPr>
            </w:pPr>
            <w:r>
              <w:rPr>
                <w:rFonts w:ascii="Courier New" w:cs="Courier New" w:eastAsia="Courier New" w:hAnsi="Courier New"/>
                <w:sz w:val="15"/>
                <w:szCs w:val="15"/>
                <w:color w:val="auto"/>
                <w:w w:val="95"/>
              </w:rPr>
              <w:t>December 16, 2002</w:t>
            </w:r>
          </w:p>
        </w:tc>
      </w:tr>
      <w:tr>
        <w:trPr>
          <w:trHeight w:val="168"/>
        </w:trPr>
        <w:tc>
          <w:tcPr>
            <w:tcW w:w="42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 ---------------------------------------------</w:t>
            </w:r>
          </w:p>
        </w:tc>
        <w:tc>
          <w:tcPr>
            <w:tcW w:w="3640" w:type="dxa"/>
            <w:vAlign w:val="bottom"/>
          </w:tcPr>
          <w:p>
            <w:pPr>
              <w:spacing w:after="0"/>
              <w:rPr>
                <w:sz w:val="14"/>
                <w:szCs w:val="14"/>
                <w:color w:val="auto"/>
              </w:rPr>
            </w:pPr>
          </w:p>
        </w:tc>
        <w:tc>
          <w:tcPr>
            <w:tcW w:w="1880" w:type="dxa"/>
            <w:vAlign w:val="bottom"/>
          </w:tcPr>
          <w:p>
            <w:pPr>
              <w:spacing w:after="0"/>
              <w:rPr>
                <w:sz w:val="14"/>
                <w:szCs w:val="14"/>
                <w:color w:val="auto"/>
              </w:rPr>
            </w:pPr>
          </w:p>
        </w:tc>
      </w:tr>
      <w:tr>
        <w:trPr>
          <w:trHeight w:val="168"/>
        </w:trPr>
        <w:tc>
          <w:tcPr>
            <w:tcW w:w="4200" w:type="dxa"/>
            <w:vAlign w:val="bottom"/>
          </w:tcPr>
          <w:p>
            <w:pPr>
              <w:jc w:val="center"/>
              <w:ind w:right="347"/>
              <w:spacing w:after="0" w:line="168" w:lineRule="exact"/>
              <w:rPr>
                <w:sz w:val="20"/>
                <w:szCs w:val="20"/>
                <w:color w:val="auto"/>
              </w:rPr>
            </w:pPr>
            <w:r>
              <w:rPr>
                <w:rFonts w:ascii="Courier New" w:cs="Courier New" w:eastAsia="Courier New" w:hAnsi="Courier New"/>
                <w:sz w:val="15"/>
                <w:szCs w:val="15"/>
                <w:color w:val="auto"/>
                <w:w w:val="98"/>
              </w:rPr>
              <w:t>Michael I. Sovern</w:t>
            </w:r>
          </w:p>
        </w:tc>
        <w:tc>
          <w:tcPr>
            <w:tcW w:w="3640" w:type="dxa"/>
            <w:vAlign w:val="bottom"/>
          </w:tcPr>
          <w:p>
            <w:pPr>
              <w:spacing w:after="0"/>
              <w:rPr>
                <w:sz w:val="14"/>
                <w:szCs w:val="14"/>
                <w:color w:val="auto"/>
              </w:rPr>
            </w:pPr>
          </w:p>
        </w:tc>
        <w:tc>
          <w:tcPr>
            <w:tcW w:w="1880" w:type="dxa"/>
            <w:vAlign w:val="bottom"/>
          </w:tcPr>
          <w:p>
            <w:pPr>
              <w:spacing w:after="0"/>
              <w:rPr>
                <w:sz w:val="14"/>
                <w:szCs w:val="14"/>
                <w:color w:val="auto"/>
              </w:rPr>
            </w:pPr>
          </w:p>
        </w:tc>
      </w:tr>
      <w:tr>
        <w:trPr>
          <w:trHeight w:val="673"/>
        </w:trPr>
        <w:tc>
          <w:tcPr>
            <w:tcW w:w="420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II-12</w:t>
            </w:r>
          </w:p>
        </w:tc>
        <w:tc>
          <w:tcPr>
            <w:tcW w:w="3640" w:type="dxa"/>
            <w:vAlign w:val="bottom"/>
          </w:tcPr>
          <w:p>
            <w:pPr>
              <w:spacing w:after="0"/>
              <w:rPr>
                <w:sz w:val="24"/>
                <w:szCs w:val="24"/>
                <w:color w:val="auto"/>
              </w:rPr>
            </w:pPr>
          </w:p>
        </w:tc>
        <w:tc>
          <w:tcPr>
            <w:tcW w:w="1880" w:type="dxa"/>
            <w:vAlign w:val="bottom"/>
          </w:tcPr>
          <w:p>
            <w:pPr>
              <w:spacing w:after="0"/>
              <w:rPr>
                <w:sz w:val="24"/>
                <w:szCs w:val="24"/>
                <w:color w:val="auto"/>
              </w:rPr>
            </w:pPr>
          </w:p>
        </w:tc>
      </w:tr>
    </w:tbl>
    <w:p>
      <w:pPr>
        <w:sectPr>
          <w:pgSz w:w="11900" w:h="16838" w:orient="portrait"/>
          <w:cols w:equalWidth="0" w:num="1">
            <w:col w:w="10239"/>
          </w:cols>
          <w:pgMar w:left="220" w:top="785" w:right="1440" w:bottom="1440" w:gutter="0" w:footer="0" w:header="0"/>
        </w:sectPr>
      </w:pPr>
    </w:p>
    <w:bookmarkStart w:id="68" w:name="page69"/>
    <w:bookmarkEnd w:id="68"/>
    <w:p>
      <w:pPr>
        <w:ind w:left="440"/>
        <w:spacing w:after="0"/>
        <w:rPr>
          <w:sz w:val="20"/>
          <w:szCs w:val="20"/>
          <w:color w:val="auto"/>
        </w:rPr>
      </w:pPr>
      <w:r>
        <w:rPr>
          <w:rFonts w:ascii="Courier New" w:cs="Courier New" w:eastAsia="Courier New" w:hAnsi="Courier New"/>
          <w:sz w:val="15"/>
          <w:szCs w:val="15"/>
          <w:color w:val="auto"/>
        </w:rPr>
        <w:t>SIGNATURES AND POWER OF ATTORNEY FOR COMCAST CABLE COMMUNICATIONS, INC.</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Pursuant to the requirements of the Securities Act of 1933, Comcast Cable Communications, Inc. certifies that it has reasonable grounds to believe that it meets all of the requirements for filing on Form S-3 and has duly caused this Registration Statement to be signed on its behalf by the undersigned, thereunto duly authorized in Philadelphia, Pennsylvania, on the 16th day of December, 2002.</w:t>
      </w:r>
    </w:p>
    <w:p>
      <w:pPr>
        <w:spacing w:after="0" w:line="16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COMCAST CABLE COMMUNICATIONS, INC.</w:t>
      </w:r>
    </w:p>
    <w:p>
      <w:pPr>
        <w:spacing w:after="0" w:line="335" w:lineRule="exact"/>
        <w:rPr>
          <w:sz w:val="20"/>
          <w:szCs w:val="20"/>
          <w:color w:val="auto"/>
        </w:rPr>
      </w:pPr>
    </w:p>
    <w:p>
      <w:pPr>
        <w:ind w:left="3340"/>
        <w:spacing w:after="0"/>
        <w:tabs>
          <w:tab w:leader="none" w:pos="3760" w:val="left"/>
        </w:tabs>
        <w:rPr>
          <w:sz w:val="20"/>
          <w:szCs w:val="20"/>
          <w:color w:val="auto"/>
        </w:rPr>
      </w:pPr>
      <w:r>
        <w:rPr>
          <w:rFonts w:ascii="Courier New" w:cs="Courier New" w:eastAsia="Courier New" w:hAnsi="Courier New"/>
          <w:sz w:val="15"/>
          <w:szCs w:val="15"/>
          <w:color w:val="auto"/>
        </w:rPr>
        <w:t>By:</w:t>
        <w:tab/>
        <w:t>/s/ Arthur R. Block</w:t>
      </w:r>
    </w:p>
    <w:p>
      <w:pPr>
        <w:ind w:left="3780"/>
        <w:spacing w:after="0" w:line="237" w:lineRule="auto"/>
        <w:rPr>
          <w:sz w:val="20"/>
          <w:szCs w:val="20"/>
          <w:color w:val="auto"/>
        </w:rPr>
      </w:pPr>
      <w:r>
        <w:rPr>
          <w:rFonts w:ascii="Courier New" w:cs="Courier New" w:eastAsia="Courier New" w:hAnsi="Courier New"/>
          <w:sz w:val="15"/>
          <w:szCs w:val="15"/>
          <w:color w:val="auto"/>
        </w:rPr>
        <w:t>------------------------------------</w:t>
      </w:r>
    </w:p>
    <w:p>
      <w:pPr>
        <w:ind w:left="3780"/>
        <w:spacing w:after="0" w:line="238" w:lineRule="auto"/>
        <w:tabs>
          <w:tab w:leader="none" w:pos="4540" w:val="left"/>
        </w:tabs>
        <w:rPr>
          <w:sz w:val="20"/>
          <w:szCs w:val="20"/>
          <w:color w:val="auto"/>
        </w:rPr>
      </w:pPr>
      <w:r>
        <w:rPr>
          <w:rFonts w:ascii="Courier New" w:cs="Courier New" w:eastAsia="Courier New" w:hAnsi="Courier New"/>
          <w:sz w:val="15"/>
          <w:szCs w:val="15"/>
          <w:color w:val="auto"/>
        </w:rPr>
        <w:t>Name:</w:t>
      </w:r>
      <w:r>
        <w:rPr>
          <w:sz w:val="20"/>
          <w:szCs w:val="20"/>
          <w:color w:val="auto"/>
        </w:rPr>
        <w:tab/>
      </w:r>
      <w:r>
        <w:rPr>
          <w:rFonts w:ascii="Courier New" w:cs="Courier New" w:eastAsia="Courier New" w:hAnsi="Courier New"/>
          <w:sz w:val="15"/>
          <w:szCs w:val="15"/>
          <w:color w:val="auto"/>
        </w:rPr>
        <w:t>Arthur R. Block</w:t>
      </w:r>
    </w:p>
    <w:p>
      <w:pPr>
        <w:jc w:val="center"/>
        <w:ind w:left="2040"/>
        <w:spacing w:after="0" w:line="237" w:lineRule="auto"/>
        <w:tabs>
          <w:tab w:leader="none" w:pos="240" w:val="left"/>
        </w:tabs>
        <w:rPr>
          <w:sz w:val="20"/>
          <w:szCs w:val="20"/>
          <w:color w:val="auto"/>
        </w:rPr>
      </w:pPr>
      <w:r>
        <w:rPr>
          <w:rFonts w:ascii="Courier New" w:cs="Courier New" w:eastAsia="Courier New" w:hAnsi="Courier New"/>
          <w:sz w:val="15"/>
          <w:szCs w:val="15"/>
          <w:color w:val="auto"/>
        </w:rPr>
        <w:t>Title:</w:t>
        <w:tab/>
        <w:t>Senior Vice President</w:t>
      </w:r>
    </w:p>
    <w:p>
      <w:pPr>
        <w:spacing w:after="0" w:line="173"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KNOW ALL MEN BY THESE PRESENTS, that each person whose signature appears below hereby constitutes and appoints Brian L. Roberts, Lawrence S. Smith, John R. Alchin, David L. Cohen, Lawrence J. Salva and Arthur R. Block and each of them, his true and lawful attorneys-in-fact and agents, with full power of substitution and resubstitution, for him and in his name, place and stead, in any and all capacities, to sign any and all amendments to this Registration Statement (including post-effective amendments, as well as any related registration statement for amendment thereto) filed pursuant to Rule 462 promulgated under the Securities Act of 1933, and to file the same, with all exhibits thereto, and other documents in connection therewith, with the Securities and Exchange Commission, granting unto said attorneys-in-fact and agents full power and authority to do and perform each and every act and thing requisite and necessary to be done in and about the premises, as fully to all intents and purposes as he might or could do in person, hereby ratifying and confirming all that said attorneys-in-fact and agents, or their substitute or substitutes, may lawfully do or cause to be done by virtue hereof.</w:t>
      </w:r>
    </w:p>
    <w:p>
      <w:pPr>
        <w:spacing w:after="0" w:line="163" w:lineRule="exact"/>
        <w:rPr>
          <w:sz w:val="20"/>
          <w:szCs w:val="20"/>
          <w:color w:val="auto"/>
        </w:rPr>
      </w:pPr>
    </w:p>
    <w:p>
      <w:pPr>
        <w:ind w:right="3579" w:firstLine="437"/>
        <w:spacing w:after="0" w:line="235" w:lineRule="auto"/>
        <w:rPr>
          <w:sz w:val="20"/>
          <w:szCs w:val="20"/>
          <w:color w:val="auto"/>
        </w:rPr>
      </w:pPr>
      <w:r>
        <w:rPr>
          <w:rFonts w:ascii="Courier New" w:cs="Courier New" w:eastAsia="Courier New" w:hAnsi="Courier New"/>
          <w:sz w:val="15"/>
          <w:szCs w:val="15"/>
          <w:color w:val="auto"/>
        </w:rPr>
        <w:t>Pursuant to the requirements of the Securities Act of 1933, this Registration Statement has been signed below by the following persons in the capacities and on the dates indicated.</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160" w:type="dxa"/>
            <w:vAlign w:val="bottom"/>
          </w:tcPr>
          <w:p>
            <w:pPr>
              <w:jc w:val="center"/>
              <w:ind w:right="307"/>
              <w:spacing w:after="0"/>
              <w:rPr>
                <w:sz w:val="20"/>
                <w:szCs w:val="20"/>
                <w:color w:val="auto"/>
              </w:rPr>
            </w:pPr>
            <w:r>
              <w:rPr>
                <w:rFonts w:ascii="Courier New" w:cs="Courier New" w:eastAsia="Courier New" w:hAnsi="Courier New"/>
                <w:sz w:val="15"/>
                <w:szCs w:val="15"/>
                <w:color w:val="auto"/>
                <w:w w:val="96"/>
              </w:rPr>
              <w:t>Signature</w:t>
            </w:r>
          </w:p>
        </w:tc>
        <w:tc>
          <w:tcPr>
            <w:tcW w:w="3980" w:type="dxa"/>
            <w:vAlign w:val="bottom"/>
          </w:tcPr>
          <w:p>
            <w:pPr>
              <w:ind w:left="1540"/>
              <w:spacing w:after="0"/>
              <w:rPr>
                <w:sz w:val="20"/>
                <w:szCs w:val="20"/>
                <w:color w:val="auto"/>
              </w:rPr>
            </w:pPr>
            <w:r>
              <w:rPr>
                <w:rFonts w:ascii="Courier New" w:cs="Courier New" w:eastAsia="Courier New" w:hAnsi="Courier New"/>
                <w:sz w:val="15"/>
                <w:szCs w:val="15"/>
                <w:color w:val="auto"/>
              </w:rPr>
              <w:t>Title</w:t>
            </w:r>
          </w:p>
        </w:tc>
        <w:tc>
          <w:tcPr>
            <w:tcW w:w="1580" w:type="dxa"/>
            <w:vAlign w:val="bottom"/>
          </w:tcPr>
          <w:p>
            <w:pPr>
              <w:ind w:left="800"/>
              <w:spacing w:after="0"/>
              <w:rPr>
                <w:sz w:val="20"/>
                <w:szCs w:val="20"/>
                <w:color w:val="auto"/>
              </w:rPr>
            </w:pPr>
            <w:r>
              <w:rPr>
                <w:rFonts w:ascii="Courier New" w:cs="Courier New" w:eastAsia="Courier New" w:hAnsi="Courier New"/>
                <w:sz w:val="15"/>
                <w:szCs w:val="15"/>
                <w:color w:val="auto"/>
              </w:rPr>
              <w:t>Date</w:t>
            </w:r>
          </w:p>
        </w:tc>
      </w:tr>
      <w:tr>
        <w:trPr>
          <w:trHeight w:val="168"/>
        </w:trPr>
        <w:tc>
          <w:tcPr>
            <w:tcW w:w="4160" w:type="dxa"/>
            <w:vAlign w:val="bottom"/>
          </w:tcPr>
          <w:p>
            <w:pPr>
              <w:jc w:val="center"/>
              <w:ind w:right="307"/>
              <w:spacing w:after="0" w:line="168" w:lineRule="exact"/>
              <w:rPr>
                <w:sz w:val="20"/>
                <w:szCs w:val="20"/>
                <w:color w:val="auto"/>
              </w:rPr>
            </w:pPr>
            <w:r>
              <w:rPr>
                <w:rFonts w:ascii="Courier New" w:cs="Courier New" w:eastAsia="Courier New" w:hAnsi="Courier New"/>
                <w:sz w:val="15"/>
                <w:szCs w:val="15"/>
                <w:color w:val="auto"/>
                <w:w w:val="96"/>
              </w:rPr>
              <w:t>---------</w:t>
            </w:r>
          </w:p>
        </w:tc>
        <w:tc>
          <w:tcPr>
            <w:tcW w:w="3980" w:type="dxa"/>
            <w:vAlign w:val="bottom"/>
          </w:tcPr>
          <w:p>
            <w:pPr>
              <w:ind w:left="1540"/>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4160" w:type="dxa"/>
            <w:vAlign w:val="bottom"/>
          </w:tcPr>
          <w:p>
            <w:pPr>
              <w:jc w:val="center"/>
              <w:ind w:right="227"/>
              <w:spacing w:after="0"/>
              <w:rPr>
                <w:sz w:val="20"/>
                <w:szCs w:val="20"/>
                <w:color w:val="auto"/>
              </w:rPr>
            </w:pPr>
            <w:r>
              <w:rPr>
                <w:rFonts w:ascii="Courier New" w:cs="Courier New" w:eastAsia="Courier New" w:hAnsi="Courier New"/>
                <w:sz w:val="15"/>
                <w:szCs w:val="15"/>
                <w:color w:val="auto"/>
                <w:w w:val="96"/>
              </w:rPr>
              <w:t>/s/ Brian L. Roberts</w:t>
            </w:r>
          </w:p>
        </w:tc>
        <w:tc>
          <w:tcPr>
            <w:tcW w:w="3980" w:type="dxa"/>
            <w:vAlign w:val="bottom"/>
          </w:tcPr>
          <w:p>
            <w:pPr>
              <w:ind w:left="40"/>
              <w:spacing w:after="0"/>
              <w:rPr>
                <w:sz w:val="20"/>
                <w:szCs w:val="20"/>
                <w:color w:val="auto"/>
              </w:rPr>
            </w:pPr>
            <w:r>
              <w:rPr>
                <w:rFonts w:ascii="Courier New" w:cs="Courier New" w:eastAsia="Courier New" w:hAnsi="Courier New"/>
                <w:sz w:val="15"/>
                <w:szCs w:val="15"/>
                <w:color w:val="auto"/>
              </w:rPr>
              <w:t>President and Chief Executive Officer</w:t>
            </w:r>
          </w:p>
        </w:tc>
        <w:tc>
          <w:tcPr>
            <w:tcW w:w="1580" w:type="dxa"/>
            <w:vAlign w:val="bottom"/>
          </w:tcPr>
          <w:p>
            <w:pPr>
              <w:ind w:left="100"/>
              <w:spacing w:after="0"/>
              <w:rPr>
                <w:sz w:val="20"/>
                <w:szCs w:val="20"/>
                <w:color w:val="auto"/>
              </w:rPr>
            </w:pPr>
            <w:r>
              <w:rPr>
                <w:rFonts w:ascii="Courier New" w:cs="Courier New" w:eastAsia="Courier New" w:hAnsi="Courier New"/>
                <w:sz w:val="15"/>
                <w:szCs w:val="15"/>
                <w:color w:val="auto"/>
                <w:w w:val="95"/>
              </w:rPr>
              <w:t>December 16, 2002</w:t>
            </w:r>
          </w:p>
        </w:tc>
      </w:tr>
      <w:tr>
        <w:trPr>
          <w:trHeight w:val="168"/>
        </w:trPr>
        <w:tc>
          <w:tcPr>
            <w:tcW w:w="4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 ---------------------------------------------</w:t>
            </w:r>
          </w:p>
        </w:tc>
        <w:tc>
          <w:tcPr>
            <w:tcW w:w="398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(Principal Executive Officer); Director</w:t>
            </w:r>
          </w:p>
        </w:tc>
        <w:tc>
          <w:tcPr>
            <w:tcW w:w="1580" w:type="dxa"/>
            <w:vAlign w:val="bottom"/>
          </w:tcPr>
          <w:p>
            <w:pPr>
              <w:spacing w:after="0"/>
              <w:rPr>
                <w:sz w:val="14"/>
                <w:szCs w:val="14"/>
                <w:color w:val="auto"/>
              </w:rPr>
            </w:pPr>
          </w:p>
        </w:tc>
      </w:tr>
      <w:tr>
        <w:trPr>
          <w:trHeight w:val="168"/>
        </w:trPr>
        <w:tc>
          <w:tcPr>
            <w:tcW w:w="4160" w:type="dxa"/>
            <w:vAlign w:val="bottom"/>
          </w:tcPr>
          <w:p>
            <w:pPr>
              <w:jc w:val="center"/>
              <w:ind w:right="207"/>
              <w:spacing w:after="0" w:line="168" w:lineRule="exact"/>
              <w:rPr>
                <w:sz w:val="20"/>
                <w:szCs w:val="20"/>
                <w:color w:val="auto"/>
              </w:rPr>
            </w:pPr>
            <w:r>
              <w:rPr>
                <w:rFonts w:ascii="Courier New" w:cs="Courier New" w:eastAsia="Courier New" w:hAnsi="Courier New"/>
                <w:sz w:val="15"/>
                <w:szCs w:val="15"/>
                <w:color w:val="auto"/>
                <w:w w:val="97"/>
              </w:rPr>
              <w:t>Brian L. Roberts</w:t>
            </w:r>
          </w:p>
        </w:tc>
        <w:tc>
          <w:tcPr>
            <w:tcW w:w="3980" w:type="dxa"/>
            <w:vAlign w:val="bottom"/>
          </w:tcPr>
          <w:p>
            <w:pPr>
              <w:spacing w:after="0"/>
              <w:rPr>
                <w:sz w:val="14"/>
                <w:szCs w:val="14"/>
                <w:color w:val="auto"/>
              </w:rPr>
            </w:pPr>
          </w:p>
        </w:tc>
        <w:tc>
          <w:tcPr>
            <w:tcW w:w="1580" w:type="dxa"/>
            <w:vAlign w:val="bottom"/>
          </w:tcPr>
          <w:p>
            <w:pPr>
              <w:spacing w:after="0"/>
              <w:rPr>
                <w:sz w:val="14"/>
                <w:szCs w:val="14"/>
                <w:color w:val="auto"/>
              </w:rPr>
            </w:pPr>
          </w:p>
        </w:tc>
      </w:tr>
      <w:tr>
        <w:trPr>
          <w:trHeight w:val="505"/>
        </w:trPr>
        <w:tc>
          <w:tcPr>
            <w:tcW w:w="4160" w:type="dxa"/>
            <w:vAlign w:val="bottom"/>
          </w:tcPr>
          <w:p>
            <w:pPr>
              <w:jc w:val="center"/>
              <w:ind w:right="307"/>
              <w:spacing w:after="0"/>
              <w:rPr>
                <w:sz w:val="20"/>
                <w:szCs w:val="20"/>
                <w:color w:val="auto"/>
              </w:rPr>
            </w:pPr>
            <w:r>
              <w:rPr>
                <w:rFonts w:ascii="Courier New" w:cs="Courier New" w:eastAsia="Courier New" w:hAnsi="Courier New"/>
                <w:sz w:val="15"/>
                <w:szCs w:val="15"/>
                <w:color w:val="auto"/>
                <w:w w:val="96"/>
              </w:rPr>
              <w:t>/s/ Lawrence S. Smith</w:t>
            </w:r>
          </w:p>
        </w:tc>
        <w:tc>
          <w:tcPr>
            <w:tcW w:w="3980" w:type="dxa"/>
            <w:vAlign w:val="bottom"/>
          </w:tcPr>
          <w:p>
            <w:pPr>
              <w:ind w:left="840"/>
              <w:spacing w:after="0"/>
              <w:rPr>
                <w:sz w:val="20"/>
                <w:szCs w:val="20"/>
                <w:color w:val="auto"/>
              </w:rPr>
            </w:pPr>
            <w:r>
              <w:rPr>
                <w:rFonts w:ascii="Courier New" w:cs="Courier New" w:eastAsia="Courier New" w:hAnsi="Courier New"/>
                <w:sz w:val="15"/>
                <w:szCs w:val="15"/>
                <w:color w:val="auto"/>
              </w:rPr>
              <w:t>Executive Vice President</w:t>
            </w:r>
          </w:p>
        </w:tc>
        <w:tc>
          <w:tcPr>
            <w:tcW w:w="1580" w:type="dxa"/>
            <w:vAlign w:val="bottom"/>
          </w:tcPr>
          <w:p>
            <w:pPr>
              <w:ind w:left="100"/>
              <w:spacing w:after="0"/>
              <w:rPr>
                <w:sz w:val="20"/>
                <w:szCs w:val="20"/>
                <w:color w:val="auto"/>
              </w:rPr>
            </w:pPr>
            <w:r>
              <w:rPr>
                <w:rFonts w:ascii="Courier New" w:cs="Courier New" w:eastAsia="Courier New" w:hAnsi="Courier New"/>
                <w:sz w:val="15"/>
                <w:szCs w:val="15"/>
                <w:color w:val="auto"/>
                <w:w w:val="95"/>
              </w:rPr>
              <w:t>December 16, 2002</w:t>
            </w:r>
          </w:p>
        </w:tc>
      </w:tr>
      <w:tr>
        <w:trPr>
          <w:trHeight w:val="168"/>
        </w:trPr>
        <w:tc>
          <w:tcPr>
            <w:tcW w:w="4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 ---------------------------------------------</w:t>
            </w:r>
          </w:p>
        </w:tc>
        <w:tc>
          <w:tcPr>
            <w:tcW w:w="398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w w:val="98"/>
              </w:rPr>
              <w:t>(Co-Principal Financial Officer); Director</w:t>
            </w:r>
          </w:p>
        </w:tc>
        <w:tc>
          <w:tcPr>
            <w:tcW w:w="1580" w:type="dxa"/>
            <w:vAlign w:val="bottom"/>
          </w:tcPr>
          <w:p>
            <w:pPr>
              <w:spacing w:after="0"/>
              <w:rPr>
                <w:sz w:val="14"/>
                <w:szCs w:val="14"/>
                <w:color w:val="auto"/>
              </w:rPr>
            </w:pPr>
          </w:p>
        </w:tc>
      </w:tr>
      <w:tr>
        <w:trPr>
          <w:trHeight w:val="168"/>
        </w:trPr>
        <w:tc>
          <w:tcPr>
            <w:tcW w:w="4160" w:type="dxa"/>
            <w:vAlign w:val="bottom"/>
          </w:tcPr>
          <w:p>
            <w:pPr>
              <w:jc w:val="center"/>
              <w:ind w:right="307"/>
              <w:spacing w:after="0" w:line="168" w:lineRule="exact"/>
              <w:rPr>
                <w:sz w:val="20"/>
                <w:szCs w:val="20"/>
                <w:color w:val="auto"/>
              </w:rPr>
            </w:pPr>
            <w:r>
              <w:rPr>
                <w:rFonts w:ascii="Courier New" w:cs="Courier New" w:eastAsia="Courier New" w:hAnsi="Courier New"/>
                <w:sz w:val="15"/>
                <w:szCs w:val="15"/>
                <w:color w:val="auto"/>
                <w:w w:val="98"/>
              </w:rPr>
              <w:t>Lawrence S. Smith</w:t>
            </w:r>
          </w:p>
        </w:tc>
        <w:tc>
          <w:tcPr>
            <w:tcW w:w="3980" w:type="dxa"/>
            <w:vAlign w:val="bottom"/>
          </w:tcPr>
          <w:p>
            <w:pPr>
              <w:spacing w:after="0"/>
              <w:rPr>
                <w:sz w:val="14"/>
                <w:szCs w:val="14"/>
                <w:color w:val="auto"/>
              </w:rPr>
            </w:pPr>
          </w:p>
        </w:tc>
        <w:tc>
          <w:tcPr>
            <w:tcW w:w="1580" w:type="dxa"/>
            <w:vAlign w:val="bottom"/>
          </w:tcPr>
          <w:p>
            <w:pPr>
              <w:spacing w:after="0"/>
              <w:rPr>
                <w:sz w:val="14"/>
                <w:szCs w:val="14"/>
                <w:color w:val="auto"/>
              </w:rPr>
            </w:pPr>
          </w:p>
        </w:tc>
      </w:tr>
      <w:tr>
        <w:trPr>
          <w:trHeight w:val="505"/>
        </w:trPr>
        <w:tc>
          <w:tcPr>
            <w:tcW w:w="4160" w:type="dxa"/>
            <w:vAlign w:val="bottom"/>
          </w:tcPr>
          <w:p>
            <w:pPr>
              <w:jc w:val="center"/>
              <w:ind w:right="227"/>
              <w:spacing w:after="0"/>
              <w:rPr>
                <w:sz w:val="20"/>
                <w:szCs w:val="20"/>
                <w:color w:val="auto"/>
              </w:rPr>
            </w:pPr>
            <w:r>
              <w:rPr>
                <w:rFonts w:ascii="Courier New" w:cs="Courier New" w:eastAsia="Courier New" w:hAnsi="Courier New"/>
                <w:sz w:val="15"/>
                <w:szCs w:val="15"/>
                <w:color w:val="auto"/>
                <w:w w:val="97"/>
              </w:rPr>
              <w:t>/s/ John R. Alchin</w:t>
            </w:r>
          </w:p>
        </w:tc>
        <w:tc>
          <w:tcPr>
            <w:tcW w:w="3980" w:type="dxa"/>
            <w:vAlign w:val="bottom"/>
          </w:tcPr>
          <w:p>
            <w:pPr>
              <w:ind w:left="40"/>
              <w:spacing w:after="0"/>
              <w:rPr>
                <w:sz w:val="20"/>
                <w:szCs w:val="20"/>
                <w:color w:val="auto"/>
              </w:rPr>
            </w:pPr>
            <w:r>
              <w:rPr>
                <w:rFonts w:ascii="Courier New" w:cs="Courier New" w:eastAsia="Courier New" w:hAnsi="Courier New"/>
                <w:sz w:val="15"/>
                <w:szCs w:val="15"/>
                <w:color w:val="auto"/>
              </w:rPr>
              <w:t>Executive Vice President and Treasurer</w:t>
            </w:r>
          </w:p>
        </w:tc>
        <w:tc>
          <w:tcPr>
            <w:tcW w:w="1580" w:type="dxa"/>
            <w:vAlign w:val="bottom"/>
          </w:tcPr>
          <w:p>
            <w:pPr>
              <w:ind w:left="100"/>
              <w:spacing w:after="0"/>
              <w:rPr>
                <w:sz w:val="20"/>
                <w:szCs w:val="20"/>
                <w:color w:val="auto"/>
              </w:rPr>
            </w:pPr>
            <w:r>
              <w:rPr>
                <w:rFonts w:ascii="Courier New" w:cs="Courier New" w:eastAsia="Courier New" w:hAnsi="Courier New"/>
                <w:sz w:val="15"/>
                <w:szCs w:val="15"/>
                <w:color w:val="auto"/>
                <w:w w:val="95"/>
              </w:rPr>
              <w:t>December 16, 2002</w:t>
            </w:r>
          </w:p>
        </w:tc>
      </w:tr>
      <w:tr>
        <w:trPr>
          <w:trHeight w:val="168"/>
        </w:trPr>
        <w:tc>
          <w:tcPr>
            <w:tcW w:w="4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 ---------------------------------------------</w:t>
            </w:r>
          </w:p>
        </w:tc>
        <w:tc>
          <w:tcPr>
            <w:tcW w:w="398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(Co-Principal Financial Officer)</w:t>
            </w:r>
          </w:p>
        </w:tc>
        <w:tc>
          <w:tcPr>
            <w:tcW w:w="1580" w:type="dxa"/>
            <w:vAlign w:val="bottom"/>
          </w:tcPr>
          <w:p>
            <w:pPr>
              <w:spacing w:after="0"/>
              <w:rPr>
                <w:sz w:val="14"/>
                <w:szCs w:val="14"/>
                <w:color w:val="auto"/>
              </w:rPr>
            </w:pPr>
          </w:p>
        </w:tc>
      </w:tr>
      <w:tr>
        <w:trPr>
          <w:trHeight w:val="168"/>
        </w:trPr>
        <w:tc>
          <w:tcPr>
            <w:tcW w:w="4160" w:type="dxa"/>
            <w:vAlign w:val="bottom"/>
          </w:tcPr>
          <w:p>
            <w:pPr>
              <w:jc w:val="center"/>
              <w:ind w:right="227"/>
              <w:spacing w:after="0" w:line="168" w:lineRule="exact"/>
              <w:rPr>
                <w:sz w:val="20"/>
                <w:szCs w:val="20"/>
                <w:color w:val="auto"/>
              </w:rPr>
            </w:pPr>
            <w:r>
              <w:rPr>
                <w:rFonts w:ascii="Courier New" w:cs="Courier New" w:eastAsia="Courier New" w:hAnsi="Courier New"/>
                <w:sz w:val="15"/>
                <w:szCs w:val="15"/>
                <w:color w:val="auto"/>
                <w:w w:val="96"/>
              </w:rPr>
              <w:t>John R. Alchin</w:t>
            </w:r>
          </w:p>
        </w:tc>
        <w:tc>
          <w:tcPr>
            <w:tcW w:w="3980" w:type="dxa"/>
            <w:vAlign w:val="bottom"/>
          </w:tcPr>
          <w:p>
            <w:pPr>
              <w:spacing w:after="0"/>
              <w:rPr>
                <w:sz w:val="14"/>
                <w:szCs w:val="14"/>
                <w:color w:val="auto"/>
              </w:rPr>
            </w:pPr>
          </w:p>
        </w:tc>
        <w:tc>
          <w:tcPr>
            <w:tcW w:w="1580" w:type="dxa"/>
            <w:vAlign w:val="bottom"/>
          </w:tcPr>
          <w:p>
            <w:pPr>
              <w:spacing w:after="0"/>
              <w:rPr>
                <w:sz w:val="14"/>
                <w:szCs w:val="14"/>
                <w:color w:val="auto"/>
              </w:rPr>
            </w:pPr>
          </w:p>
        </w:tc>
      </w:tr>
      <w:tr>
        <w:trPr>
          <w:trHeight w:val="505"/>
        </w:trPr>
        <w:tc>
          <w:tcPr>
            <w:tcW w:w="4160" w:type="dxa"/>
            <w:vAlign w:val="bottom"/>
          </w:tcPr>
          <w:p>
            <w:pPr>
              <w:jc w:val="center"/>
              <w:ind w:right="227"/>
              <w:spacing w:after="0"/>
              <w:rPr>
                <w:sz w:val="20"/>
                <w:szCs w:val="20"/>
                <w:color w:val="auto"/>
              </w:rPr>
            </w:pPr>
            <w:r>
              <w:rPr>
                <w:rFonts w:ascii="Courier New" w:cs="Courier New" w:eastAsia="Courier New" w:hAnsi="Courier New"/>
                <w:sz w:val="15"/>
                <w:szCs w:val="15"/>
                <w:color w:val="auto"/>
                <w:w w:val="97"/>
              </w:rPr>
              <w:t>/s/ David L. Cohen</w:t>
            </w:r>
          </w:p>
        </w:tc>
        <w:tc>
          <w:tcPr>
            <w:tcW w:w="3980" w:type="dxa"/>
            <w:vAlign w:val="bottom"/>
          </w:tcPr>
          <w:p>
            <w:pPr>
              <w:ind w:left="220"/>
              <w:spacing w:after="0"/>
              <w:rPr>
                <w:sz w:val="20"/>
                <w:szCs w:val="20"/>
                <w:color w:val="auto"/>
              </w:rPr>
            </w:pPr>
            <w:r>
              <w:rPr>
                <w:rFonts w:ascii="Courier New" w:cs="Courier New" w:eastAsia="Courier New" w:hAnsi="Courier New"/>
                <w:sz w:val="15"/>
                <w:szCs w:val="15"/>
                <w:color w:val="auto"/>
              </w:rPr>
              <w:t>Executive Vice President; Director</w:t>
            </w:r>
          </w:p>
        </w:tc>
        <w:tc>
          <w:tcPr>
            <w:tcW w:w="1580" w:type="dxa"/>
            <w:vAlign w:val="bottom"/>
          </w:tcPr>
          <w:p>
            <w:pPr>
              <w:ind w:left="100"/>
              <w:spacing w:after="0"/>
              <w:rPr>
                <w:sz w:val="20"/>
                <w:szCs w:val="20"/>
                <w:color w:val="auto"/>
              </w:rPr>
            </w:pPr>
            <w:r>
              <w:rPr>
                <w:rFonts w:ascii="Courier New" w:cs="Courier New" w:eastAsia="Courier New" w:hAnsi="Courier New"/>
                <w:sz w:val="15"/>
                <w:szCs w:val="15"/>
                <w:color w:val="auto"/>
                <w:w w:val="95"/>
              </w:rPr>
              <w:t>December 16, 2002</w:t>
            </w:r>
          </w:p>
        </w:tc>
      </w:tr>
    </w:tbl>
    <w:p>
      <w:pPr>
        <w:ind w:left="180" w:hanging="170"/>
        <w:spacing w:after="0" w:line="237" w:lineRule="auto"/>
        <w:tabs>
          <w:tab w:leader="none" w:pos="180" w:val="left"/>
        </w:tabs>
        <w:numPr>
          <w:ilvl w:val="0"/>
          <w:numId w:val="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132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David L. Cohen</w:t>
      </w:r>
    </w:p>
    <w:p>
      <w:pPr>
        <w:sectPr>
          <w:pgSz w:w="11900" w:h="16838" w:orient="portrait"/>
          <w:cols w:equalWidth="0" w:num="1">
            <w:col w:w="10239"/>
          </w:cols>
          <w:pgMar w:left="220" w:top="785" w:right="1440" w:bottom="1440" w:gutter="0" w:footer="0" w:header="0"/>
        </w:sectPr>
      </w:pPr>
    </w:p>
    <w:p>
      <w:pPr>
        <w:spacing w:after="0" w:line="342" w:lineRule="exact"/>
        <w:rPr>
          <w:sz w:val="20"/>
          <w:szCs w:val="20"/>
          <w:color w:val="auto"/>
        </w:rPr>
      </w:pPr>
    </w:p>
    <w:p>
      <w:pPr>
        <w:ind w:left="1060"/>
        <w:spacing w:after="0"/>
        <w:rPr>
          <w:sz w:val="20"/>
          <w:szCs w:val="20"/>
          <w:color w:val="auto"/>
        </w:rPr>
      </w:pPr>
      <w:r>
        <w:rPr>
          <w:rFonts w:ascii="Courier New" w:cs="Courier New" w:eastAsia="Courier New" w:hAnsi="Courier New"/>
          <w:sz w:val="14"/>
          <w:szCs w:val="14"/>
          <w:color w:val="auto"/>
        </w:rPr>
        <w:t>/s/ Arthur R. Block</w:t>
      </w:r>
    </w:p>
    <w:p>
      <w:pPr>
        <w:spacing w:after="0" w:line="20" w:lineRule="exact"/>
        <w:rPr>
          <w:sz w:val="20"/>
          <w:szCs w:val="20"/>
          <w:color w:val="auto"/>
        </w:rPr>
      </w:pPr>
      <w:r>
        <w:rPr>
          <w:sz w:val="20"/>
          <w:szCs w:val="20"/>
          <w:color w:val="auto"/>
        </w:rPr>
        <w:br w:type="column"/>
      </w:r>
    </w:p>
    <w:p>
      <w:pPr>
        <w:spacing w:after="0" w:line="32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Senior Vice President; Director</w:t>
      </w:r>
    </w:p>
    <w:p>
      <w:pPr>
        <w:spacing w:after="0" w:line="20" w:lineRule="exact"/>
        <w:rPr>
          <w:sz w:val="20"/>
          <w:szCs w:val="20"/>
          <w:color w:val="auto"/>
        </w:rPr>
      </w:pPr>
      <w:r>
        <w:rPr>
          <w:sz w:val="20"/>
          <w:szCs w:val="20"/>
          <w:color w:val="auto"/>
        </w:rPr>
        <w:br w:type="column"/>
      </w:r>
    </w:p>
    <w:p>
      <w:pPr>
        <w:spacing w:after="0" w:line="32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December 16, 2002</w:t>
      </w:r>
    </w:p>
    <w:p>
      <w:pPr>
        <w:spacing w:after="0" w:line="10" w:lineRule="exact"/>
        <w:rPr>
          <w:sz w:val="20"/>
          <w:szCs w:val="20"/>
          <w:color w:val="auto"/>
        </w:rPr>
      </w:pPr>
    </w:p>
    <w:p>
      <w:pPr>
        <w:sectPr>
          <w:pgSz w:w="11900" w:h="16838" w:orient="portrait"/>
          <w:cols w:equalWidth="0" w:num="3">
            <w:col w:w="3840" w:space="720"/>
            <w:col w:w="2960" w:space="720"/>
            <w:col w:w="1999"/>
          </w:cols>
          <w:pgMar w:left="220" w:top="785"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p>
      <w:pPr>
        <w:ind w:left="1240"/>
        <w:spacing w:after="0"/>
        <w:rPr>
          <w:sz w:val="20"/>
          <w:szCs w:val="20"/>
          <w:color w:val="auto"/>
        </w:rPr>
      </w:pPr>
      <w:r>
        <w:rPr>
          <w:rFonts w:ascii="Courier New" w:cs="Courier New" w:eastAsia="Courier New" w:hAnsi="Courier New"/>
          <w:sz w:val="15"/>
          <w:szCs w:val="15"/>
          <w:color w:val="auto"/>
        </w:rPr>
        <w:t>Arthur R. Block</w:t>
      </w:r>
    </w:p>
    <w:p>
      <w:pPr>
        <w:sectPr>
          <w:pgSz w:w="11900" w:h="16838" w:orient="portrait"/>
          <w:cols w:equalWidth="0" w:num="1">
            <w:col w:w="10239"/>
          </w:cols>
          <w:pgMar w:left="220" w:top="785" w:right="1440" w:bottom="1440" w:gutter="0" w:footer="0" w:header="0"/>
          <w:type w:val="continuous"/>
        </w:sectPr>
      </w:pPr>
    </w:p>
    <w:p>
      <w:pPr>
        <w:spacing w:after="0" w:line="335"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/s/ Lawrence J. Salva</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32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Senior Vice President and Controller</w:t>
      </w:r>
    </w:p>
    <w:p>
      <w:pPr>
        <w:spacing w:after="0" w:line="10"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(Principal Accounting Officer)</w:t>
      </w:r>
    </w:p>
    <w:p>
      <w:pPr>
        <w:spacing w:after="0" w:line="20" w:lineRule="exact"/>
        <w:rPr>
          <w:sz w:val="20"/>
          <w:szCs w:val="20"/>
          <w:color w:val="auto"/>
        </w:rPr>
      </w:pPr>
      <w:r>
        <w:rPr>
          <w:sz w:val="20"/>
          <w:szCs w:val="20"/>
          <w:color w:val="auto"/>
        </w:rPr>
        <w:br w:type="column"/>
      </w:r>
    </w:p>
    <w:p>
      <w:pPr>
        <w:spacing w:after="0" w:line="32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December 16, 2002</w:t>
      </w:r>
    </w:p>
    <w:p>
      <w:pPr>
        <w:spacing w:after="0" w:line="171" w:lineRule="exact"/>
        <w:rPr>
          <w:sz w:val="20"/>
          <w:szCs w:val="20"/>
          <w:color w:val="auto"/>
        </w:rPr>
      </w:pPr>
    </w:p>
    <w:p>
      <w:pPr>
        <w:sectPr>
          <w:pgSz w:w="11900" w:h="16838" w:orient="portrait"/>
          <w:cols w:equalWidth="0" w:num="3">
            <w:col w:w="4120" w:space="180"/>
            <w:col w:w="3220" w:space="720"/>
            <w:col w:w="1999"/>
          </w:cols>
          <w:pgMar w:left="220" w:top="785" w:right="1440" w:bottom="1440" w:gutter="0" w:footer="0" w:header="0"/>
          <w:type w:val="continuous"/>
        </w:sectPr>
      </w:pPr>
    </w:p>
    <w:p>
      <w:pPr>
        <w:ind w:left="1140"/>
        <w:spacing w:after="0"/>
        <w:rPr>
          <w:sz w:val="20"/>
          <w:szCs w:val="20"/>
          <w:color w:val="auto"/>
        </w:rPr>
      </w:pPr>
      <w:r>
        <w:rPr>
          <w:rFonts w:ascii="Courier New" w:cs="Courier New" w:eastAsia="Courier New" w:hAnsi="Courier New"/>
          <w:sz w:val="15"/>
          <w:szCs w:val="15"/>
          <w:color w:val="auto"/>
        </w:rPr>
        <w:t>Lawrence J. Salva</w:t>
      </w:r>
    </w:p>
    <w:p>
      <w:pPr>
        <w:spacing w:after="0" w:line="200" w:lineRule="exact"/>
        <w:rPr>
          <w:sz w:val="20"/>
          <w:szCs w:val="20"/>
          <w:color w:val="auto"/>
        </w:rPr>
      </w:pPr>
    </w:p>
    <w:p>
      <w:pPr>
        <w:spacing w:after="0" w:line="309" w:lineRule="exact"/>
        <w:rPr>
          <w:sz w:val="20"/>
          <w:szCs w:val="20"/>
          <w:color w:val="auto"/>
        </w:rPr>
      </w:pPr>
    </w:p>
    <w:p>
      <w:pPr>
        <w:ind w:left="3240"/>
        <w:spacing w:after="0"/>
        <w:rPr>
          <w:sz w:val="20"/>
          <w:szCs w:val="20"/>
          <w:color w:val="auto"/>
        </w:rPr>
      </w:pPr>
      <w:r>
        <w:rPr>
          <w:rFonts w:ascii="Courier New" w:cs="Courier New" w:eastAsia="Courier New" w:hAnsi="Courier New"/>
          <w:sz w:val="14"/>
          <w:szCs w:val="14"/>
          <w:color w:val="auto"/>
        </w:rPr>
        <w:t>II-13</w:t>
      </w:r>
    </w:p>
    <w:p>
      <w:pPr>
        <w:sectPr>
          <w:pgSz w:w="11900" w:h="16838" w:orient="portrait"/>
          <w:cols w:equalWidth="0" w:num="1">
            <w:col w:w="10239"/>
          </w:cols>
          <w:pgMar w:left="220" w:top="785" w:right="1440" w:bottom="1440" w:gutter="0" w:footer="0" w:header="0"/>
          <w:type w:val="continuous"/>
        </w:sectPr>
      </w:pPr>
    </w:p>
    <w:bookmarkStart w:id="69" w:name="page70"/>
    <w:bookmarkEnd w:id="69"/>
    <w:p>
      <w:pPr>
        <w:ind w:left="1940"/>
        <w:spacing w:after="0"/>
        <w:rPr>
          <w:sz w:val="20"/>
          <w:szCs w:val="20"/>
          <w:color w:val="auto"/>
        </w:rPr>
      </w:pPr>
      <w:r>
        <w:rPr>
          <w:rFonts w:ascii="Courier New" w:cs="Courier New" w:eastAsia="Courier New" w:hAnsi="Courier New"/>
          <w:sz w:val="15"/>
          <w:szCs w:val="15"/>
          <w:color w:val="auto"/>
        </w:rPr>
        <w:t>SIGNATURES AND POWER OF ATTORNEY FOR</w:t>
      </w:r>
    </w:p>
    <w:p>
      <w:pPr>
        <w:ind w:left="1680"/>
        <w:spacing w:after="0" w:line="237" w:lineRule="auto"/>
        <w:rPr>
          <w:sz w:val="20"/>
          <w:szCs w:val="20"/>
          <w:color w:val="auto"/>
        </w:rPr>
      </w:pPr>
      <w:r>
        <w:rPr>
          <w:rFonts w:ascii="Courier New" w:cs="Courier New" w:eastAsia="Courier New" w:hAnsi="Courier New"/>
          <w:sz w:val="15"/>
          <w:szCs w:val="15"/>
          <w:color w:val="auto"/>
        </w:rPr>
        <w:t>COMCAST CABLE COMMUNICATIONS HOLDINGS, INC.</w:t>
      </w:r>
    </w:p>
    <w:p>
      <w:pPr>
        <w:spacing w:after="0" w:line="173" w:lineRule="exact"/>
        <w:rPr>
          <w:sz w:val="20"/>
          <w:szCs w:val="20"/>
          <w:color w:val="auto"/>
        </w:rPr>
      </w:pPr>
    </w:p>
    <w:p>
      <w:pPr>
        <w:ind w:right="1040" w:firstLine="437"/>
        <w:spacing w:after="0" w:line="236" w:lineRule="auto"/>
        <w:rPr>
          <w:sz w:val="20"/>
          <w:szCs w:val="20"/>
          <w:color w:val="auto"/>
        </w:rPr>
      </w:pPr>
      <w:r>
        <w:rPr>
          <w:rFonts w:ascii="Courier New" w:cs="Courier New" w:eastAsia="Courier New" w:hAnsi="Courier New"/>
          <w:sz w:val="15"/>
          <w:szCs w:val="15"/>
          <w:color w:val="auto"/>
        </w:rPr>
        <w:t>Pursuant to the requirements of the Securities Act of 1933, Comcast Cable Communications Holdings, Inc. certifies that it has reasonable grounds to believe that it meets all of the requirements for filing on Form S-3 and has duly caused this Registration Statement to be signed on its behalf by the undersigned, thereunto duly authorized in Philadelphia, Pennsylvania, on the 16th day of December, 2002.</w:t>
      </w:r>
    </w:p>
    <w:p>
      <w:pPr>
        <w:spacing w:after="0" w:line="168"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COMCAST CABLE COMMUNICATIONS, INC. HOLDINGS, INC.</w:t>
      </w:r>
    </w:p>
    <w:p>
      <w:pPr>
        <w:spacing w:after="0" w:line="335" w:lineRule="exact"/>
        <w:rPr>
          <w:sz w:val="20"/>
          <w:szCs w:val="20"/>
          <w:color w:val="auto"/>
        </w:rPr>
      </w:pPr>
    </w:p>
    <w:p>
      <w:pPr>
        <w:ind w:left="2540"/>
        <w:spacing w:after="0"/>
        <w:tabs>
          <w:tab w:leader="none" w:pos="2960" w:val="left"/>
        </w:tabs>
        <w:rPr>
          <w:sz w:val="20"/>
          <w:szCs w:val="20"/>
          <w:color w:val="auto"/>
        </w:rPr>
      </w:pPr>
      <w:r>
        <w:rPr>
          <w:rFonts w:ascii="Courier New" w:cs="Courier New" w:eastAsia="Courier New" w:hAnsi="Courier New"/>
          <w:sz w:val="15"/>
          <w:szCs w:val="15"/>
          <w:color w:val="auto"/>
        </w:rPr>
        <w:t>By:</w:t>
        <w:tab/>
        <w:t>/s/ Arthur R. Block</w:t>
      </w:r>
    </w:p>
    <w:p>
      <w:pPr>
        <w:ind w:left="2980"/>
        <w:spacing w:after="0" w:line="237" w:lineRule="auto"/>
        <w:rPr>
          <w:sz w:val="20"/>
          <w:szCs w:val="20"/>
          <w:color w:val="auto"/>
        </w:rPr>
      </w:pPr>
      <w:r>
        <w:rPr>
          <w:rFonts w:ascii="Courier New" w:cs="Courier New" w:eastAsia="Courier New" w:hAnsi="Courier New"/>
          <w:sz w:val="15"/>
          <w:szCs w:val="15"/>
          <w:color w:val="auto"/>
        </w:rPr>
        <w:t>------------------------------------</w:t>
      </w:r>
    </w:p>
    <w:p>
      <w:pPr>
        <w:ind w:left="2980"/>
        <w:spacing w:after="0" w:line="238" w:lineRule="auto"/>
        <w:tabs>
          <w:tab w:leader="none" w:pos="3760" w:val="left"/>
        </w:tabs>
        <w:rPr>
          <w:sz w:val="20"/>
          <w:szCs w:val="20"/>
          <w:color w:val="auto"/>
        </w:rPr>
      </w:pPr>
      <w:r>
        <w:rPr>
          <w:rFonts w:ascii="Courier New" w:cs="Courier New" w:eastAsia="Courier New" w:hAnsi="Courier New"/>
          <w:sz w:val="15"/>
          <w:szCs w:val="15"/>
          <w:color w:val="auto"/>
        </w:rPr>
        <w:t>Name:</w:t>
      </w:r>
      <w:r>
        <w:rPr>
          <w:sz w:val="20"/>
          <w:szCs w:val="20"/>
          <w:color w:val="auto"/>
        </w:rPr>
        <w:tab/>
      </w:r>
      <w:r>
        <w:rPr>
          <w:rFonts w:ascii="Courier New" w:cs="Courier New" w:eastAsia="Courier New" w:hAnsi="Courier New"/>
          <w:sz w:val="15"/>
          <w:szCs w:val="15"/>
          <w:color w:val="auto"/>
        </w:rPr>
        <w:t>Arthur R. Block</w:t>
      </w:r>
    </w:p>
    <w:p>
      <w:pPr>
        <w:ind w:left="2980"/>
        <w:spacing w:after="0" w:line="237" w:lineRule="auto"/>
        <w:tabs>
          <w:tab w:leader="none" w:pos="3760" w:val="left"/>
        </w:tabs>
        <w:rPr>
          <w:sz w:val="20"/>
          <w:szCs w:val="20"/>
          <w:color w:val="auto"/>
        </w:rPr>
      </w:pPr>
      <w:r>
        <w:rPr>
          <w:rFonts w:ascii="Courier New" w:cs="Courier New" w:eastAsia="Courier New" w:hAnsi="Courier New"/>
          <w:sz w:val="15"/>
          <w:szCs w:val="15"/>
          <w:color w:val="auto"/>
        </w:rPr>
        <w:t>Title:</w:t>
      </w:r>
      <w:r>
        <w:rPr>
          <w:sz w:val="20"/>
          <w:szCs w:val="20"/>
          <w:color w:val="auto"/>
        </w:rPr>
        <w:tab/>
      </w:r>
      <w:r>
        <w:rPr>
          <w:rFonts w:ascii="Courier New" w:cs="Courier New" w:eastAsia="Courier New" w:hAnsi="Courier New"/>
          <w:sz w:val="15"/>
          <w:szCs w:val="15"/>
          <w:color w:val="auto"/>
        </w:rPr>
        <w:t>Senior Vice President</w:t>
      </w:r>
    </w:p>
    <w:p>
      <w:pPr>
        <w:spacing w:after="0" w:line="173" w:lineRule="exact"/>
        <w:rPr>
          <w:sz w:val="20"/>
          <w:szCs w:val="20"/>
          <w:color w:val="auto"/>
        </w:rPr>
      </w:pPr>
    </w:p>
    <w:p>
      <w:pPr>
        <w:ind w:right="960" w:firstLine="437"/>
        <w:spacing w:after="0" w:line="255" w:lineRule="auto"/>
        <w:rPr>
          <w:sz w:val="20"/>
          <w:szCs w:val="20"/>
          <w:color w:val="auto"/>
        </w:rPr>
      </w:pPr>
      <w:r>
        <w:rPr>
          <w:rFonts w:ascii="Courier New" w:cs="Courier New" w:eastAsia="Courier New" w:hAnsi="Courier New"/>
          <w:sz w:val="14"/>
          <w:szCs w:val="14"/>
          <w:color w:val="auto"/>
        </w:rPr>
        <w:t>KNOW ALL MEN BY THESE PRESENTS, that each person whose signature appears below hereby constitutes and appoints Brian L. Roberts, Lawrence S. Smith, John R. Alchin, David L. Cohen, Lawrence J. Salva and Arthur R. Block and each of them, his true and lawful attorneys-in-fact and agents, with full power of substitution and resubstitution, for him and in his name, place and stead, in any and all capacities, to sign any and all amendments to this Registration Statement (including post-effective amendments), as well as any related registration statement for amendment thereto filed pursuant to Rule 462 promulgated under the Securities Act of 1933, and to file the same, with all exhibits thereto, and other documents in connection therewith, with the Securities and Exchange Commission, granting unto said attorneys-in-fact and agents full power and authority to do and perform each and every act and thing requisite and necessary to be done in and about the premises, as fully to all intents and purposes as he might or could do in person, hereby ratifying and confirming all that said attorneys-in-fact and agents, or their substitute or substitutes, may lawfully do or cause to be done by virtue hereof.</w:t>
      </w:r>
    </w:p>
    <w:p>
      <w:pPr>
        <w:spacing w:after="0" w:line="163" w:lineRule="exact"/>
        <w:rPr>
          <w:sz w:val="20"/>
          <w:szCs w:val="20"/>
          <w:color w:val="auto"/>
        </w:rPr>
      </w:pPr>
    </w:p>
    <w:p>
      <w:pPr>
        <w:ind w:right="1220" w:firstLine="437"/>
        <w:spacing w:after="0" w:line="235" w:lineRule="auto"/>
        <w:rPr>
          <w:sz w:val="20"/>
          <w:szCs w:val="20"/>
          <w:color w:val="auto"/>
        </w:rPr>
      </w:pPr>
      <w:r>
        <w:rPr>
          <w:rFonts w:ascii="Courier New" w:cs="Courier New" w:eastAsia="Courier New" w:hAnsi="Courier New"/>
          <w:sz w:val="15"/>
          <w:szCs w:val="15"/>
          <w:color w:val="auto"/>
        </w:rPr>
        <w:t>Pursuant to the requirements of the Securities Act of 1933, this Registration Statement has been signed below by the following persons in the capacities and on the dates indicated.</w:t>
      </w:r>
    </w:p>
    <w:p>
      <w:pPr>
        <w:spacing w:after="0" w:line="335" w:lineRule="exact"/>
        <w:rPr>
          <w:sz w:val="20"/>
          <w:szCs w:val="20"/>
          <w:color w:val="auto"/>
        </w:rPr>
      </w:pPr>
    </w:p>
    <w:p>
      <w:pPr>
        <w:ind w:left="1500"/>
        <w:spacing w:after="0"/>
        <w:tabs>
          <w:tab w:leader="none" w:pos="5680" w:val="left"/>
        </w:tabs>
        <w:rPr>
          <w:sz w:val="20"/>
          <w:szCs w:val="20"/>
          <w:color w:val="auto"/>
        </w:rPr>
      </w:pPr>
      <w:r>
        <w:rPr>
          <w:rFonts w:ascii="Courier New" w:cs="Courier New" w:eastAsia="Courier New" w:hAnsi="Courier New"/>
          <w:sz w:val="15"/>
          <w:szCs w:val="15"/>
          <w:color w:val="auto"/>
        </w:rPr>
        <w:t>Signature</w:t>
      </w:r>
      <w:r>
        <w:rPr>
          <w:sz w:val="20"/>
          <w:szCs w:val="20"/>
          <w:color w:val="auto"/>
        </w:rPr>
        <w:tab/>
      </w:r>
      <w:r>
        <w:rPr>
          <w:rFonts w:ascii="Courier New" w:cs="Courier New" w:eastAsia="Courier New" w:hAnsi="Courier New"/>
          <w:sz w:val="15"/>
          <w:szCs w:val="15"/>
          <w:color w:val="auto"/>
        </w:rPr>
        <w:t>Title</w:t>
      </w:r>
    </w:p>
    <w:p>
      <w:pPr>
        <w:ind w:left="1500"/>
        <w:spacing w:after="0" w:line="237" w:lineRule="auto"/>
        <w:tabs>
          <w:tab w:leader="none" w:pos="568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335" w:lineRule="exact"/>
        <w:rPr>
          <w:sz w:val="20"/>
          <w:szCs w:val="20"/>
          <w:color w:val="auto"/>
        </w:rPr>
      </w:pPr>
    </w:p>
    <w:p>
      <w:pPr>
        <w:ind w:left="1060"/>
        <w:spacing w:after="0"/>
        <w:tabs>
          <w:tab w:leader="none" w:pos="4280" w:val="left"/>
        </w:tabs>
        <w:rPr>
          <w:sz w:val="20"/>
          <w:szCs w:val="20"/>
          <w:color w:val="auto"/>
        </w:rPr>
      </w:pPr>
      <w:r>
        <w:rPr>
          <w:rFonts w:ascii="Courier New" w:cs="Courier New" w:eastAsia="Courier New" w:hAnsi="Courier New"/>
          <w:sz w:val="15"/>
          <w:szCs w:val="15"/>
          <w:color w:val="auto"/>
        </w:rPr>
        <w:t>/s/ Brian L. Roberts</w:t>
      </w:r>
      <w:r>
        <w:rPr>
          <w:sz w:val="20"/>
          <w:szCs w:val="20"/>
          <w:color w:val="auto"/>
        </w:rPr>
        <w:tab/>
      </w:r>
      <w:r>
        <w:rPr>
          <w:rFonts w:ascii="Courier New" w:cs="Courier New" w:eastAsia="Courier New" w:hAnsi="Courier New"/>
          <w:sz w:val="14"/>
          <w:szCs w:val="14"/>
          <w:color w:val="auto"/>
        </w:rPr>
        <w:t>President and Chief Executive Officer</w:t>
      </w:r>
    </w:p>
    <w:p>
      <w:pPr>
        <w:spacing w:after="0"/>
        <w:tabs>
          <w:tab w:leader="none" w:pos="4720"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4"/>
          <w:szCs w:val="14"/>
          <w:color w:val="auto"/>
        </w:rPr>
        <w:t>(Principal Executive Officer)</w:t>
      </w:r>
    </w:p>
    <w:p>
      <w:pPr>
        <w:ind w:left="1240"/>
        <w:spacing w:after="0" w:line="238" w:lineRule="auto"/>
        <w:rPr>
          <w:sz w:val="20"/>
          <w:szCs w:val="20"/>
          <w:color w:val="auto"/>
        </w:rPr>
      </w:pPr>
      <w:r>
        <w:rPr>
          <w:rFonts w:ascii="Courier New" w:cs="Courier New" w:eastAsia="Courier New" w:hAnsi="Courier New"/>
          <w:sz w:val="15"/>
          <w:szCs w:val="15"/>
          <w:color w:val="auto"/>
        </w:rPr>
        <w:t>Brian L. Roberts</w:t>
      </w:r>
    </w:p>
    <w:p>
      <w:pPr>
        <w:spacing w:after="0" w:line="335" w:lineRule="exact"/>
        <w:rPr>
          <w:sz w:val="20"/>
          <w:szCs w:val="20"/>
          <w:color w:val="auto"/>
        </w:rPr>
      </w:pPr>
    </w:p>
    <w:p>
      <w:pPr>
        <w:ind w:left="980"/>
        <w:spacing w:after="0"/>
        <w:tabs>
          <w:tab w:leader="none" w:pos="4800" w:val="left"/>
        </w:tabs>
        <w:rPr>
          <w:sz w:val="20"/>
          <w:szCs w:val="20"/>
          <w:color w:val="auto"/>
        </w:rPr>
      </w:pPr>
      <w:r>
        <w:rPr>
          <w:rFonts w:ascii="Courier New" w:cs="Courier New" w:eastAsia="Courier New" w:hAnsi="Courier New"/>
          <w:sz w:val="15"/>
          <w:szCs w:val="15"/>
          <w:color w:val="auto"/>
        </w:rPr>
        <w:t>/s/ Lawrence S. Smith</w:t>
      </w:r>
      <w:r>
        <w:rPr>
          <w:sz w:val="20"/>
          <w:szCs w:val="20"/>
          <w:color w:val="auto"/>
        </w:rPr>
        <w:tab/>
      </w:r>
      <w:r>
        <w:rPr>
          <w:rFonts w:ascii="Courier New" w:cs="Courier New" w:eastAsia="Courier New" w:hAnsi="Courier New"/>
          <w:sz w:val="14"/>
          <w:szCs w:val="14"/>
          <w:color w:val="auto"/>
        </w:rPr>
        <w:t>Executive Vice President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(Co-Principal Financial Officer); Director</w:t>
      </w:r>
    </w:p>
    <w:p>
      <w:pPr>
        <w:spacing w:after="0" w:line="3" w:lineRule="exact"/>
        <w:rPr>
          <w:sz w:val="20"/>
          <w:szCs w:val="20"/>
          <w:color w:val="auto"/>
        </w:rPr>
      </w:pPr>
    </w:p>
    <w:p>
      <w:pPr>
        <w:ind w:left="1140"/>
        <w:spacing w:after="0"/>
        <w:rPr>
          <w:sz w:val="20"/>
          <w:szCs w:val="20"/>
          <w:color w:val="auto"/>
        </w:rPr>
      </w:pPr>
      <w:r>
        <w:rPr>
          <w:rFonts w:ascii="Courier New" w:cs="Courier New" w:eastAsia="Courier New" w:hAnsi="Courier New"/>
          <w:sz w:val="15"/>
          <w:szCs w:val="15"/>
          <w:color w:val="auto"/>
        </w:rPr>
        <w:t>Lawrence S. Smith</w:t>
      </w:r>
    </w:p>
    <w:p>
      <w:pPr>
        <w:spacing w:after="0" w:line="335" w:lineRule="exact"/>
        <w:rPr>
          <w:sz w:val="20"/>
          <w:szCs w:val="20"/>
          <w:color w:val="auto"/>
        </w:rPr>
      </w:pPr>
    </w:p>
    <w:p>
      <w:pPr>
        <w:ind w:left="1140"/>
        <w:spacing w:after="0"/>
        <w:tabs>
          <w:tab w:leader="none" w:pos="4180" w:val="left"/>
        </w:tabs>
        <w:rPr>
          <w:sz w:val="20"/>
          <w:szCs w:val="20"/>
          <w:color w:val="auto"/>
        </w:rPr>
      </w:pPr>
      <w:r>
        <w:rPr>
          <w:rFonts w:ascii="Courier New" w:cs="Courier New" w:eastAsia="Courier New" w:hAnsi="Courier New"/>
          <w:sz w:val="15"/>
          <w:szCs w:val="15"/>
          <w:color w:val="auto"/>
        </w:rPr>
        <w:t>/s/ John R. Alchin</w:t>
      </w:r>
      <w:r>
        <w:rPr>
          <w:sz w:val="20"/>
          <w:szCs w:val="20"/>
          <w:color w:val="auto"/>
        </w:rPr>
        <w:tab/>
      </w:r>
      <w:r>
        <w:rPr>
          <w:rFonts w:ascii="Courier New" w:cs="Courier New" w:eastAsia="Courier New" w:hAnsi="Courier New"/>
          <w:sz w:val="14"/>
          <w:szCs w:val="14"/>
          <w:color w:val="auto"/>
        </w:rPr>
        <w:t>Executive Vice President and Treasurer</w:t>
      </w:r>
    </w:p>
    <w:p>
      <w:pPr>
        <w:spacing w:after="0"/>
        <w:tabs>
          <w:tab w:leader="none" w:pos="4620"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4"/>
          <w:szCs w:val="14"/>
          <w:color w:val="auto"/>
        </w:rPr>
        <w:t>(Co-Principal Financial Officer)</w:t>
      </w:r>
    </w:p>
    <w:p>
      <w:pPr>
        <w:ind w:left="1320"/>
        <w:spacing w:after="0" w:line="238" w:lineRule="auto"/>
        <w:rPr>
          <w:sz w:val="20"/>
          <w:szCs w:val="20"/>
          <w:color w:val="auto"/>
        </w:rPr>
      </w:pPr>
      <w:r>
        <w:rPr>
          <w:rFonts w:ascii="Courier New" w:cs="Courier New" w:eastAsia="Courier New" w:hAnsi="Courier New"/>
          <w:sz w:val="15"/>
          <w:szCs w:val="15"/>
          <w:color w:val="auto"/>
        </w:rPr>
        <w:t>John R. Alchin</w:t>
      </w:r>
    </w:p>
    <w:p>
      <w:pPr>
        <w:spacing w:after="0" w:line="335" w:lineRule="exact"/>
        <w:rPr>
          <w:sz w:val="20"/>
          <w:szCs w:val="20"/>
          <w:color w:val="auto"/>
        </w:rPr>
      </w:pPr>
    </w:p>
    <w:p>
      <w:pPr>
        <w:ind w:left="1140"/>
        <w:spacing w:after="0"/>
        <w:tabs>
          <w:tab w:leader="none" w:pos="4360" w:val="left"/>
        </w:tabs>
        <w:rPr>
          <w:sz w:val="20"/>
          <w:szCs w:val="20"/>
          <w:color w:val="auto"/>
        </w:rPr>
      </w:pPr>
      <w:r>
        <w:rPr>
          <w:rFonts w:ascii="Courier New" w:cs="Courier New" w:eastAsia="Courier New" w:hAnsi="Courier New"/>
          <w:sz w:val="15"/>
          <w:szCs w:val="15"/>
          <w:color w:val="auto"/>
        </w:rPr>
        <w:t>/s/ David L. Cohen</w:t>
      </w:r>
      <w:r>
        <w:rPr>
          <w:sz w:val="20"/>
          <w:szCs w:val="20"/>
          <w:color w:val="auto"/>
        </w:rPr>
        <w:tab/>
      </w:r>
      <w:r>
        <w:rPr>
          <w:rFonts w:ascii="Courier New" w:cs="Courier New" w:eastAsia="Courier New" w:hAnsi="Courier New"/>
          <w:sz w:val="14"/>
          <w:szCs w:val="14"/>
          <w:color w:val="auto"/>
        </w:rPr>
        <w:t>Executive Vice President; Director</w:t>
      </w:r>
    </w:p>
    <w:p>
      <w:pPr>
        <w:ind w:left="180" w:hanging="170"/>
        <w:spacing w:after="0" w:line="237" w:lineRule="auto"/>
        <w:tabs>
          <w:tab w:leader="none" w:pos="180" w:val="left"/>
        </w:tabs>
        <w:numPr>
          <w:ilvl w:val="0"/>
          <w:numId w:val="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132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David L. Cohen</w:t>
      </w:r>
    </w:p>
    <w:p>
      <w:pPr>
        <w:spacing w:after="0" w:line="335" w:lineRule="exact"/>
        <w:rPr>
          <w:sz w:val="20"/>
          <w:szCs w:val="20"/>
          <w:color w:val="auto"/>
        </w:rPr>
      </w:pPr>
    </w:p>
    <w:p>
      <w:pPr>
        <w:ind w:left="1060"/>
        <w:spacing w:after="0"/>
        <w:tabs>
          <w:tab w:leader="none" w:pos="4540" w:val="left"/>
        </w:tabs>
        <w:rPr>
          <w:sz w:val="20"/>
          <w:szCs w:val="20"/>
          <w:color w:val="auto"/>
        </w:rPr>
      </w:pPr>
      <w:r>
        <w:rPr>
          <w:rFonts w:ascii="Courier New" w:cs="Courier New" w:eastAsia="Courier New" w:hAnsi="Courier New"/>
          <w:sz w:val="15"/>
          <w:szCs w:val="15"/>
          <w:color w:val="auto"/>
        </w:rPr>
        <w:t>/s/ Arthur R. Block</w:t>
      </w:r>
      <w:r>
        <w:rPr>
          <w:sz w:val="20"/>
          <w:szCs w:val="20"/>
          <w:color w:val="auto"/>
        </w:rPr>
        <w:tab/>
      </w:r>
      <w:r>
        <w:rPr>
          <w:rFonts w:ascii="Courier New" w:cs="Courier New" w:eastAsia="Courier New" w:hAnsi="Courier New"/>
          <w:sz w:val="14"/>
          <w:szCs w:val="14"/>
          <w:color w:val="auto"/>
        </w:rPr>
        <w:t>Senior Vice President; Director</w:t>
      </w:r>
    </w:p>
    <w:p>
      <w:pPr>
        <w:spacing w:after="0" w:line="237" w:lineRule="auto"/>
        <w:rPr>
          <w:sz w:val="20"/>
          <w:szCs w:val="20"/>
          <w:color w:val="auto"/>
        </w:rPr>
      </w:pPr>
      <w:r>
        <w:rPr>
          <w:rFonts w:ascii="Courier New" w:cs="Courier New" w:eastAsia="Courier New" w:hAnsi="Courier New"/>
          <w:sz w:val="15"/>
          <w:szCs w:val="15"/>
          <w:color w:val="auto"/>
        </w:rPr>
        <w:t>- ---------------------------------------------</w:t>
      </w:r>
    </w:p>
    <w:p>
      <w:pPr>
        <w:ind w:left="1240"/>
        <w:spacing w:after="0" w:line="238" w:lineRule="auto"/>
        <w:rPr>
          <w:sz w:val="20"/>
          <w:szCs w:val="20"/>
          <w:color w:val="auto"/>
        </w:rPr>
      </w:pPr>
      <w:r>
        <w:rPr>
          <w:rFonts w:ascii="Courier New" w:cs="Courier New" w:eastAsia="Courier New" w:hAnsi="Courier New"/>
          <w:sz w:val="15"/>
          <w:szCs w:val="15"/>
          <w:color w:val="auto"/>
        </w:rPr>
        <w:t>Arthur R. Block</w:t>
      </w:r>
    </w:p>
    <w:p>
      <w:pPr>
        <w:spacing w:after="0" w:line="335" w:lineRule="exact"/>
        <w:rPr>
          <w:sz w:val="20"/>
          <w:szCs w:val="20"/>
          <w:color w:val="auto"/>
        </w:rPr>
      </w:pPr>
    </w:p>
    <w:p>
      <w:pPr>
        <w:ind w:left="980"/>
        <w:spacing w:after="0"/>
        <w:tabs>
          <w:tab w:leader="none" w:pos="4980" w:val="left"/>
        </w:tabs>
        <w:rPr>
          <w:sz w:val="20"/>
          <w:szCs w:val="20"/>
          <w:color w:val="auto"/>
        </w:rPr>
      </w:pPr>
      <w:r>
        <w:rPr>
          <w:rFonts w:ascii="Courier New" w:cs="Courier New" w:eastAsia="Courier New" w:hAnsi="Courier New"/>
          <w:sz w:val="15"/>
          <w:szCs w:val="15"/>
          <w:color w:val="auto"/>
        </w:rPr>
        <w:t>/s/ Lawrence J. Salva</w:t>
      </w:r>
      <w:r>
        <w:rPr>
          <w:sz w:val="20"/>
          <w:szCs w:val="20"/>
          <w:color w:val="auto"/>
        </w:rPr>
        <w:tab/>
      </w:r>
      <w:r>
        <w:rPr>
          <w:rFonts w:ascii="Courier New" w:cs="Courier New" w:eastAsia="Courier New" w:hAnsi="Courier New"/>
          <w:sz w:val="14"/>
          <w:szCs w:val="14"/>
          <w:color w:val="auto"/>
        </w:rPr>
        <w:t>Senior Vice President</w:t>
      </w:r>
    </w:p>
    <w:p>
      <w:pPr>
        <w:spacing w:after="0"/>
        <w:tabs>
          <w:tab w:leader="none" w:pos="4720"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4"/>
          <w:szCs w:val="14"/>
          <w:color w:val="auto"/>
        </w:rPr>
        <w:t>(Principal Accounting Officer)</w:t>
      </w:r>
    </w:p>
    <w:p>
      <w:pPr>
        <w:ind w:left="1140"/>
        <w:spacing w:after="0" w:line="238" w:lineRule="auto"/>
        <w:rPr>
          <w:sz w:val="20"/>
          <w:szCs w:val="20"/>
          <w:color w:val="auto"/>
        </w:rPr>
      </w:pPr>
      <w:r>
        <w:rPr>
          <w:rFonts w:ascii="Courier New" w:cs="Courier New" w:eastAsia="Courier New" w:hAnsi="Courier New"/>
          <w:sz w:val="15"/>
          <w:szCs w:val="15"/>
          <w:color w:val="auto"/>
        </w:rPr>
        <w:t>Lawrence J. Salva</w:t>
      </w:r>
    </w:p>
    <w:p>
      <w:pPr>
        <w:spacing w:after="0" w:line="200" w:lineRule="exact"/>
        <w:rPr>
          <w:sz w:val="20"/>
          <w:szCs w:val="20"/>
          <w:color w:val="auto"/>
        </w:rPr>
      </w:pPr>
    </w:p>
    <w:p>
      <w:pPr>
        <w:spacing w:after="0" w:line="303"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II-14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259"/>
        <w:spacing w:after="0"/>
        <w:rPr>
          <w:sz w:val="20"/>
          <w:szCs w:val="20"/>
          <w:color w:val="auto"/>
        </w:rPr>
      </w:pPr>
      <w:r>
        <w:rPr>
          <w:rFonts w:ascii="Courier New" w:cs="Courier New" w:eastAsia="Courier New" w:hAnsi="Courier New"/>
          <w:sz w:val="15"/>
          <w:szCs w:val="15"/>
          <w:color w:val="auto"/>
        </w:rPr>
        <w:t>Date</w:t>
      </w:r>
    </w:p>
    <w:p>
      <w:pPr>
        <w:ind w:left="700"/>
        <w:spacing w:after="0" w:line="237" w:lineRule="auto"/>
        <w:rPr>
          <w:sz w:val="20"/>
          <w:szCs w:val="20"/>
          <w:color w:val="auto"/>
        </w:rPr>
      </w:pPr>
      <w:r>
        <w:rPr>
          <w:rFonts w:ascii="Courier New" w:cs="Courier New" w:eastAsia="Courier New" w:hAnsi="Courier New"/>
          <w:sz w:val="15"/>
          <w:szCs w:val="15"/>
          <w:color w:val="auto"/>
        </w:rPr>
        <w:t>----</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December 16, 2002</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December 16, 2002</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December 16, 2002</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December 16, 2002</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December 16, 2002</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December 16, 2002</w:t>
      </w:r>
    </w:p>
    <w:p>
      <w:pPr>
        <w:sectPr>
          <w:pgSz w:w="11900" w:h="16838" w:orient="portrait"/>
          <w:cols w:equalWidth="0" w:num="2">
            <w:col w:w="7880" w:space="360"/>
            <w:col w:w="1999"/>
          </w:cols>
          <w:pgMar w:left="220" w:top="785" w:right="1440" w:bottom="1440" w:gutter="0" w:footer="0" w:header="0"/>
        </w:sectPr>
      </w:pPr>
    </w:p>
    <w:bookmarkStart w:id="70" w:name="page71"/>
    <w:bookmarkEnd w:id="70"/>
    <w:p>
      <w:pPr>
        <w:ind w:left="700"/>
        <w:spacing w:after="0"/>
        <w:rPr>
          <w:sz w:val="20"/>
          <w:szCs w:val="20"/>
          <w:color w:val="auto"/>
        </w:rPr>
      </w:pPr>
      <w:r>
        <w:rPr>
          <w:rFonts w:ascii="Courier New" w:cs="Courier New" w:eastAsia="Courier New" w:hAnsi="Courier New"/>
          <w:sz w:val="15"/>
          <w:szCs w:val="15"/>
          <w:color w:val="auto"/>
        </w:rPr>
        <w:t>SIGNATURES AND POWER OF ATTORNEY FOR COMCAST CABLE HOLDINGS, LLC</w:t>
      </w:r>
    </w:p>
    <w:p>
      <w:pPr>
        <w:spacing w:after="0" w:line="173" w:lineRule="exact"/>
        <w:rPr>
          <w:sz w:val="20"/>
          <w:szCs w:val="20"/>
          <w:color w:val="auto"/>
        </w:rPr>
      </w:pPr>
    </w:p>
    <w:p>
      <w:pPr>
        <w:ind w:right="620" w:firstLine="437"/>
        <w:spacing w:after="0" w:line="236" w:lineRule="auto"/>
        <w:rPr>
          <w:sz w:val="20"/>
          <w:szCs w:val="20"/>
          <w:color w:val="auto"/>
        </w:rPr>
      </w:pPr>
      <w:r>
        <w:rPr>
          <w:rFonts w:ascii="Courier New" w:cs="Courier New" w:eastAsia="Courier New" w:hAnsi="Courier New"/>
          <w:sz w:val="15"/>
          <w:szCs w:val="15"/>
          <w:color w:val="auto"/>
        </w:rPr>
        <w:t>Pursuant to the requirements of the Securities Act of 1933, Comcast Cable Holdings, LLC certifies that it has reasonable grounds to believe that it meets all of the requirements for filing on Form S-3 and has duly caused this Registration Statement to be signed on its behalf by the undersigned, thereunto duly authorized in Philadelphia, Pennsylvania, on the 16th day of December, 2002.</w:t>
      </w:r>
    </w:p>
    <w:p>
      <w:pPr>
        <w:spacing w:after="0" w:line="168" w:lineRule="exact"/>
        <w:rPr>
          <w:sz w:val="20"/>
          <w:szCs w:val="20"/>
          <w:color w:val="auto"/>
        </w:rPr>
      </w:pPr>
    </w:p>
    <w:p>
      <w:pPr>
        <w:ind w:left="3780"/>
        <w:spacing w:after="0"/>
        <w:rPr>
          <w:sz w:val="20"/>
          <w:szCs w:val="20"/>
          <w:color w:val="auto"/>
        </w:rPr>
      </w:pPr>
      <w:r>
        <w:rPr>
          <w:rFonts w:ascii="Courier New" w:cs="Courier New" w:eastAsia="Courier New" w:hAnsi="Courier New"/>
          <w:sz w:val="15"/>
          <w:szCs w:val="15"/>
          <w:color w:val="auto"/>
        </w:rPr>
        <w:t>COMCAST CABLE HOLDINGS, LLC</w:t>
      </w:r>
    </w:p>
    <w:p>
      <w:pPr>
        <w:spacing w:after="0" w:line="335" w:lineRule="exact"/>
        <w:rPr>
          <w:sz w:val="20"/>
          <w:szCs w:val="20"/>
          <w:color w:val="auto"/>
        </w:rPr>
      </w:pPr>
    </w:p>
    <w:p>
      <w:pPr>
        <w:ind w:left="3780"/>
        <w:spacing w:after="0"/>
        <w:tabs>
          <w:tab w:leader="none" w:pos="418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4"/>
          <w:szCs w:val="14"/>
          <w:color w:val="auto"/>
        </w:rPr>
        <w:t>/s/ Arthur R. Block</w:t>
      </w:r>
    </w:p>
    <w:p>
      <w:pPr>
        <w:ind w:left="4200"/>
        <w:spacing w:after="0" w:line="237" w:lineRule="auto"/>
        <w:rPr>
          <w:sz w:val="20"/>
          <w:szCs w:val="20"/>
          <w:color w:val="auto"/>
        </w:rPr>
      </w:pPr>
      <w:r>
        <w:rPr>
          <w:rFonts w:ascii="Courier New" w:cs="Courier New" w:eastAsia="Courier New" w:hAnsi="Courier New"/>
          <w:sz w:val="15"/>
          <w:szCs w:val="15"/>
          <w:color w:val="auto"/>
        </w:rPr>
        <w:t>-------------------------------</w:t>
      </w:r>
    </w:p>
    <w:p>
      <w:pPr>
        <w:ind w:left="4200"/>
        <w:spacing w:after="0" w:line="238" w:lineRule="auto"/>
        <w:tabs>
          <w:tab w:leader="none" w:pos="4980" w:val="left"/>
        </w:tabs>
        <w:rPr>
          <w:sz w:val="20"/>
          <w:szCs w:val="20"/>
          <w:color w:val="auto"/>
        </w:rPr>
      </w:pPr>
      <w:r>
        <w:rPr>
          <w:rFonts w:ascii="Courier New" w:cs="Courier New" w:eastAsia="Courier New" w:hAnsi="Courier New"/>
          <w:sz w:val="15"/>
          <w:szCs w:val="15"/>
          <w:color w:val="auto"/>
        </w:rPr>
        <w:t>Name:</w:t>
      </w:r>
      <w:r>
        <w:rPr>
          <w:sz w:val="20"/>
          <w:szCs w:val="20"/>
          <w:color w:val="auto"/>
        </w:rPr>
        <w:tab/>
      </w:r>
      <w:r>
        <w:rPr>
          <w:rFonts w:ascii="Courier New" w:cs="Courier New" w:eastAsia="Courier New" w:hAnsi="Courier New"/>
          <w:sz w:val="15"/>
          <w:szCs w:val="15"/>
          <w:color w:val="auto"/>
        </w:rPr>
        <w:t>Arthur R. Block</w:t>
      </w:r>
    </w:p>
    <w:p>
      <w:pPr>
        <w:ind w:left="4200"/>
        <w:spacing w:after="0" w:line="237" w:lineRule="auto"/>
        <w:tabs>
          <w:tab w:leader="none" w:pos="4980" w:val="left"/>
        </w:tabs>
        <w:rPr>
          <w:sz w:val="20"/>
          <w:szCs w:val="20"/>
          <w:color w:val="auto"/>
        </w:rPr>
      </w:pPr>
      <w:r>
        <w:rPr>
          <w:rFonts w:ascii="Courier New" w:cs="Courier New" w:eastAsia="Courier New" w:hAnsi="Courier New"/>
          <w:sz w:val="15"/>
          <w:szCs w:val="15"/>
          <w:color w:val="auto"/>
        </w:rPr>
        <w:t>Title:</w:t>
        <w:tab/>
        <w:t>Senior Vice President</w:t>
      </w:r>
    </w:p>
    <w:p>
      <w:pPr>
        <w:spacing w:after="0" w:line="173" w:lineRule="exact"/>
        <w:rPr>
          <w:sz w:val="20"/>
          <w:szCs w:val="20"/>
          <w:color w:val="auto"/>
        </w:rPr>
      </w:pPr>
    </w:p>
    <w:p>
      <w:pPr>
        <w:ind w:right="620" w:firstLine="437"/>
        <w:spacing w:after="0" w:line="255" w:lineRule="auto"/>
        <w:rPr>
          <w:sz w:val="20"/>
          <w:szCs w:val="20"/>
          <w:color w:val="auto"/>
        </w:rPr>
      </w:pPr>
      <w:r>
        <w:rPr>
          <w:rFonts w:ascii="Courier New" w:cs="Courier New" w:eastAsia="Courier New" w:hAnsi="Courier New"/>
          <w:sz w:val="14"/>
          <w:szCs w:val="14"/>
          <w:color w:val="auto"/>
        </w:rPr>
        <w:t>KNOW ALL MEN BY THESE PRESENTS, that each person whose signature appears below hereby constitutes and appoints Brian L. Roberts, Lawrence S. Smith, John R. Alchin, David L. Cohen, Lawrence J. Salva and Arthur R. Block and each of them, his true and lawful attorneys-in-fact and agents, with full power of substitution and resubstitution, for him and in his name, place and stead, in any and all capacities, to sign any and all amendments to this Registration Statement (including post-effective amendments, as well as any related registration statement for amendment thereto) filed pursuant to Rule 462 promulgated under the Securities Act of 1933, and to file the same, with all exhibits thereto, and other documents in connection therewith, with the Securities and Exchange Commission, granting unto said attorneys-in-fact and agents full power and authority to do and perform each and every act and thing requisite and necessary to be done in and about the premises, as fully to all intents and purposes as he might or could do in person, hereby ratifying and confirming all that said attorneys-in-fact and agents, or their substitute or substitutes, may lawfully do or cause to be done by virtue hereof.</w:t>
      </w:r>
    </w:p>
    <w:p>
      <w:pPr>
        <w:spacing w:after="0" w:line="163" w:lineRule="exact"/>
        <w:rPr>
          <w:sz w:val="20"/>
          <w:szCs w:val="20"/>
          <w:color w:val="auto"/>
        </w:rPr>
      </w:pPr>
    </w:p>
    <w:p>
      <w:pPr>
        <w:ind w:right="880" w:firstLine="437"/>
        <w:spacing w:after="0" w:line="235" w:lineRule="auto"/>
        <w:rPr>
          <w:sz w:val="20"/>
          <w:szCs w:val="20"/>
          <w:color w:val="auto"/>
        </w:rPr>
      </w:pPr>
      <w:r>
        <w:rPr>
          <w:rFonts w:ascii="Courier New" w:cs="Courier New" w:eastAsia="Courier New" w:hAnsi="Courier New"/>
          <w:sz w:val="15"/>
          <w:szCs w:val="15"/>
          <w:color w:val="auto"/>
        </w:rPr>
        <w:t>Pursuant to the requirements of the Securities Act of 1933, this Registration Statement has been signed below by the following persons in the capacities and on the dates indicated.</w:t>
      </w:r>
    </w:p>
    <w:p>
      <w:pPr>
        <w:spacing w:after="0" w:line="335" w:lineRule="exact"/>
        <w:rPr>
          <w:sz w:val="20"/>
          <w:szCs w:val="20"/>
          <w:color w:val="auto"/>
        </w:rPr>
      </w:pPr>
    </w:p>
    <w:p>
      <w:pPr>
        <w:ind w:left="1500"/>
        <w:spacing w:after="0"/>
        <w:tabs>
          <w:tab w:leader="none" w:pos="5680" w:val="left"/>
        </w:tabs>
        <w:rPr>
          <w:sz w:val="20"/>
          <w:szCs w:val="20"/>
          <w:color w:val="auto"/>
        </w:rPr>
      </w:pPr>
      <w:r>
        <w:rPr>
          <w:rFonts w:ascii="Courier New" w:cs="Courier New" w:eastAsia="Courier New" w:hAnsi="Courier New"/>
          <w:sz w:val="15"/>
          <w:szCs w:val="15"/>
          <w:color w:val="auto"/>
        </w:rPr>
        <w:t>Signature</w:t>
      </w:r>
      <w:r>
        <w:rPr>
          <w:sz w:val="20"/>
          <w:szCs w:val="20"/>
          <w:color w:val="auto"/>
        </w:rPr>
        <w:tab/>
      </w:r>
      <w:r>
        <w:rPr>
          <w:rFonts w:ascii="Courier New" w:cs="Courier New" w:eastAsia="Courier New" w:hAnsi="Courier New"/>
          <w:sz w:val="15"/>
          <w:szCs w:val="15"/>
          <w:color w:val="auto"/>
        </w:rPr>
        <w:t>Title</w:t>
      </w:r>
    </w:p>
    <w:p>
      <w:pPr>
        <w:ind w:left="1500"/>
        <w:spacing w:after="0" w:line="237" w:lineRule="auto"/>
        <w:tabs>
          <w:tab w:leader="none" w:pos="568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335" w:lineRule="exact"/>
        <w:rPr>
          <w:sz w:val="20"/>
          <w:szCs w:val="20"/>
          <w:color w:val="auto"/>
        </w:rPr>
      </w:pPr>
    </w:p>
    <w:p>
      <w:pPr>
        <w:jc w:val="right"/>
        <w:spacing w:after="0"/>
        <w:tabs>
          <w:tab w:leader="none" w:pos="3220" w:val="left"/>
        </w:tabs>
        <w:rPr>
          <w:sz w:val="20"/>
          <w:szCs w:val="20"/>
          <w:color w:val="auto"/>
        </w:rPr>
      </w:pPr>
      <w:r>
        <w:rPr>
          <w:rFonts w:ascii="Courier New" w:cs="Courier New" w:eastAsia="Courier New" w:hAnsi="Courier New"/>
          <w:sz w:val="15"/>
          <w:szCs w:val="15"/>
          <w:color w:val="auto"/>
        </w:rPr>
        <w:t>/s/ Brian L. Roberts</w:t>
      </w:r>
      <w:r>
        <w:rPr>
          <w:sz w:val="20"/>
          <w:szCs w:val="20"/>
          <w:color w:val="auto"/>
        </w:rPr>
        <w:tab/>
      </w:r>
      <w:r>
        <w:rPr>
          <w:rFonts w:ascii="Courier New" w:cs="Courier New" w:eastAsia="Courier New" w:hAnsi="Courier New"/>
          <w:sz w:val="14"/>
          <w:szCs w:val="14"/>
          <w:color w:val="auto"/>
        </w:rPr>
        <w:t>President and Chief Executive Officer</w:t>
      </w:r>
    </w:p>
    <w:p>
      <w:pPr>
        <w:spacing w:after="0"/>
        <w:tabs>
          <w:tab w:leader="none" w:pos="4720"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4"/>
          <w:szCs w:val="14"/>
          <w:color w:val="auto"/>
        </w:rPr>
        <w:t>(Principal Executive Officer)</w:t>
      </w:r>
    </w:p>
    <w:p>
      <w:pPr>
        <w:ind w:left="1240"/>
        <w:spacing w:after="0" w:line="238" w:lineRule="auto"/>
        <w:rPr>
          <w:sz w:val="20"/>
          <w:szCs w:val="20"/>
          <w:color w:val="auto"/>
        </w:rPr>
      </w:pPr>
      <w:r>
        <w:rPr>
          <w:rFonts w:ascii="Courier New" w:cs="Courier New" w:eastAsia="Courier New" w:hAnsi="Courier New"/>
          <w:sz w:val="15"/>
          <w:szCs w:val="15"/>
          <w:color w:val="auto"/>
        </w:rPr>
        <w:t>Brian L. Roberts</w:t>
      </w:r>
    </w:p>
    <w:p>
      <w:pPr>
        <w:spacing w:after="0" w:line="335" w:lineRule="exact"/>
        <w:rPr>
          <w:sz w:val="20"/>
          <w:szCs w:val="20"/>
          <w:color w:val="auto"/>
        </w:rPr>
      </w:pPr>
    </w:p>
    <w:p>
      <w:pPr>
        <w:ind w:left="980"/>
        <w:spacing w:after="0"/>
        <w:tabs>
          <w:tab w:leader="none" w:pos="4800" w:val="left"/>
        </w:tabs>
        <w:rPr>
          <w:sz w:val="20"/>
          <w:szCs w:val="20"/>
          <w:color w:val="auto"/>
        </w:rPr>
      </w:pPr>
      <w:r>
        <w:rPr>
          <w:rFonts w:ascii="Courier New" w:cs="Courier New" w:eastAsia="Courier New" w:hAnsi="Courier New"/>
          <w:sz w:val="15"/>
          <w:szCs w:val="15"/>
          <w:color w:val="auto"/>
        </w:rPr>
        <w:t>/s/ Lawrence S. Smith</w:t>
      </w:r>
      <w:r>
        <w:rPr>
          <w:sz w:val="20"/>
          <w:szCs w:val="20"/>
          <w:color w:val="auto"/>
        </w:rPr>
        <w:tab/>
      </w:r>
      <w:r>
        <w:rPr>
          <w:rFonts w:ascii="Courier New" w:cs="Courier New" w:eastAsia="Courier New" w:hAnsi="Courier New"/>
          <w:sz w:val="14"/>
          <w:szCs w:val="14"/>
          <w:color w:val="auto"/>
        </w:rPr>
        <w:t>Executive Vice President</w:t>
      </w:r>
    </w:p>
    <w:p>
      <w:pPr>
        <w:spacing w:after="0"/>
        <w:tabs>
          <w:tab w:leader="none" w:pos="4620"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4"/>
          <w:szCs w:val="14"/>
          <w:color w:val="auto"/>
        </w:rPr>
        <w:t>(Co-Principal Financial Officer)</w:t>
      </w:r>
    </w:p>
    <w:p>
      <w:pPr>
        <w:ind w:left="1140"/>
        <w:spacing w:after="0" w:line="238" w:lineRule="auto"/>
        <w:rPr>
          <w:sz w:val="20"/>
          <w:szCs w:val="20"/>
          <w:color w:val="auto"/>
        </w:rPr>
      </w:pPr>
      <w:r>
        <w:rPr>
          <w:rFonts w:ascii="Courier New" w:cs="Courier New" w:eastAsia="Courier New" w:hAnsi="Courier New"/>
          <w:sz w:val="15"/>
          <w:szCs w:val="15"/>
          <w:color w:val="auto"/>
        </w:rPr>
        <w:t>Lawrence S. Smith</w:t>
      </w:r>
    </w:p>
    <w:p>
      <w:pPr>
        <w:spacing w:after="0" w:line="335" w:lineRule="exact"/>
        <w:rPr>
          <w:sz w:val="20"/>
          <w:szCs w:val="20"/>
          <w:color w:val="auto"/>
        </w:rPr>
      </w:pPr>
    </w:p>
    <w:p>
      <w:pPr>
        <w:jc w:val="right"/>
        <w:spacing w:after="0"/>
        <w:tabs>
          <w:tab w:leader="none" w:pos="3320" w:val="left"/>
        </w:tabs>
        <w:rPr>
          <w:sz w:val="20"/>
          <w:szCs w:val="20"/>
          <w:color w:val="auto"/>
        </w:rPr>
      </w:pPr>
      <w:r>
        <w:rPr>
          <w:rFonts w:ascii="Courier New" w:cs="Courier New" w:eastAsia="Courier New" w:hAnsi="Courier New"/>
          <w:sz w:val="15"/>
          <w:szCs w:val="15"/>
          <w:color w:val="auto"/>
        </w:rPr>
        <w:t>/s/ John R. Alchin</w:t>
      </w:r>
      <w:r>
        <w:rPr>
          <w:sz w:val="20"/>
          <w:szCs w:val="20"/>
          <w:color w:val="auto"/>
        </w:rPr>
        <w:tab/>
      </w:r>
      <w:r>
        <w:rPr>
          <w:rFonts w:ascii="Courier New" w:cs="Courier New" w:eastAsia="Courier New" w:hAnsi="Courier New"/>
          <w:sz w:val="14"/>
          <w:szCs w:val="14"/>
          <w:color w:val="auto"/>
        </w:rPr>
        <w:t>Executive Vice President and Treasurer</w:t>
      </w:r>
    </w:p>
    <w:p>
      <w:pPr>
        <w:spacing w:after="0"/>
        <w:tabs>
          <w:tab w:leader="none" w:pos="4620"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4"/>
          <w:szCs w:val="14"/>
          <w:color w:val="auto"/>
        </w:rPr>
        <w:t>(Co-Principal Financial Officer)</w:t>
      </w:r>
    </w:p>
    <w:p>
      <w:pPr>
        <w:ind w:left="1320"/>
        <w:spacing w:after="0" w:line="238" w:lineRule="auto"/>
        <w:rPr>
          <w:sz w:val="20"/>
          <w:szCs w:val="20"/>
          <w:color w:val="auto"/>
        </w:rPr>
      </w:pPr>
      <w:r>
        <w:rPr>
          <w:rFonts w:ascii="Courier New" w:cs="Courier New" w:eastAsia="Courier New" w:hAnsi="Courier New"/>
          <w:sz w:val="15"/>
          <w:szCs w:val="15"/>
          <w:color w:val="auto"/>
        </w:rPr>
        <w:t>John R. Alchin</w:t>
      </w:r>
    </w:p>
    <w:p>
      <w:pPr>
        <w:spacing w:after="0" w:line="335" w:lineRule="exact"/>
        <w:rPr>
          <w:sz w:val="20"/>
          <w:szCs w:val="20"/>
          <w:color w:val="auto"/>
        </w:rPr>
      </w:pPr>
    </w:p>
    <w:p>
      <w:pPr>
        <w:ind w:left="980"/>
        <w:spacing w:after="0"/>
        <w:tabs>
          <w:tab w:leader="none" w:pos="4980" w:val="left"/>
        </w:tabs>
        <w:rPr>
          <w:sz w:val="20"/>
          <w:szCs w:val="20"/>
          <w:color w:val="auto"/>
        </w:rPr>
      </w:pPr>
      <w:r>
        <w:rPr>
          <w:rFonts w:ascii="Courier New" w:cs="Courier New" w:eastAsia="Courier New" w:hAnsi="Courier New"/>
          <w:sz w:val="15"/>
          <w:szCs w:val="15"/>
          <w:color w:val="auto"/>
        </w:rPr>
        <w:t>/s/ Lawrence J. Salva</w:t>
      </w:r>
      <w:r>
        <w:rPr>
          <w:sz w:val="20"/>
          <w:szCs w:val="20"/>
          <w:color w:val="auto"/>
        </w:rPr>
        <w:tab/>
      </w:r>
      <w:r>
        <w:rPr>
          <w:rFonts w:ascii="Courier New" w:cs="Courier New" w:eastAsia="Courier New" w:hAnsi="Courier New"/>
          <w:sz w:val="14"/>
          <w:szCs w:val="14"/>
          <w:color w:val="auto"/>
        </w:rPr>
        <w:t>Senior Vice President</w:t>
      </w:r>
    </w:p>
    <w:p>
      <w:pPr>
        <w:spacing w:after="0"/>
        <w:tabs>
          <w:tab w:leader="none" w:pos="4720"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4"/>
          <w:szCs w:val="14"/>
          <w:color w:val="auto"/>
        </w:rPr>
        <w:t>(Principal Accounting Officer)</w:t>
      </w:r>
    </w:p>
    <w:p>
      <w:pPr>
        <w:ind w:left="1140"/>
        <w:spacing w:after="0" w:line="238" w:lineRule="auto"/>
        <w:rPr>
          <w:sz w:val="20"/>
          <w:szCs w:val="20"/>
          <w:color w:val="auto"/>
        </w:rPr>
      </w:pPr>
      <w:r>
        <w:rPr>
          <w:rFonts w:ascii="Courier New" w:cs="Courier New" w:eastAsia="Courier New" w:hAnsi="Courier New"/>
          <w:sz w:val="15"/>
          <w:szCs w:val="15"/>
          <w:color w:val="auto"/>
        </w:rPr>
        <w:t>Lawrence J. Salva</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CABLE COMMUNICATIONS</w:t>
      </w:r>
    </w:p>
    <w:p>
      <w:pPr>
        <w:spacing w:after="0" w:line="237" w:lineRule="auto"/>
        <w:rPr>
          <w:sz w:val="20"/>
          <w:szCs w:val="20"/>
          <w:color w:val="auto"/>
        </w:rPr>
      </w:pPr>
      <w:r>
        <w:rPr>
          <w:rFonts w:ascii="Courier New" w:cs="Courier New" w:eastAsia="Courier New" w:hAnsi="Courier New"/>
          <w:sz w:val="15"/>
          <w:szCs w:val="15"/>
          <w:color w:val="auto"/>
        </w:rPr>
        <w:t>HOLDINGS, INC.</w:t>
      </w:r>
    </w:p>
    <w:p>
      <w:pPr>
        <w:spacing w:after="0" w:line="167" w:lineRule="exact"/>
        <w:rPr>
          <w:sz w:val="20"/>
          <w:szCs w:val="20"/>
          <w:color w:val="auto"/>
        </w:rPr>
      </w:pPr>
    </w:p>
    <w:p>
      <w:pPr>
        <w:spacing w:after="0"/>
        <w:tabs>
          <w:tab w:leader="none" w:pos="420" w:val="left"/>
          <w:tab w:leader="none" w:pos="5320" w:val="left"/>
        </w:tabs>
        <w:rPr>
          <w:sz w:val="20"/>
          <w:szCs w:val="20"/>
          <w:color w:val="auto"/>
        </w:rPr>
      </w:pPr>
      <w:r>
        <w:rPr>
          <w:rFonts w:ascii="Courier New" w:cs="Courier New" w:eastAsia="Courier New" w:hAnsi="Courier New"/>
          <w:sz w:val="15"/>
          <w:szCs w:val="15"/>
          <w:color w:val="auto"/>
        </w:rPr>
        <w:t>By:</w:t>
        <w:tab/>
        <w:t>/s/ Arthur R. Block</w:t>
      </w:r>
      <w:r>
        <w:rPr>
          <w:sz w:val="20"/>
          <w:szCs w:val="20"/>
          <w:color w:val="auto"/>
        </w:rPr>
        <w:tab/>
      </w:r>
      <w:r>
        <w:rPr>
          <w:rFonts w:ascii="Courier New" w:cs="Courier New" w:eastAsia="Courier New" w:hAnsi="Courier New"/>
          <w:sz w:val="14"/>
          <w:szCs w:val="14"/>
          <w:color w:val="auto"/>
        </w:rPr>
        <w:t>Sole Member</w:t>
      </w:r>
    </w:p>
    <w:p>
      <w:pPr>
        <w:ind w:left="440"/>
        <w:spacing w:after="0" w:line="237" w:lineRule="auto"/>
        <w:rPr>
          <w:sz w:val="20"/>
          <w:szCs w:val="20"/>
          <w:color w:val="auto"/>
        </w:rPr>
      </w:pPr>
      <w:r>
        <w:rPr>
          <w:rFonts w:ascii="Courier New" w:cs="Courier New" w:eastAsia="Courier New" w:hAnsi="Courier New"/>
          <w:sz w:val="15"/>
          <w:szCs w:val="15"/>
          <w:color w:val="auto"/>
        </w:rPr>
        <w:t>-----------------------------------</w:t>
      </w:r>
    </w:p>
    <w:p>
      <w:pPr>
        <w:ind w:left="440"/>
        <w:spacing w:after="0" w:line="238" w:lineRule="auto"/>
        <w:rPr>
          <w:sz w:val="20"/>
          <w:szCs w:val="20"/>
          <w:color w:val="auto"/>
        </w:rPr>
      </w:pPr>
      <w:r>
        <w:rPr>
          <w:rFonts w:ascii="Courier New" w:cs="Courier New" w:eastAsia="Courier New" w:hAnsi="Courier New"/>
          <w:sz w:val="15"/>
          <w:szCs w:val="15"/>
          <w:color w:val="auto"/>
        </w:rPr>
        <w:t>Arthur R. Block</w:t>
      </w:r>
    </w:p>
    <w:p>
      <w:pPr>
        <w:ind w:left="440"/>
        <w:spacing w:after="0" w:line="237" w:lineRule="auto"/>
        <w:rPr>
          <w:sz w:val="20"/>
          <w:szCs w:val="20"/>
          <w:color w:val="auto"/>
        </w:rPr>
      </w:pPr>
      <w:r>
        <w:rPr>
          <w:rFonts w:ascii="Courier New" w:cs="Courier New" w:eastAsia="Courier New" w:hAnsi="Courier New"/>
          <w:sz w:val="15"/>
          <w:szCs w:val="15"/>
          <w:color w:val="auto"/>
        </w:rPr>
        <w:t>Senior Vice President</w:t>
      </w:r>
    </w:p>
    <w:p>
      <w:pPr>
        <w:spacing w:after="0" w:line="200" w:lineRule="exact"/>
        <w:rPr>
          <w:sz w:val="20"/>
          <w:szCs w:val="20"/>
          <w:color w:val="auto"/>
        </w:rPr>
      </w:pPr>
    </w:p>
    <w:p>
      <w:pPr>
        <w:spacing w:after="0" w:line="303"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II-15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Date</w:t>
      </w:r>
    </w:p>
    <w:p>
      <w:pPr>
        <w:ind w:left="700"/>
        <w:spacing w:after="0" w:line="237" w:lineRule="auto"/>
        <w:rPr>
          <w:sz w:val="20"/>
          <w:szCs w:val="20"/>
          <w:color w:val="auto"/>
        </w:rPr>
      </w:pPr>
      <w:r>
        <w:rPr>
          <w:rFonts w:ascii="Courier New" w:cs="Courier New" w:eastAsia="Courier New" w:hAnsi="Courier New"/>
          <w:sz w:val="15"/>
          <w:szCs w:val="15"/>
          <w:color w:val="auto"/>
        </w:rPr>
        <w:t>----</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December 16, 2002</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December 16, 2002</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December 16, 2002</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December 16, 2002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December 16, 2002</w:t>
      </w:r>
    </w:p>
    <w:p>
      <w:pPr>
        <w:sectPr>
          <w:pgSz w:w="11900" w:h="16838" w:orient="portrait"/>
          <w:cols w:equalWidth="0" w:num="2">
            <w:col w:w="7540" w:space="700"/>
            <w:col w:w="1999"/>
          </w:cols>
          <w:pgMar w:left="220" w:top="954" w:right="1440" w:bottom="1440" w:gutter="0" w:footer="0" w:header="0"/>
        </w:sectPr>
      </w:pPr>
    </w:p>
    <w:bookmarkStart w:id="71" w:name="page72"/>
    <w:bookmarkEnd w:id="71"/>
    <w:p>
      <w:pPr>
        <w:ind w:left="980"/>
        <w:spacing w:after="0"/>
        <w:rPr>
          <w:sz w:val="20"/>
          <w:szCs w:val="20"/>
          <w:color w:val="auto"/>
        </w:rPr>
      </w:pPr>
      <w:r>
        <w:rPr>
          <w:rFonts w:ascii="Courier New" w:cs="Courier New" w:eastAsia="Courier New" w:hAnsi="Courier New"/>
          <w:sz w:val="15"/>
          <w:szCs w:val="15"/>
          <w:color w:val="auto"/>
        </w:rPr>
        <w:t>SIGNATURES AND POWER OF ATTORNEY FOR COMCAST MO GROUP, INC.</w:t>
      </w:r>
    </w:p>
    <w:p>
      <w:pPr>
        <w:spacing w:after="0" w:line="173" w:lineRule="exact"/>
        <w:rPr>
          <w:sz w:val="20"/>
          <w:szCs w:val="20"/>
          <w:color w:val="auto"/>
        </w:rPr>
      </w:pPr>
    </w:p>
    <w:p>
      <w:pPr>
        <w:ind w:right="960" w:firstLine="437"/>
        <w:spacing w:after="0" w:line="236" w:lineRule="auto"/>
        <w:rPr>
          <w:sz w:val="20"/>
          <w:szCs w:val="20"/>
          <w:color w:val="auto"/>
        </w:rPr>
      </w:pPr>
      <w:r>
        <w:rPr>
          <w:rFonts w:ascii="Courier New" w:cs="Courier New" w:eastAsia="Courier New" w:hAnsi="Courier New"/>
          <w:sz w:val="15"/>
          <w:szCs w:val="15"/>
          <w:color w:val="auto"/>
        </w:rPr>
        <w:t>Pursuant to the requirements of the Securities Act of 1933, Comcast MO Group, Inc. certifies that it has reasonable grounds to believe that it meets all of the requirements for filing on Form S-3 and has duly caused this Registration Statement to be signed on its behalf by the undersigned, thereunto duly authorized in Philadelphia, Pennsylvania, on the 16th day of December, 2002.</w:t>
      </w:r>
    </w:p>
    <w:p>
      <w:pPr>
        <w:spacing w:after="0" w:line="168" w:lineRule="exact"/>
        <w:rPr>
          <w:sz w:val="20"/>
          <w:szCs w:val="20"/>
          <w:color w:val="auto"/>
        </w:rPr>
      </w:pPr>
    </w:p>
    <w:p>
      <w:pPr>
        <w:ind w:left="3780"/>
        <w:spacing w:after="0"/>
        <w:rPr>
          <w:sz w:val="20"/>
          <w:szCs w:val="20"/>
          <w:color w:val="auto"/>
        </w:rPr>
      </w:pPr>
      <w:r>
        <w:rPr>
          <w:rFonts w:ascii="Courier New" w:cs="Courier New" w:eastAsia="Courier New" w:hAnsi="Courier New"/>
          <w:sz w:val="15"/>
          <w:szCs w:val="15"/>
          <w:color w:val="auto"/>
        </w:rPr>
        <w:t>COMCAST MO GROUP, INC.</w:t>
      </w:r>
    </w:p>
    <w:p>
      <w:pPr>
        <w:spacing w:after="0" w:line="335" w:lineRule="exact"/>
        <w:rPr>
          <w:sz w:val="20"/>
          <w:szCs w:val="20"/>
          <w:color w:val="auto"/>
        </w:rPr>
      </w:pPr>
    </w:p>
    <w:p>
      <w:pPr>
        <w:ind w:left="3780"/>
        <w:spacing w:after="0"/>
        <w:tabs>
          <w:tab w:leader="none" w:pos="418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4"/>
          <w:szCs w:val="14"/>
          <w:color w:val="auto"/>
        </w:rPr>
        <w:t>/s/ Arthur R. Block</w:t>
      </w:r>
    </w:p>
    <w:p>
      <w:pPr>
        <w:ind w:left="4200"/>
        <w:spacing w:after="0" w:line="237" w:lineRule="auto"/>
        <w:rPr>
          <w:sz w:val="20"/>
          <w:szCs w:val="20"/>
          <w:color w:val="auto"/>
        </w:rPr>
      </w:pPr>
      <w:r>
        <w:rPr>
          <w:rFonts w:ascii="Courier New" w:cs="Courier New" w:eastAsia="Courier New" w:hAnsi="Courier New"/>
          <w:sz w:val="15"/>
          <w:szCs w:val="15"/>
          <w:color w:val="auto"/>
        </w:rPr>
        <w:t>-------------------------------</w:t>
      </w:r>
    </w:p>
    <w:p>
      <w:pPr>
        <w:ind w:left="4200"/>
        <w:spacing w:after="0" w:line="238" w:lineRule="auto"/>
        <w:tabs>
          <w:tab w:leader="none" w:pos="4980" w:val="left"/>
        </w:tabs>
        <w:rPr>
          <w:sz w:val="20"/>
          <w:szCs w:val="20"/>
          <w:color w:val="auto"/>
        </w:rPr>
      </w:pPr>
      <w:r>
        <w:rPr>
          <w:rFonts w:ascii="Courier New" w:cs="Courier New" w:eastAsia="Courier New" w:hAnsi="Courier New"/>
          <w:sz w:val="15"/>
          <w:szCs w:val="15"/>
          <w:color w:val="auto"/>
        </w:rPr>
        <w:t>Name:</w:t>
      </w:r>
      <w:r>
        <w:rPr>
          <w:sz w:val="20"/>
          <w:szCs w:val="20"/>
          <w:color w:val="auto"/>
        </w:rPr>
        <w:tab/>
      </w:r>
      <w:r>
        <w:rPr>
          <w:rFonts w:ascii="Courier New" w:cs="Courier New" w:eastAsia="Courier New" w:hAnsi="Courier New"/>
          <w:sz w:val="15"/>
          <w:szCs w:val="15"/>
          <w:color w:val="auto"/>
        </w:rPr>
        <w:t>Arthur R. Block</w:t>
      </w:r>
    </w:p>
    <w:p>
      <w:pPr>
        <w:ind w:left="4200"/>
        <w:spacing w:after="0" w:line="237" w:lineRule="auto"/>
        <w:tabs>
          <w:tab w:leader="none" w:pos="4980" w:val="left"/>
        </w:tabs>
        <w:rPr>
          <w:sz w:val="20"/>
          <w:szCs w:val="20"/>
          <w:color w:val="auto"/>
        </w:rPr>
      </w:pPr>
      <w:r>
        <w:rPr>
          <w:rFonts w:ascii="Courier New" w:cs="Courier New" w:eastAsia="Courier New" w:hAnsi="Courier New"/>
          <w:sz w:val="15"/>
          <w:szCs w:val="15"/>
          <w:color w:val="auto"/>
        </w:rPr>
        <w:t>Title:</w:t>
        <w:tab/>
        <w:t>Senior Vice President</w:t>
      </w:r>
    </w:p>
    <w:p>
      <w:pPr>
        <w:spacing w:after="0" w:line="173" w:lineRule="exact"/>
        <w:rPr>
          <w:sz w:val="20"/>
          <w:szCs w:val="20"/>
          <w:color w:val="auto"/>
        </w:rPr>
      </w:pPr>
    </w:p>
    <w:p>
      <w:pPr>
        <w:ind w:right="960" w:firstLine="437"/>
        <w:spacing w:after="0" w:line="255" w:lineRule="auto"/>
        <w:rPr>
          <w:sz w:val="20"/>
          <w:szCs w:val="20"/>
          <w:color w:val="auto"/>
        </w:rPr>
      </w:pPr>
      <w:r>
        <w:rPr>
          <w:rFonts w:ascii="Courier New" w:cs="Courier New" w:eastAsia="Courier New" w:hAnsi="Courier New"/>
          <w:sz w:val="14"/>
          <w:szCs w:val="14"/>
          <w:color w:val="auto"/>
        </w:rPr>
        <w:t>KNOW ALL MEN BY THESE PRESENTS, that each person whose signature appears below hereby constitutes and appoints Brian L. Roberts, Lawrence S. Smith, John R. Alchin, David L. Cohen, Lawrence J. Salva and Arthur R. Block and each of them, his true and lawful attorneys-in-fact and agents, with full power of substitution and resubstitution, for him and in his name, place and stead, in any and all capacities, to sign any and all amendments to this Registration Statement (including post-effective amendments), as well as any related registration statement for amendment thereto) filed pursuant to Rule 462 promulgated under the Securities Act of 1933, and to file the same, with all exhibits thereto, and other documents in connection therewith, with the Securities and Exchange Commission, granting unto said attorneys-in-fact and agents full power and authority to do and perform each and every act and thing requisite and necessary to be done in and about the premises, as fully to all intents and purposes as he might or could do in person, hereby ratifying and confirming all that said attorneys-in-fact and agents, or their substitute or substitutes, may lawfully do or cause to be done by virtue hereof.</w:t>
      </w:r>
    </w:p>
    <w:p>
      <w:pPr>
        <w:spacing w:after="0" w:line="163" w:lineRule="exact"/>
        <w:rPr>
          <w:sz w:val="20"/>
          <w:szCs w:val="20"/>
          <w:color w:val="auto"/>
        </w:rPr>
      </w:pPr>
    </w:p>
    <w:p>
      <w:pPr>
        <w:ind w:right="1220" w:firstLine="437"/>
        <w:spacing w:after="0" w:line="235" w:lineRule="auto"/>
        <w:rPr>
          <w:sz w:val="20"/>
          <w:szCs w:val="20"/>
          <w:color w:val="auto"/>
        </w:rPr>
      </w:pPr>
      <w:r>
        <w:rPr>
          <w:rFonts w:ascii="Courier New" w:cs="Courier New" w:eastAsia="Courier New" w:hAnsi="Courier New"/>
          <w:sz w:val="15"/>
          <w:szCs w:val="15"/>
          <w:color w:val="auto"/>
        </w:rPr>
        <w:t>Pursuant to the requirements of the Securities Act of 1933, this Registration Statement has been signed below by the following persons in the capacities and on the dates indicated.</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160" w:type="dxa"/>
            <w:vAlign w:val="bottom"/>
          </w:tcPr>
          <w:p>
            <w:pPr>
              <w:jc w:val="center"/>
              <w:ind w:right="307"/>
              <w:spacing w:after="0"/>
              <w:rPr>
                <w:sz w:val="20"/>
                <w:szCs w:val="20"/>
                <w:color w:val="auto"/>
              </w:rPr>
            </w:pPr>
            <w:r>
              <w:rPr>
                <w:rFonts w:ascii="Courier New" w:cs="Courier New" w:eastAsia="Courier New" w:hAnsi="Courier New"/>
                <w:sz w:val="15"/>
                <w:szCs w:val="15"/>
                <w:color w:val="auto"/>
                <w:w w:val="96"/>
              </w:rPr>
              <w:t>Signature</w:t>
            </w:r>
          </w:p>
        </w:tc>
        <w:tc>
          <w:tcPr>
            <w:tcW w:w="3720" w:type="dxa"/>
            <w:vAlign w:val="bottom"/>
          </w:tcPr>
          <w:p>
            <w:pPr>
              <w:jc w:val="center"/>
              <w:ind w:right="127"/>
              <w:spacing w:after="0"/>
              <w:rPr>
                <w:sz w:val="20"/>
                <w:szCs w:val="20"/>
                <w:color w:val="auto"/>
              </w:rPr>
            </w:pPr>
            <w:r>
              <w:rPr>
                <w:rFonts w:ascii="Courier New" w:cs="Courier New" w:eastAsia="Courier New" w:hAnsi="Courier New"/>
                <w:sz w:val="15"/>
                <w:szCs w:val="15"/>
                <w:color w:val="auto"/>
                <w:w w:val="97"/>
              </w:rPr>
              <w:t>Title</w:t>
            </w:r>
          </w:p>
        </w:tc>
      </w:tr>
      <w:tr>
        <w:trPr>
          <w:trHeight w:val="168"/>
        </w:trPr>
        <w:tc>
          <w:tcPr>
            <w:tcW w:w="4160" w:type="dxa"/>
            <w:vAlign w:val="bottom"/>
          </w:tcPr>
          <w:p>
            <w:pPr>
              <w:jc w:val="center"/>
              <w:ind w:right="307"/>
              <w:spacing w:after="0" w:line="168" w:lineRule="exact"/>
              <w:rPr>
                <w:sz w:val="20"/>
                <w:szCs w:val="20"/>
                <w:color w:val="auto"/>
              </w:rPr>
            </w:pPr>
            <w:r>
              <w:rPr>
                <w:rFonts w:ascii="Courier New" w:cs="Courier New" w:eastAsia="Courier New" w:hAnsi="Courier New"/>
                <w:sz w:val="15"/>
                <w:szCs w:val="15"/>
                <w:color w:val="auto"/>
                <w:w w:val="96"/>
              </w:rPr>
              <w:t>---------</w:t>
            </w:r>
          </w:p>
        </w:tc>
        <w:tc>
          <w:tcPr>
            <w:tcW w:w="3720" w:type="dxa"/>
            <w:vAlign w:val="bottom"/>
          </w:tcPr>
          <w:p>
            <w:pPr>
              <w:jc w:val="center"/>
              <w:ind w:right="127"/>
              <w:spacing w:after="0" w:line="168" w:lineRule="exact"/>
              <w:rPr>
                <w:sz w:val="20"/>
                <w:szCs w:val="20"/>
                <w:color w:val="auto"/>
              </w:rPr>
            </w:pPr>
            <w:r>
              <w:rPr>
                <w:rFonts w:ascii="Courier New" w:cs="Courier New" w:eastAsia="Courier New" w:hAnsi="Courier New"/>
                <w:sz w:val="15"/>
                <w:szCs w:val="15"/>
                <w:color w:val="auto"/>
                <w:w w:val="97"/>
              </w:rPr>
              <w:t>-----</w:t>
            </w:r>
          </w:p>
        </w:tc>
      </w:tr>
      <w:tr>
        <w:trPr>
          <w:trHeight w:val="505"/>
        </w:trPr>
        <w:tc>
          <w:tcPr>
            <w:tcW w:w="4160" w:type="dxa"/>
            <w:vAlign w:val="bottom"/>
          </w:tcPr>
          <w:p>
            <w:pPr>
              <w:jc w:val="center"/>
              <w:ind w:right="227"/>
              <w:spacing w:after="0"/>
              <w:rPr>
                <w:sz w:val="20"/>
                <w:szCs w:val="20"/>
                <w:color w:val="auto"/>
              </w:rPr>
            </w:pPr>
            <w:r>
              <w:rPr>
                <w:rFonts w:ascii="Courier New" w:cs="Courier New" w:eastAsia="Courier New" w:hAnsi="Courier New"/>
                <w:sz w:val="15"/>
                <w:szCs w:val="15"/>
                <w:color w:val="auto"/>
                <w:w w:val="96"/>
              </w:rPr>
              <w:t>/s/ Brian L. Roberts</w:t>
            </w:r>
          </w:p>
        </w:tc>
        <w:tc>
          <w:tcPr>
            <w:tcW w:w="3720" w:type="dxa"/>
            <w:vAlign w:val="bottom"/>
          </w:tcPr>
          <w:p>
            <w:pPr>
              <w:jc w:val="center"/>
              <w:ind w:right="127"/>
              <w:spacing w:after="0"/>
              <w:rPr>
                <w:sz w:val="20"/>
                <w:szCs w:val="20"/>
                <w:color w:val="auto"/>
              </w:rPr>
            </w:pPr>
            <w:r>
              <w:rPr>
                <w:rFonts w:ascii="Courier New" w:cs="Courier New" w:eastAsia="Courier New" w:hAnsi="Courier New"/>
                <w:sz w:val="15"/>
                <w:szCs w:val="15"/>
                <w:color w:val="auto"/>
                <w:w w:val="97"/>
              </w:rPr>
              <w:t>President and Chief Executive Officer</w:t>
            </w:r>
          </w:p>
        </w:tc>
      </w:tr>
      <w:tr>
        <w:trPr>
          <w:trHeight w:val="168"/>
        </w:trPr>
        <w:tc>
          <w:tcPr>
            <w:tcW w:w="4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 ---------------------------------------------</w:t>
            </w:r>
          </w:p>
        </w:tc>
        <w:tc>
          <w:tcPr>
            <w:tcW w:w="3720" w:type="dxa"/>
            <w:vAlign w:val="bottom"/>
          </w:tcPr>
          <w:p>
            <w:pPr>
              <w:ind w:left="660"/>
              <w:spacing w:after="0" w:line="168" w:lineRule="exact"/>
              <w:rPr>
                <w:sz w:val="20"/>
                <w:szCs w:val="20"/>
                <w:color w:val="auto"/>
              </w:rPr>
            </w:pPr>
            <w:r>
              <w:rPr>
                <w:rFonts w:ascii="Courier New" w:cs="Courier New" w:eastAsia="Courier New" w:hAnsi="Courier New"/>
                <w:sz w:val="15"/>
                <w:szCs w:val="15"/>
                <w:color w:val="auto"/>
              </w:rPr>
              <w:t>(Principal Executive Officer)</w:t>
            </w:r>
          </w:p>
        </w:tc>
      </w:tr>
      <w:tr>
        <w:trPr>
          <w:trHeight w:val="168"/>
        </w:trPr>
        <w:tc>
          <w:tcPr>
            <w:tcW w:w="4160" w:type="dxa"/>
            <w:vAlign w:val="bottom"/>
          </w:tcPr>
          <w:p>
            <w:pPr>
              <w:jc w:val="center"/>
              <w:ind w:right="207"/>
              <w:spacing w:after="0" w:line="168" w:lineRule="exact"/>
              <w:rPr>
                <w:sz w:val="20"/>
                <w:szCs w:val="20"/>
                <w:color w:val="auto"/>
              </w:rPr>
            </w:pPr>
            <w:r>
              <w:rPr>
                <w:rFonts w:ascii="Courier New" w:cs="Courier New" w:eastAsia="Courier New" w:hAnsi="Courier New"/>
                <w:sz w:val="15"/>
                <w:szCs w:val="15"/>
                <w:color w:val="auto"/>
                <w:w w:val="97"/>
              </w:rPr>
              <w:t>Brian L. Roberts</w:t>
            </w:r>
          </w:p>
        </w:tc>
        <w:tc>
          <w:tcPr>
            <w:tcW w:w="3720" w:type="dxa"/>
            <w:vAlign w:val="bottom"/>
          </w:tcPr>
          <w:p>
            <w:pPr>
              <w:spacing w:after="0"/>
              <w:rPr>
                <w:sz w:val="14"/>
                <w:szCs w:val="14"/>
                <w:color w:val="auto"/>
              </w:rPr>
            </w:pPr>
          </w:p>
        </w:tc>
      </w:tr>
      <w:tr>
        <w:trPr>
          <w:trHeight w:val="505"/>
        </w:trPr>
        <w:tc>
          <w:tcPr>
            <w:tcW w:w="4160" w:type="dxa"/>
            <w:vAlign w:val="bottom"/>
          </w:tcPr>
          <w:p>
            <w:pPr>
              <w:jc w:val="center"/>
              <w:ind w:right="307"/>
              <w:spacing w:after="0"/>
              <w:rPr>
                <w:sz w:val="20"/>
                <w:szCs w:val="20"/>
                <w:color w:val="auto"/>
              </w:rPr>
            </w:pPr>
            <w:r>
              <w:rPr>
                <w:rFonts w:ascii="Courier New" w:cs="Courier New" w:eastAsia="Courier New" w:hAnsi="Courier New"/>
                <w:sz w:val="15"/>
                <w:szCs w:val="15"/>
                <w:color w:val="auto"/>
                <w:w w:val="96"/>
              </w:rPr>
              <w:t>/s/ Lawrence S. Smith</w:t>
            </w:r>
          </w:p>
        </w:tc>
        <w:tc>
          <w:tcPr>
            <w:tcW w:w="3720" w:type="dxa"/>
            <w:vAlign w:val="bottom"/>
          </w:tcPr>
          <w:p>
            <w:pPr>
              <w:jc w:val="center"/>
              <w:ind w:right="227"/>
              <w:spacing w:after="0"/>
              <w:rPr>
                <w:sz w:val="20"/>
                <w:szCs w:val="20"/>
                <w:color w:val="auto"/>
              </w:rPr>
            </w:pPr>
            <w:r>
              <w:rPr>
                <w:rFonts w:ascii="Courier New" w:cs="Courier New" w:eastAsia="Courier New" w:hAnsi="Courier New"/>
                <w:sz w:val="15"/>
                <w:szCs w:val="15"/>
                <w:color w:val="auto"/>
                <w:w w:val="97"/>
              </w:rPr>
              <w:t>Executive Vice President</w:t>
            </w:r>
          </w:p>
        </w:tc>
      </w:tr>
      <w:tr>
        <w:trPr>
          <w:trHeight w:val="168"/>
        </w:trPr>
        <w:tc>
          <w:tcPr>
            <w:tcW w:w="4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 ---------------------------------------------</w:t>
            </w:r>
          </w:p>
        </w:tc>
        <w:tc>
          <w:tcPr>
            <w:tcW w:w="37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(Co-Principal Financial Officer); Director</w:t>
            </w:r>
          </w:p>
        </w:tc>
      </w:tr>
      <w:tr>
        <w:trPr>
          <w:trHeight w:val="168"/>
        </w:trPr>
        <w:tc>
          <w:tcPr>
            <w:tcW w:w="4160" w:type="dxa"/>
            <w:vAlign w:val="bottom"/>
          </w:tcPr>
          <w:p>
            <w:pPr>
              <w:jc w:val="center"/>
              <w:ind w:right="307"/>
              <w:spacing w:after="0" w:line="168" w:lineRule="exact"/>
              <w:rPr>
                <w:sz w:val="20"/>
                <w:szCs w:val="20"/>
                <w:color w:val="auto"/>
              </w:rPr>
            </w:pPr>
            <w:r>
              <w:rPr>
                <w:rFonts w:ascii="Courier New" w:cs="Courier New" w:eastAsia="Courier New" w:hAnsi="Courier New"/>
                <w:sz w:val="15"/>
                <w:szCs w:val="15"/>
                <w:color w:val="auto"/>
                <w:w w:val="98"/>
              </w:rPr>
              <w:t>Lawrence S. Smith</w:t>
            </w:r>
          </w:p>
        </w:tc>
        <w:tc>
          <w:tcPr>
            <w:tcW w:w="3720" w:type="dxa"/>
            <w:vAlign w:val="bottom"/>
          </w:tcPr>
          <w:p>
            <w:pPr>
              <w:spacing w:after="0"/>
              <w:rPr>
                <w:sz w:val="14"/>
                <w:szCs w:val="14"/>
                <w:color w:val="auto"/>
              </w:rPr>
            </w:pPr>
          </w:p>
        </w:tc>
      </w:tr>
      <w:tr>
        <w:trPr>
          <w:trHeight w:val="505"/>
        </w:trPr>
        <w:tc>
          <w:tcPr>
            <w:tcW w:w="4160" w:type="dxa"/>
            <w:vAlign w:val="bottom"/>
          </w:tcPr>
          <w:p>
            <w:pPr>
              <w:jc w:val="center"/>
              <w:ind w:right="227"/>
              <w:spacing w:after="0"/>
              <w:rPr>
                <w:sz w:val="20"/>
                <w:szCs w:val="20"/>
                <w:color w:val="auto"/>
              </w:rPr>
            </w:pPr>
            <w:r>
              <w:rPr>
                <w:rFonts w:ascii="Courier New" w:cs="Courier New" w:eastAsia="Courier New" w:hAnsi="Courier New"/>
                <w:sz w:val="15"/>
                <w:szCs w:val="15"/>
                <w:color w:val="auto"/>
                <w:w w:val="97"/>
              </w:rPr>
              <w:t>/s/ John R. Alchin</w:t>
            </w:r>
          </w:p>
        </w:tc>
        <w:tc>
          <w:tcPr>
            <w:tcW w:w="3720" w:type="dxa"/>
            <w:vAlign w:val="bottom"/>
          </w:tcPr>
          <w:p>
            <w:pPr>
              <w:jc w:val="center"/>
              <w:ind w:right="227"/>
              <w:spacing w:after="0"/>
              <w:rPr>
                <w:sz w:val="20"/>
                <w:szCs w:val="20"/>
                <w:color w:val="auto"/>
              </w:rPr>
            </w:pPr>
            <w:r>
              <w:rPr>
                <w:rFonts w:ascii="Courier New" w:cs="Courier New" w:eastAsia="Courier New" w:hAnsi="Courier New"/>
                <w:sz w:val="15"/>
                <w:szCs w:val="15"/>
                <w:color w:val="auto"/>
                <w:w w:val="97"/>
              </w:rPr>
              <w:t>Executive Vice President and Treasurer</w:t>
            </w:r>
          </w:p>
        </w:tc>
      </w:tr>
      <w:tr>
        <w:trPr>
          <w:trHeight w:val="168"/>
        </w:trPr>
        <w:tc>
          <w:tcPr>
            <w:tcW w:w="4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 ---------------------------------------------</w:t>
            </w:r>
          </w:p>
        </w:tc>
        <w:tc>
          <w:tcPr>
            <w:tcW w:w="37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(Co-Principal Financial Officer)</w:t>
            </w:r>
          </w:p>
        </w:tc>
      </w:tr>
      <w:tr>
        <w:trPr>
          <w:trHeight w:val="168"/>
        </w:trPr>
        <w:tc>
          <w:tcPr>
            <w:tcW w:w="4160" w:type="dxa"/>
            <w:vAlign w:val="bottom"/>
          </w:tcPr>
          <w:p>
            <w:pPr>
              <w:jc w:val="center"/>
              <w:ind w:right="227"/>
              <w:spacing w:after="0" w:line="168" w:lineRule="exact"/>
              <w:rPr>
                <w:sz w:val="20"/>
                <w:szCs w:val="20"/>
                <w:color w:val="auto"/>
              </w:rPr>
            </w:pPr>
            <w:r>
              <w:rPr>
                <w:rFonts w:ascii="Courier New" w:cs="Courier New" w:eastAsia="Courier New" w:hAnsi="Courier New"/>
                <w:sz w:val="15"/>
                <w:szCs w:val="15"/>
                <w:color w:val="auto"/>
                <w:w w:val="96"/>
              </w:rPr>
              <w:t>John R. Alchin</w:t>
            </w:r>
          </w:p>
        </w:tc>
        <w:tc>
          <w:tcPr>
            <w:tcW w:w="3720" w:type="dxa"/>
            <w:vAlign w:val="bottom"/>
          </w:tcPr>
          <w:p>
            <w:pPr>
              <w:spacing w:after="0"/>
              <w:rPr>
                <w:sz w:val="14"/>
                <w:szCs w:val="14"/>
                <w:color w:val="auto"/>
              </w:rPr>
            </w:pPr>
          </w:p>
        </w:tc>
      </w:tr>
      <w:tr>
        <w:trPr>
          <w:trHeight w:val="505"/>
        </w:trPr>
        <w:tc>
          <w:tcPr>
            <w:tcW w:w="4160" w:type="dxa"/>
            <w:vAlign w:val="bottom"/>
          </w:tcPr>
          <w:p>
            <w:pPr>
              <w:jc w:val="center"/>
              <w:ind w:right="227"/>
              <w:spacing w:after="0"/>
              <w:rPr>
                <w:sz w:val="20"/>
                <w:szCs w:val="20"/>
                <w:color w:val="auto"/>
              </w:rPr>
            </w:pPr>
            <w:r>
              <w:rPr>
                <w:rFonts w:ascii="Courier New" w:cs="Courier New" w:eastAsia="Courier New" w:hAnsi="Courier New"/>
                <w:sz w:val="15"/>
                <w:szCs w:val="15"/>
                <w:color w:val="auto"/>
                <w:w w:val="97"/>
              </w:rPr>
              <w:t>/s/ David L. Cohen</w:t>
            </w:r>
          </w:p>
        </w:tc>
        <w:tc>
          <w:tcPr>
            <w:tcW w:w="3720" w:type="dxa"/>
            <w:vAlign w:val="bottom"/>
          </w:tcPr>
          <w:p>
            <w:pPr>
              <w:jc w:val="center"/>
              <w:ind w:right="227"/>
              <w:spacing w:after="0"/>
              <w:rPr>
                <w:sz w:val="20"/>
                <w:szCs w:val="20"/>
                <w:color w:val="auto"/>
              </w:rPr>
            </w:pPr>
            <w:r>
              <w:rPr>
                <w:rFonts w:ascii="Courier New" w:cs="Courier New" w:eastAsia="Courier New" w:hAnsi="Courier New"/>
                <w:sz w:val="15"/>
                <w:szCs w:val="15"/>
                <w:color w:val="auto"/>
                <w:w w:val="97"/>
              </w:rPr>
              <w:t>Executive Vice President; Director</w:t>
            </w:r>
          </w:p>
        </w:tc>
      </w:tr>
    </w:tbl>
    <w:p>
      <w:pPr>
        <w:ind w:left="180" w:hanging="170"/>
        <w:spacing w:after="0" w:line="237" w:lineRule="auto"/>
        <w:tabs>
          <w:tab w:leader="none" w:pos="180" w:val="left"/>
        </w:tabs>
        <w:numPr>
          <w:ilvl w:val="0"/>
          <w:numId w:val="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132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David L. Cohen</w:t>
      </w:r>
    </w:p>
    <w:p>
      <w:pPr>
        <w:spacing w:after="0" w:line="335" w:lineRule="exact"/>
        <w:rPr>
          <w:sz w:val="20"/>
          <w:szCs w:val="20"/>
          <w:color w:val="auto"/>
        </w:rPr>
      </w:pPr>
    </w:p>
    <w:p>
      <w:pPr>
        <w:ind w:left="1060"/>
        <w:spacing w:after="0"/>
        <w:tabs>
          <w:tab w:leader="none" w:pos="4540" w:val="left"/>
        </w:tabs>
        <w:rPr>
          <w:sz w:val="20"/>
          <w:szCs w:val="20"/>
          <w:color w:val="auto"/>
        </w:rPr>
      </w:pPr>
      <w:r>
        <w:rPr>
          <w:rFonts w:ascii="Courier New" w:cs="Courier New" w:eastAsia="Courier New" w:hAnsi="Courier New"/>
          <w:sz w:val="15"/>
          <w:szCs w:val="15"/>
          <w:color w:val="auto"/>
        </w:rPr>
        <w:t>/s/ Arthur R. Block</w:t>
      </w:r>
      <w:r>
        <w:rPr>
          <w:sz w:val="20"/>
          <w:szCs w:val="20"/>
          <w:color w:val="auto"/>
        </w:rPr>
        <w:tab/>
      </w:r>
      <w:r>
        <w:rPr>
          <w:rFonts w:ascii="Courier New" w:cs="Courier New" w:eastAsia="Courier New" w:hAnsi="Courier New"/>
          <w:sz w:val="14"/>
          <w:szCs w:val="14"/>
          <w:color w:val="auto"/>
        </w:rPr>
        <w:t>Senior Vice President; Director</w:t>
      </w:r>
    </w:p>
    <w:p>
      <w:pPr>
        <w:spacing w:after="0" w:line="237" w:lineRule="auto"/>
        <w:rPr>
          <w:sz w:val="20"/>
          <w:szCs w:val="20"/>
          <w:color w:val="auto"/>
        </w:rPr>
      </w:pPr>
      <w:r>
        <w:rPr>
          <w:rFonts w:ascii="Courier New" w:cs="Courier New" w:eastAsia="Courier New" w:hAnsi="Courier New"/>
          <w:sz w:val="15"/>
          <w:szCs w:val="15"/>
          <w:color w:val="auto"/>
        </w:rPr>
        <w:t>- ---------------------------------------------</w:t>
      </w:r>
    </w:p>
    <w:p>
      <w:pPr>
        <w:ind w:left="1240"/>
        <w:spacing w:after="0" w:line="238" w:lineRule="auto"/>
        <w:rPr>
          <w:sz w:val="20"/>
          <w:szCs w:val="20"/>
          <w:color w:val="auto"/>
        </w:rPr>
      </w:pPr>
      <w:r>
        <w:rPr>
          <w:rFonts w:ascii="Courier New" w:cs="Courier New" w:eastAsia="Courier New" w:hAnsi="Courier New"/>
          <w:sz w:val="15"/>
          <w:szCs w:val="15"/>
          <w:color w:val="auto"/>
        </w:rPr>
        <w:t>Arthur R. Block</w:t>
      </w:r>
    </w:p>
    <w:p>
      <w:pPr>
        <w:spacing w:after="0" w:line="335" w:lineRule="exact"/>
        <w:rPr>
          <w:sz w:val="20"/>
          <w:szCs w:val="20"/>
          <w:color w:val="auto"/>
        </w:rPr>
      </w:pPr>
    </w:p>
    <w:p>
      <w:pPr>
        <w:ind w:left="980"/>
        <w:spacing w:after="0"/>
        <w:tabs>
          <w:tab w:leader="none" w:pos="4980" w:val="left"/>
        </w:tabs>
        <w:rPr>
          <w:sz w:val="20"/>
          <w:szCs w:val="20"/>
          <w:color w:val="auto"/>
        </w:rPr>
      </w:pPr>
      <w:r>
        <w:rPr>
          <w:rFonts w:ascii="Courier New" w:cs="Courier New" w:eastAsia="Courier New" w:hAnsi="Courier New"/>
          <w:sz w:val="15"/>
          <w:szCs w:val="15"/>
          <w:color w:val="auto"/>
        </w:rPr>
        <w:t>/s/ Lawrence J. Salva</w:t>
      </w:r>
      <w:r>
        <w:rPr>
          <w:sz w:val="20"/>
          <w:szCs w:val="20"/>
          <w:color w:val="auto"/>
        </w:rPr>
        <w:tab/>
      </w:r>
      <w:r>
        <w:rPr>
          <w:rFonts w:ascii="Courier New" w:cs="Courier New" w:eastAsia="Courier New" w:hAnsi="Courier New"/>
          <w:sz w:val="14"/>
          <w:szCs w:val="14"/>
          <w:color w:val="auto"/>
        </w:rPr>
        <w:t>Senior Vice President</w:t>
      </w:r>
    </w:p>
    <w:p>
      <w:pPr>
        <w:spacing w:after="0"/>
        <w:tabs>
          <w:tab w:leader="none" w:pos="4720"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4"/>
          <w:szCs w:val="14"/>
          <w:color w:val="auto"/>
        </w:rPr>
        <w:t>(Principal Accounting Officer)</w:t>
      </w:r>
    </w:p>
    <w:p>
      <w:pPr>
        <w:ind w:left="1140"/>
        <w:spacing w:after="0" w:line="238" w:lineRule="auto"/>
        <w:rPr>
          <w:sz w:val="20"/>
          <w:szCs w:val="20"/>
          <w:color w:val="auto"/>
        </w:rPr>
      </w:pPr>
      <w:r>
        <w:rPr>
          <w:rFonts w:ascii="Courier New" w:cs="Courier New" w:eastAsia="Courier New" w:hAnsi="Courier New"/>
          <w:sz w:val="15"/>
          <w:szCs w:val="15"/>
          <w:color w:val="auto"/>
        </w:rPr>
        <w:t>Lawrence J. Salva</w:t>
      </w:r>
    </w:p>
    <w:p>
      <w:pPr>
        <w:spacing w:after="0" w:line="200" w:lineRule="exact"/>
        <w:rPr>
          <w:sz w:val="20"/>
          <w:szCs w:val="20"/>
          <w:color w:val="auto"/>
        </w:rPr>
      </w:pPr>
    </w:p>
    <w:p>
      <w:pPr>
        <w:spacing w:after="0" w:line="303"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II-16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259"/>
        <w:spacing w:after="0"/>
        <w:rPr>
          <w:sz w:val="20"/>
          <w:szCs w:val="20"/>
          <w:color w:val="auto"/>
        </w:rPr>
      </w:pPr>
      <w:r>
        <w:rPr>
          <w:rFonts w:ascii="Courier New" w:cs="Courier New" w:eastAsia="Courier New" w:hAnsi="Courier New"/>
          <w:sz w:val="15"/>
          <w:szCs w:val="15"/>
          <w:color w:val="auto"/>
        </w:rPr>
        <w:t>Date</w:t>
      </w:r>
    </w:p>
    <w:p>
      <w:pPr>
        <w:ind w:left="700"/>
        <w:spacing w:after="0" w:line="237" w:lineRule="auto"/>
        <w:rPr>
          <w:sz w:val="20"/>
          <w:szCs w:val="20"/>
          <w:color w:val="auto"/>
        </w:rPr>
      </w:pPr>
      <w:r>
        <w:rPr>
          <w:rFonts w:ascii="Courier New" w:cs="Courier New" w:eastAsia="Courier New" w:hAnsi="Courier New"/>
          <w:sz w:val="15"/>
          <w:szCs w:val="15"/>
          <w:color w:val="auto"/>
        </w:rPr>
        <w:t>----</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December 16, 2002</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December 16, 2002</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December 16, 2002</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December 16, 2002</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December 16, 2002</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December 16, 2002</w:t>
      </w:r>
    </w:p>
    <w:p>
      <w:pPr>
        <w:sectPr>
          <w:pgSz w:w="11900" w:h="16838" w:orient="portrait"/>
          <w:cols w:equalWidth="0" w:num="2">
            <w:col w:w="7880" w:space="360"/>
            <w:col w:w="1999"/>
          </w:cols>
          <w:pgMar w:left="220" w:top="785" w:right="1440" w:bottom="1440" w:gutter="0" w:footer="0" w:header="0"/>
        </w:sectPr>
      </w:pPr>
    </w:p>
    <w:bookmarkStart w:id="72" w:name="page73"/>
    <w:bookmarkEnd w:id="72"/>
    <w:tbl>
      <w:tblPr>
        <w:tblLayout w:type="fixed"/>
        <w:tblInd w:w="0" w:type="dxa"/>
        <w:tblCellMar>
          <w:top w:w="0" w:type="dxa"/>
          <w:left w:w="0" w:type="dxa"/>
          <w:bottom w:w="0" w:type="dxa"/>
          <w:right w:w="0" w:type="dxa"/>
        </w:tblCellMar>
      </w:tblPr>
      <w:tr>
        <w:trPr>
          <w:trHeight w:val="170"/>
        </w:trPr>
        <w:tc>
          <w:tcPr>
            <w:tcW w:w="1100" w:type="dxa"/>
            <w:vAlign w:val="bottom"/>
          </w:tcPr>
          <w:p>
            <w:pPr>
              <w:spacing w:after="0"/>
              <w:rPr>
                <w:sz w:val="14"/>
                <w:szCs w:val="14"/>
                <w:color w:val="auto"/>
              </w:rPr>
            </w:pPr>
          </w:p>
        </w:tc>
        <w:tc>
          <w:tcPr>
            <w:tcW w:w="5900" w:type="dxa"/>
            <w:vAlign w:val="bottom"/>
          </w:tcPr>
          <w:p>
            <w:pPr>
              <w:ind w:left="1880"/>
              <w:spacing w:after="0"/>
              <w:rPr>
                <w:sz w:val="20"/>
                <w:szCs w:val="20"/>
                <w:color w:val="auto"/>
              </w:rPr>
            </w:pPr>
            <w:r>
              <w:rPr>
                <w:rFonts w:ascii="Courier New" w:cs="Courier New" w:eastAsia="Courier New" w:hAnsi="Courier New"/>
                <w:sz w:val="15"/>
                <w:szCs w:val="15"/>
                <w:color w:val="auto"/>
              </w:rPr>
              <w:t>EXHIBIT LIST</w:t>
            </w:r>
          </w:p>
        </w:tc>
      </w:tr>
      <w:tr>
        <w:trPr>
          <w:trHeight w:val="336"/>
        </w:trPr>
        <w:tc>
          <w:tcPr>
            <w:tcW w:w="1100" w:type="dxa"/>
            <w:vAlign w:val="bottom"/>
          </w:tcPr>
          <w:p>
            <w:pPr>
              <w:spacing w:after="0"/>
              <w:rPr>
                <w:sz w:val="20"/>
                <w:szCs w:val="20"/>
                <w:color w:val="auto"/>
              </w:rPr>
            </w:pPr>
            <w:r>
              <w:rPr>
                <w:rFonts w:ascii="Courier New" w:cs="Courier New" w:eastAsia="Courier New" w:hAnsi="Courier New"/>
                <w:sz w:val="15"/>
                <w:szCs w:val="15"/>
                <w:color w:val="auto"/>
              </w:rPr>
              <w:t>Exhibit</w:t>
            </w:r>
          </w:p>
        </w:tc>
        <w:tc>
          <w:tcPr>
            <w:tcW w:w="5900" w:type="dxa"/>
            <w:vAlign w:val="bottom"/>
          </w:tcPr>
          <w:p>
            <w:pPr>
              <w:spacing w:after="0"/>
              <w:rPr>
                <w:sz w:val="24"/>
                <w:szCs w:val="24"/>
                <w:color w:val="auto"/>
              </w:rPr>
            </w:pPr>
          </w:p>
        </w:tc>
      </w:tr>
      <w:tr>
        <w:trPr>
          <w:trHeight w:val="168"/>
        </w:trPr>
        <w:tc>
          <w:tcPr>
            <w:tcW w:w="1100" w:type="dxa"/>
            <w:vAlign w:val="bottom"/>
          </w:tcPr>
          <w:p>
            <w:pPr>
              <w:spacing w:after="0" w:line="168" w:lineRule="exact"/>
              <w:rPr>
                <w:sz w:val="20"/>
                <w:szCs w:val="20"/>
                <w:color w:val="auto"/>
              </w:rPr>
            </w:pPr>
            <w:r>
              <w:rPr>
                <w:rFonts w:ascii="Courier New" w:cs="Courier New" w:eastAsia="Courier New" w:hAnsi="Courier New"/>
                <w:sz w:val="15"/>
                <w:szCs w:val="15"/>
                <w:color w:val="auto"/>
              </w:rPr>
              <w:t>Number</w:t>
            </w:r>
          </w:p>
        </w:tc>
        <w:tc>
          <w:tcPr>
            <w:tcW w:w="590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Description</w:t>
            </w:r>
          </w:p>
        </w:tc>
      </w:tr>
      <w:tr>
        <w:trPr>
          <w:trHeight w:val="168"/>
        </w:trPr>
        <w:tc>
          <w:tcPr>
            <w:tcW w:w="1100" w:type="dxa"/>
            <w:vAlign w:val="bottom"/>
          </w:tcPr>
          <w:p>
            <w:pPr>
              <w:jc w:val="center"/>
              <w:ind w:right="227"/>
              <w:spacing w:after="0" w:line="168" w:lineRule="exact"/>
              <w:rPr>
                <w:sz w:val="20"/>
                <w:szCs w:val="20"/>
                <w:color w:val="auto"/>
              </w:rPr>
            </w:pPr>
            <w:r>
              <w:rPr>
                <w:rFonts w:ascii="Courier New" w:cs="Courier New" w:eastAsia="Courier New" w:hAnsi="Courier New"/>
                <w:sz w:val="15"/>
                <w:szCs w:val="15"/>
                <w:color w:val="auto"/>
                <w:w w:val="98"/>
              </w:rPr>
              <w:t>- -------</w:t>
            </w:r>
          </w:p>
        </w:tc>
        <w:tc>
          <w:tcPr>
            <w:tcW w:w="590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1100" w:type="dxa"/>
            <w:vAlign w:val="bottom"/>
          </w:tcPr>
          <w:p>
            <w:pPr>
              <w:jc w:val="center"/>
              <w:ind w:right="207"/>
              <w:spacing w:after="0"/>
              <w:rPr>
                <w:sz w:val="20"/>
                <w:szCs w:val="20"/>
                <w:color w:val="auto"/>
              </w:rPr>
            </w:pPr>
            <w:r>
              <w:rPr>
                <w:rFonts w:ascii="Courier New" w:cs="Courier New" w:eastAsia="Courier New" w:hAnsi="Courier New"/>
                <w:sz w:val="15"/>
                <w:szCs w:val="15"/>
                <w:color w:val="auto"/>
                <w:w w:val="96"/>
              </w:rPr>
              <w:t>1.1</w:t>
            </w:r>
          </w:p>
        </w:tc>
        <w:tc>
          <w:tcPr>
            <w:tcW w:w="5900" w:type="dxa"/>
            <w:vAlign w:val="bottom"/>
          </w:tcPr>
          <w:p>
            <w:pPr>
              <w:ind w:left="300"/>
              <w:spacing w:after="0"/>
              <w:rPr>
                <w:sz w:val="20"/>
                <w:szCs w:val="20"/>
                <w:color w:val="auto"/>
              </w:rPr>
            </w:pPr>
            <w:r>
              <w:rPr>
                <w:rFonts w:ascii="Courier New" w:cs="Courier New" w:eastAsia="Courier New" w:hAnsi="Courier New"/>
                <w:sz w:val="15"/>
                <w:szCs w:val="15"/>
                <w:color w:val="auto"/>
              </w:rPr>
              <w:t>Form of Underwriting Agreement (Debt Securities, Warrants,</w:t>
            </w:r>
          </w:p>
        </w:tc>
      </w:tr>
      <w:tr>
        <w:trPr>
          <w:trHeight w:val="168"/>
        </w:trPr>
        <w:tc>
          <w:tcPr>
            <w:tcW w:w="1100" w:type="dxa"/>
            <w:vAlign w:val="bottom"/>
          </w:tcPr>
          <w:p>
            <w:pPr>
              <w:spacing w:after="0"/>
              <w:rPr>
                <w:sz w:val="14"/>
                <w:szCs w:val="14"/>
                <w:color w:val="auto"/>
              </w:rPr>
            </w:pPr>
          </w:p>
        </w:tc>
        <w:tc>
          <w:tcPr>
            <w:tcW w:w="590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Purchase Contracts and Units).*</w:t>
            </w:r>
          </w:p>
        </w:tc>
      </w:tr>
      <w:tr>
        <w:trPr>
          <w:trHeight w:val="336"/>
        </w:trPr>
        <w:tc>
          <w:tcPr>
            <w:tcW w:w="1100" w:type="dxa"/>
            <w:vAlign w:val="bottom"/>
          </w:tcPr>
          <w:p>
            <w:pPr>
              <w:jc w:val="center"/>
              <w:ind w:right="207"/>
              <w:spacing w:after="0"/>
              <w:rPr>
                <w:sz w:val="20"/>
                <w:szCs w:val="20"/>
                <w:color w:val="auto"/>
              </w:rPr>
            </w:pPr>
            <w:r>
              <w:rPr>
                <w:rFonts w:ascii="Courier New" w:cs="Courier New" w:eastAsia="Courier New" w:hAnsi="Courier New"/>
                <w:sz w:val="15"/>
                <w:szCs w:val="15"/>
                <w:color w:val="auto"/>
                <w:w w:val="96"/>
              </w:rPr>
              <w:t>1.2</w:t>
            </w:r>
          </w:p>
        </w:tc>
        <w:tc>
          <w:tcPr>
            <w:tcW w:w="5900" w:type="dxa"/>
            <w:vAlign w:val="bottom"/>
          </w:tcPr>
          <w:p>
            <w:pPr>
              <w:ind w:left="300"/>
              <w:spacing w:after="0"/>
              <w:rPr>
                <w:sz w:val="20"/>
                <w:szCs w:val="20"/>
                <w:color w:val="auto"/>
              </w:rPr>
            </w:pPr>
            <w:r>
              <w:rPr>
                <w:rFonts w:ascii="Courier New" w:cs="Courier New" w:eastAsia="Courier New" w:hAnsi="Courier New"/>
                <w:sz w:val="15"/>
                <w:szCs w:val="15"/>
                <w:color w:val="auto"/>
              </w:rPr>
              <w:t>Form of Underwriting Agreement (Preferred Stock, Depositary</w:t>
            </w:r>
          </w:p>
        </w:tc>
      </w:tr>
      <w:tr>
        <w:trPr>
          <w:trHeight w:val="168"/>
        </w:trPr>
        <w:tc>
          <w:tcPr>
            <w:tcW w:w="1100" w:type="dxa"/>
            <w:vAlign w:val="bottom"/>
          </w:tcPr>
          <w:p>
            <w:pPr>
              <w:spacing w:after="0"/>
              <w:rPr>
                <w:sz w:val="14"/>
                <w:szCs w:val="14"/>
                <w:color w:val="auto"/>
              </w:rPr>
            </w:pPr>
          </w:p>
        </w:tc>
        <w:tc>
          <w:tcPr>
            <w:tcW w:w="590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Shares, Common Stock).*</w:t>
            </w:r>
          </w:p>
        </w:tc>
      </w:tr>
      <w:tr>
        <w:trPr>
          <w:trHeight w:val="336"/>
        </w:trPr>
        <w:tc>
          <w:tcPr>
            <w:tcW w:w="1100" w:type="dxa"/>
            <w:vAlign w:val="bottom"/>
          </w:tcPr>
          <w:p>
            <w:pPr>
              <w:jc w:val="center"/>
              <w:ind w:right="207"/>
              <w:spacing w:after="0"/>
              <w:rPr>
                <w:sz w:val="20"/>
                <w:szCs w:val="20"/>
                <w:color w:val="auto"/>
              </w:rPr>
            </w:pPr>
            <w:r>
              <w:rPr>
                <w:rFonts w:ascii="Courier New" w:cs="Courier New" w:eastAsia="Courier New" w:hAnsi="Courier New"/>
                <w:sz w:val="15"/>
                <w:szCs w:val="15"/>
                <w:color w:val="auto"/>
                <w:w w:val="96"/>
              </w:rPr>
              <w:t>2.1</w:t>
            </w:r>
          </w:p>
        </w:tc>
        <w:tc>
          <w:tcPr>
            <w:tcW w:w="5900" w:type="dxa"/>
            <w:vAlign w:val="bottom"/>
          </w:tcPr>
          <w:p>
            <w:pPr>
              <w:ind w:left="300"/>
              <w:spacing w:after="0"/>
              <w:rPr>
                <w:sz w:val="20"/>
                <w:szCs w:val="20"/>
                <w:color w:val="auto"/>
              </w:rPr>
            </w:pPr>
            <w:r>
              <w:rPr>
                <w:rFonts w:ascii="Courier New" w:cs="Courier New" w:eastAsia="Courier New" w:hAnsi="Courier New"/>
                <w:sz w:val="15"/>
                <w:szCs w:val="15"/>
                <w:color w:val="auto"/>
              </w:rPr>
              <w:t>Composite copy of Agreement and Plan of Merger dated as of</w:t>
            </w:r>
          </w:p>
        </w:tc>
      </w:tr>
      <w:tr>
        <w:trPr>
          <w:trHeight w:val="168"/>
        </w:trPr>
        <w:tc>
          <w:tcPr>
            <w:tcW w:w="1100" w:type="dxa"/>
            <w:vAlign w:val="bottom"/>
          </w:tcPr>
          <w:p>
            <w:pPr>
              <w:spacing w:after="0"/>
              <w:rPr>
                <w:sz w:val="14"/>
                <w:szCs w:val="14"/>
                <w:color w:val="auto"/>
              </w:rPr>
            </w:pPr>
          </w:p>
        </w:tc>
        <w:tc>
          <w:tcPr>
            <w:tcW w:w="590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December 19, 2001, as amended, among Comcast Holdings</w:t>
            </w:r>
          </w:p>
        </w:tc>
      </w:tr>
      <w:tr>
        <w:trPr>
          <w:trHeight w:val="168"/>
        </w:trPr>
        <w:tc>
          <w:tcPr>
            <w:tcW w:w="1100" w:type="dxa"/>
            <w:vAlign w:val="bottom"/>
          </w:tcPr>
          <w:p>
            <w:pPr>
              <w:spacing w:after="0"/>
              <w:rPr>
                <w:sz w:val="14"/>
                <w:szCs w:val="14"/>
                <w:color w:val="auto"/>
              </w:rPr>
            </w:pPr>
          </w:p>
        </w:tc>
        <w:tc>
          <w:tcPr>
            <w:tcW w:w="590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Corporation (formerly known as Comcast Corporation), AT&amp;T</w:t>
            </w:r>
          </w:p>
        </w:tc>
      </w:tr>
      <w:tr>
        <w:trPr>
          <w:trHeight w:val="168"/>
        </w:trPr>
        <w:tc>
          <w:tcPr>
            <w:tcW w:w="1100" w:type="dxa"/>
            <w:vAlign w:val="bottom"/>
          </w:tcPr>
          <w:p>
            <w:pPr>
              <w:spacing w:after="0"/>
              <w:rPr>
                <w:sz w:val="14"/>
                <w:szCs w:val="14"/>
                <w:color w:val="auto"/>
              </w:rPr>
            </w:pPr>
          </w:p>
        </w:tc>
        <w:tc>
          <w:tcPr>
            <w:tcW w:w="590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Corp., Comcast Cable Communications Holdings, Inc. (formerly</w:t>
            </w:r>
          </w:p>
        </w:tc>
      </w:tr>
      <w:tr>
        <w:trPr>
          <w:trHeight w:val="168"/>
        </w:trPr>
        <w:tc>
          <w:tcPr>
            <w:tcW w:w="1100" w:type="dxa"/>
            <w:vAlign w:val="bottom"/>
          </w:tcPr>
          <w:p>
            <w:pPr>
              <w:spacing w:after="0"/>
              <w:rPr>
                <w:sz w:val="14"/>
                <w:szCs w:val="14"/>
                <w:color w:val="auto"/>
              </w:rPr>
            </w:pPr>
          </w:p>
        </w:tc>
        <w:tc>
          <w:tcPr>
            <w:tcW w:w="590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known as AT&amp;T Broadband Corp.), Comcast Corporation (formerly</w:t>
            </w:r>
          </w:p>
        </w:tc>
      </w:tr>
      <w:tr>
        <w:trPr>
          <w:trHeight w:val="168"/>
        </w:trPr>
        <w:tc>
          <w:tcPr>
            <w:tcW w:w="1100" w:type="dxa"/>
            <w:vAlign w:val="bottom"/>
          </w:tcPr>
          <w:p>
            <w:pPr>
              <w:spacing w:after="0"/>
              <w:rPr>
                <w:sz w:val="14"/>
                <w:szCs w:val="14"/>
                <w:color w:val="auto"/>
              </w:rPr>
            </w:pPr>
          </w:p>
        </w:tc>
        <w:tc>
          <w:tcPr>
            <w:tcW w:w="590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known as AT&amp;T Comcast Corporation) and the other parties</w:t>
            </w:r>
          </w:p>
        </w:tc>
      </w:tr>
      <w:tr>
        <w:trPr>
          <w:trHeight w:val="168"/>
        </w:trPr>
        <w:tc>
          <w:tcPr>
            <w:tcW w:w="1100" w:type="dxa"/>
            <w:vAlign w:val="bottom"/>
          </w:tcPr>
          <w:p>
            <w:pPr>
              <w:spacing w:after="0"/>
              <w:rPr>
                <w:sz w:val="14"/>
                <w:szCs w:val="14"/>
                <w:color w:val="auto"/>
              </w:rPr>
            </w:pPr>
          </w:p>
        </w:tc>
        <w:tc>
          <w:tcPr>
            <w:tcW w:w="590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signatory thereto.**</w:t>
            </w:r>
          </w:p>
        </w:tc>
      </w:tr>
      <w:tr>
        <w:trPr>
          <w:trHeight w:val="336"/>
        </w:trPr>
        <w:tc>
          <w:tcPr>
            <w:tcW w:w="1100" w:type="dxa"/>
            <w:vAlign w:val="bottom"/>
          </w:tcPr>
          <w:p>
            <w:pPr>
              <w:jc w:val="center"/>
              <w:ind w:right="207"/>
              <w:spacing w:after="0"/>
              <w:rPr>
                <w:sz w:val="20"/>
                <w:szCs w:val="20"/>
                <w:color w:val="auto"/>
              </w:rPr>
            </w:pPr>
            <w:r>
              <w:rPr>
                <w:rFonts w:ascii="Courier New" w:cs="Courier New" w:eastAsia="Courier New" w:hAnsi="Courier New"/>
                <w:sz w:val="15"/>
                <w:szCs w:val="15"/>
                <w:color w:val="auto"/>
                <w:w w:val="96"/>
              </w:rPr>
              <w:t>2.2</w:t>
            </w:r>
          </w:p>
        </w:tc>
        <w:tc>
          <w:tcPr>
            <w:tcW w:w="5900" w:type="dxa"/>
            <w:vAlign w:val="bottom"/>
          </w:tcPr>
          <w:p>
            <w:pPr>
              <w:ind w:left="300"/>
              <w:spacing w:after="0"/>
              <w:rPr>
                <w:sz w:val="20"/>
                <w:szCs w:val="20"/>
                <w:color w:val="auto"/>
              </w:rPr>
            </w:pPr>
            <w:r>
              <w:rPr>
                <w:rFonts w:ascii="Courier New" w:cs="Courier New" w:eastAsia="Courier New" w:hAnsi="Courier New"/>
                <w:sz w:val="15"/>
                <w:szCs w:val="15"/>
                <w:color w:val="auto"/>
              </w:rPr>
              <w:t>Composite copy of Separation and Distribution Agreement dated</w:t>
            </w:r>
          </w:p>
        </w:tc>
      </w:tr>
      <w:tr>
        <w:trPr>
          <w:trHeight w:val="168"/>
        </w:trPr>
        <w:tc>
          <w:tcPr>
            <w:tcW w:w="1100" w:type="dxa"/>
            <w:vAlign w:val="bottom"/>
          </w:tcPr>
          <w:p>
            <w:pPr>
              <w:spacing w:after="0"/>
              <w:rPr>
                <w:sz w:val="14"/>
                <w:szCs w:val="14"/>
                <w:color w:val="auto"/>
              </w:rPr>
            </w:pPr>
          </w:p>
        </w:tc>
        <w:tc>
          <w:tcPr>
            <w:tcW w:w="590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as of December 19, 2001, as amended, between AT&amp;T Corp. and</w:t>
            </w:r>
          </w:p>
        </w:tc>
      </w:tr>
      <w:tr>
        <w:trPr>
          <w:trHeight w:val="168"/>
        </w:trPr>
        <w:tc>
          <w:tcPr>
            <w:tcW w:w="1100" w:type="dxa"/>
            <w:vAlign w:val="bottom"/>
          </w:tcPr>
          <w:p>
            <w:pPr>
              <w:spacing w:after="0"/>
              <w:rPr>
                <w:sz w:val="14"/>
                <w:szCs w:val="14"/>
                <w:color w:val="auto"/>
              </w:rPr>
            </w:pPr>
          </w:p>
        </w:tc>
        <w:tc>
          <w:tcPr>
            <w:tcW w:w="590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w w:val="99"/>
              </w:rPr>
              <w:t>Comcast Cable Communications Holdings, Inc. (formerly known as</w:t>
            </w:r>
          </w:p>
        </w:tc>
      </w:tr>
      <w:tr>
        <w:trPr>
          <w:trHeight w:val="168"/>
        </w:trPr>
        <w:tc>
          <w:tcPr>
            <w:tcW w:w="1100" w:type="dxa"/>
            <w:vAlign w:val="bottom"/>
          </w:tcPr>
          <w:p>
            <w:pPr>
              <w:spacing w:after="0"/>
              <w:rPr>
                <w:sz w:val="14"/>
                <w:szCs w:val="14"/>
                <w:color w:val="auto"/>
              </w:rPr>
            </w:pPr>
          </w:p>
        </w:tc>
        <w:tc>
          <w:tcPr>
            <w:tcW w:w="590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AT&amp;T Broadband Corp.).**</w:t>
            </w:r>
          </w:p>
        </w:tc>
      </w:tr>
      <w:tr>
        <w:trPr>
          <w:trHeight w:val="336"/>
        </w:trPr>
        <w:tc>
          <w:tcPr>
            <w:tcW w:w="1100" w:type="dxa"/>
            <w:vAlign w:val="bottom"/>
          </w:tcPr>
          <w:p>
            <w:pPr>
              <w:jc w:val="center"/>
              <w:ind w:right="207"/>
              <w:spacing w:after="0"/>
              <w:rPr>
                <w:sz w:val="20"/>
                <w:szCs w:val="20"/>
                <w:color w:val="auto"/>
              </w:rPr>
            </w:pPr>
            <w:r>
              <w:rPr>
                <w:rFonts w:ascii="Courier New" w:cs="Courier New" w:eastAsia="Courier New" w:hAnsi="Courier New"/>
                <w:sz w:val="15"/>
                <w:szCs w:val="15"/>
                <w:color w:val="auto"/>
                <w:w w:val="96"/>
              </w:rPr>
              <w:t>2.3</w:t>
            </w:r>
          </w:p>
        </w:tc>
        <w:tc>
          <w:tcPr>
            <w:tcW w:w="5900" w:type="dxa"/>
            <w:vAlign w:val="bottom"/>
          </w:tcPr>
          <w:p>
            <w:pPr>
              <w:ind w:left="300"/>
              <w:spacing w:after="0"/>
              <w:rPr>
                <w:sz w:val="20"/>
                <w:szCs w:val="20"/>
                <w:color w:val="auto"/>
              </w:rPr>
            </w:pPr>
            <w:r>
              <w:rPr>
                <w:rFonts w:ascii="Courier New" w:cs="Courier New" w:eastAsia="Courier New" w:hAnsi="Courier New"/>
                <w:sz w:val="15"/>
                <w:szCs w:val="15"/>
                <w:color w:val="auto"/>
              </w:rPr>
              <w:t>Support Agreement dated as of December 19, 2001, as amended,</w:t>
            </w:r>
          </w:p>
        </w:tc>
      </w:tr>
      <w:tr>
        <w:trPr>
          <w:trHeight w:val="168"/>
        </w:trPr>
        <w:tc>
          <w:tcPr>
            <w:tcW w:w="1100" w:type="dxa"/>
            <w:vAlign w:val="bottom"/>
          </w:tcPr>
          <w:p>
            <w:pPr>
              <w:spacing w:after="0"/>
              <w:rPr>
                <w:sz w:val="14"/>
                <w:szCs w:val="14"/>
                <w:color w:val="auto"/>
              </w:rPr>
            </w:pPr>
          </w:p>
        </w:tc>
        <w:tc>
          <w:tcPr>
            <w:tcW w:w="590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w w:val="99"/>
              </w:rPr>
              <w:t>among AT&amp;T Corp., Comcast Holdings Corporation (formerly known</w:t>
            </w:r>
          </w:p>
        </w:tc>
      </w:tr>
      <w:tr>
        <w:trPr>
          <w:trHeight w:val="168"/>
        </w:trPr>
        <w:tc>
          <w:tcPr>
            <w:tcW w:w="1100" w:type="dxa"/>
            <w:vAlign w:val="bottom"/>
          </w:tcPr>
          <w:p>
            <w:pPr>
              <w:spacing w:after="0"/>
              <w:rPr>
                <w:sz w:val="14"/>
                <w:szCs w:val="14"/>
                <w:color w:val="auto"/>
              </w:rPr>
            </w:pPr>
          </w:p>
        </w:tc>
        <w:tc>
          <w:tcPr>
            <w:tcW w:w="590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w w:val="98"/>
              </w:rPr>
              <w:t>as Comcast Corporation), Comcast Corporation (formerly known as</w:t>
            </w:r>
          </w:p>
        </w:tc>
      </w:tr>
      <w:tr>
        <w:trPr>
          <w:trHeight w:val="168"/>
        </w:trPr>
        <w:tc>
          <w:tcPr>
            <w:tcW w:w="1100" w:type="dxa"/>
            <w:vAlign w:val="bottom"/>
          </w:tcPr>
          <w:p>
            <w:pPr>
              <w:spacing w:after="0"/>
              <w:rPr>
                <w:sz w:val="14"/>
                <w:szCs w:val="14"/>
                <w:color w:val="auto"/>
              </w:rPr>
            </w:pPr>
          </w:p>
        </w:tc>
        <w:tc>
          <w:tcPr>
            <w:tcW w:w="590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AT&amp;T Comcast Corporation), Sural LLC and Brian L. Roberts.***</w:t>
            </w:r>
          </w:p>
        </w:tc>
      </w:tr>
      <w:tr>
        <w:trPr>
          <w:trHeight w:val="336"/>
        </w:trPr>
        <w:tc>
          <w:tcPr>
            <w:tcW w:w="1100" w:type="dxa"/>
            <w:vAlign w:val="bottom"/>
          </w:tcPr>
          <w:p>
            <w:pPr>
              <w:jc w:val="center"/>
              <w:ind w:right="207"/>
              <w:spacing w:after="0"/>
              <w:rPr>
                <w:sz w:val="20"/>
                <w:szCs w:val="20"/>
                <w:color w:val="auto"/>
              </w:rPr>
            </w:pPr>
            <w:r>
              <w:rPr>
                <w:rFonts w:ascii="Courier New" w:cs="Courier New" w:eastAsia="Courier New" w:hAnsi="Courier New"/>
                <w:sz w:val="15"/>
                <w:szCs w:val="15"/>
                <w:color w:val="auto"/>
                <w:w w:val="96"/>
              </w:rPr>
              <w:t>2.4</w:t>
            </w:r>
          </w:p>
        </w:tc>
        <w:tc>
          <w:tcPr>
            <w:tcW w:w="5900" w:type="dxa"/>
            <w:vAlign w:val="bottom"/>
          </w:tcPr>
          <w:p>
            <w:pPr>
              <w:ind w:left="300"/>
              <w:spacing w:after="0"/>
              <w:rPr>
                <w:sz w:val="20"/>
                <w:szCs w:val="20"/>
                <w:color w:val="auto"/>
              </w:rPr>
            </w:pPr>
            <w:r>
              <w:rPr>
                <w:rFonts w:ascii="Courier New" w:cs="Courier New" w:eastAsia="Courier New" w:hAnsi="Courier New"/>
                <w:sz w:val="15"/>
                <w:szCs w:val="15"/>
                <w:color w:val="auto"/>
              </w:rPr>
              <w:t>Tax Sharing Agreement dated as of December 19, 2001 between</w:t>
            </w:r>
          </w:p>
        </w:tc>
      </w:tr>
      <w:tr>
        <w:trPr>
          <w:trHeight w:val="168"/>
        </w:trPr>
        <w:tc>
          <w:tcPr>
            <w:tcW w:w="1100" w:type="dxa"/>
            <w:vAlign w:val="bottom"/>
          </w:tcPr>
          <w:p>
            <w:pPr>
              <w:spacing w:after="0"/>
              <w:rPr>
                <w:sz w:val="14"/>
                <w:szCs w:val="14"/>
                <w:color w:val="auto"/>
              </w:rPr>
            </w:pPr>
          </w:p>
        </w:tc>
        <w:tc>
          <w:tcPr>
            <w:tcW w:w="590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AT&amp;T Corp. and Comcast Cable Communications Holdings, Inc.</w:t>
            </w:r>
          </w:p>
        </w:tc>
      </w:tr>
      <w:tr>
        <w:trPr>
          <w:trHeight w:val="168"/>
        </w:trPr>
        <w:tc>
          <w:tcPr>
            <w:tcW w:w="1100" w:type="dxa"/>
            <w:vAlign w:val="bottom"/>
          </w:tcPr>
          <w:p>
            <w:pPr>
              <w:spacing w:after="0"/>
              <w:rPr>
                <w:sz w:val="14"/>
                <w:szCs w:val="14"/>
                <w:color w:val="auto"/>
              </w:rPr>
            </w:pPr>
          </w:p>
        </w:tc>
        <w:tc>
          <w:tcPr>
            <w:tcW w:w="590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(formerly known as AT&amp;T Broadband Corp.).***</w:t>
            </w:r>
          </w:p>
        </w:tc>
      </w:tr>
      <w:tr>
        <w:trPr>
          <w:trHeight w:val="336"/>
        </w:trPr>
        <w:tc>
          <w:tcPr>
            <w:tcW w:w="1100" w:type="dxa"/>
            <w:vAlign w:val="bottom"/>
          </w:tcPr>
          <w:p>
            <w:pPr>
              <w:jc w:val="center"/>
              <w:ind w:right="207"/>
              <w:spacing w:after="0"/>
              <w:rPr>
                <w:sz w:val="20"/>
                <w:szCs w:val="20"/>
                <w:color w:val="auto"/>
              </w:rPr>
            </w:pPr>
            <w:r>
              <w:rPr>
                <w:rFonts w:ascii="Courier New" w:cs="Courier New" w:eastAsia="Courier New" w:hAnsi="Courier New"/>
                <w:sz w:val="15"/>
                <w:szCs w:val="15"/>
                <w:color w:val="auto"/>
                <w:w w:val="96"/>
              </w:rPr>
              <w:t>2.5</w:t>
            </w:r>
          </w:p>
        </w:tc>
        <w:tc>
          <w:tcPr>
            <w:tcW w:w="5900" w:type="dxa"/>
            <w:vAlign w:val="bottom"/>
          </w:tcPr>
          <w:p>
            <w:pPr>
              <w:ind w:left="300"/>
              <w:spacing w:after="0"/>
              <w:rPr>
                <w:sz w:val="20"/>
                <w:szCs w:val="20"/>
                <w:color w:val="auto"/>
              </w:rPr>
            </w:pPr>
            <w:r>
              <w:rPr>
                <w:rFonts w:ascii="Courier New" w:cs="Courier New" w:eastAsia="Courier New" w:hAnsi="Courier New"/>
                <w:sz w:val="15"/>
                <w:szCs w:val="15"/>
                <w:color w:val="auto"/>
              </w:rPr>
              <w:t>Employee Benefits Agreement dated as of December 19, 2001</w:t>
            </w:r>
          </w:p>
        </w:tc>
      </w:tr>
      <w:tr>
        <w:trPr>
          <w:trHeight w:val="168"/>
        </w:trPr>
        <w:tc>
          <w:tcPr>
            <w:tcW w:w="1100" w:type="dxa"/>
            <w:vAlign w:val="bottom"/>
          </w:tcPr>
          <w:p>
            <w:pPr>
              <w:spacing w:after="0"/>
              <w:rPr>
                <w:sz w:val="14"/>
                <w:szCs w:val="14"/>
                <w:color w:val="auto"/>
              </w:rPr>
            </w:pPr>
          </w:p>
        </w:tc>
        <w:tc>
          <w:tcPr>
            <w:tcW w:w="590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between AT&amp;T Corp. and Comcast Cable Communications Holdings,</w:t>
            </w:r>
          </w:p>
        </w:tc>
      </w:tr>
      <w:tr>
        <w:trPr>
          <w:trHeight w:val="168"/>
        </w:trPr>
        <w:tc>
          <w:tcPr>
            <w:tcW w:w="1100" w:type="dxa"/>
            <w:vAlign w:val="bottom"/>
          </w:tcPr>
          <w:p>
            <w:pPr>
              <w:spacing w:after="0"/>
              <w:rPr>
                <w:sz w:val="14"/>
                <w:szCs w:val="14"/>
                <w:color w:val="auto"/>
              </w:rPr>
            </w:pPr>
          </w:p>
        </w:tc>
        <w:tc>
          <w:tcPr>
            <w:tcW w:w="590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Inc. (formerly known as AT&amp;T Broadband Corp.).****</w:t>
            </w:r>
          </w:p>
        </w:tc>
      </w:tr>
      <w:tr>
        <w:trPr>
          <w:trHeight w:val="336"/>
        </w:trPr>
        <w:tc>
          <w:tcPr>
            <w:tcW w:w="1100" w:type="dxa"/>
            <w:vAlign w:val="bottom"/>
          </w:tcPr>
          <w:p>
            <w:pPr>
              <w:jc w:val="center"/>
              <w:ind w:right="207"/>
              <w:spacing w:after="0"/>
              <w:rPr>
                <w:sz w:val="20"/>
                <w:szCs w:val="20"/>
                <w:color w:val="auto"/>
              </w:rPr>
            </w:pPr>
            <w:r>
              <w:rPr>
                <w:rFonts w:ascii="Courier New" w:cs="Courier New" w:eastAsia="Courier New" w:hAnsi="Courier New"/>
                <w:sz w:val="15"/>
                <w:szCs w:val="15"/>
                <w:color w:val="auto"/>
                <w:w w:val="96"/>
              </w:rPr>
              <w:t>2.6</w:t>
            </w:r>
          </w:p>
        </w:tc>
        <w:tc>
          <w:tcPr>
            <w:tcW w:w="5900" w:type="dxa"/>
            <w:vAlign w:val="bottom"/>
          </w:tcPr>
          <w:p>
            <w:pPr>
              <w:ind w:left="300"/>
              <w:spacing w:after="0"/>
              <w:rPr>
                <w:sz w:val="20"/>
                <w:szCs w:val="20"/>
                <w:color w:val="auto"/>
              </w:rPr>
            </w:pPr>
            <w:r>
              <w:rPr>
                <w:rFonts w:ascii="Courier New" w:cs="Courier New" w:eastAsia="Courier New" w:hAnsi="Courier New"/>
                <w:sz w:val="15"/>
                <w:szCs w:val="15"/>
                <w:color w:val="auto"/>
              </w:rPr>
              <w:t>Exchange Agreement dated as of December 7, 2001, as amended,</w:t>
            </w:r>
          </w:p>
        </w:tc>
      </w:tr>
      <w:tr>
        <w:trPr>
          <w:trHeight w:val="168"/>
        </w:trPr>
        <w:tc>
          <w:tcPr>
            <w:tcW w:w="1100" w:type="dxa"/>
            <w:vAlign w:val="bottom"/>
          </w:tcPr>
          <w:p>
            <w:pPr>
              <w:spacing w:after="0"/>
              <w:rPr>
                <w:sz w:val="14"/>
                <w:szCs w:val="14"/>
                <w:color w:val="auto"/>
              </w:rPr>
            </w:pPr>
          </w:p>
        </w:tc>
        <w:tc>
          <w:tcPr>
            <w:tcW w:w="590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w w:val="99"/>
              </w:rPr>
              <w:t>between Microsoft Corporation and Comcast Holdings Corporation</w:t>
            </w:r>
          </w:p>
        </w:tc>
      </w:tr>
      <w:tr>
        <w:trPr>
          <w:trHeight w:val="168"/>
        </w:trPr>
        <w:tc>
          <w:tcPr>
            <w:tcW w:w="1100" w:type="dxa"/>
            <w:vAlign w:val="bottom"/>
          </w:tcPr>
          <w:p>
            <w:pPr>
              <w:spacing w:after="0"/>
              <w:rPr>
                <w:sz w:val="14"/>
                <w:szCs w:val="14"/>
                <w:color w:val="auto"/>
              </w:rPr>
            </w:pPr>
          </w:p>
        </w:tc>
        <w:tc>
          <w:tcPr>
            <w:tcW w:w="590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(formerly known as Comcast Corporation).***</w:t>
            </w:r>
          </w:p>
        </w:tc>
      </w:tr>
      <w:tr>
        <w:trPr>
          <w:trHeight w:val="336"/>
        </w:trPr>
        <w:tc>
          <w:tcPr>
            <w:tcW w:w="1100" w:type="dxa"/>
            <w:vAlign w:val="bottom"/>
          </w:tcPr>
          <w:p>
            <w:pPr>
              <w:jc w:val="center"/>
              <w:ind w:right="207"/>
              <w:spacing w:after="0"/>
              <w:rPr>
                <w:sz w:val="20"/>
                <w:szCs w:val="20"/>
                <w:color w:val="auto"/>
              </w:rPr>
            </w:pPr>
            <w:r>
              <w:rPr>
                <w:rFonts w:ascii="Courier New" w:cs="Courier New" w:eastAsia="Courier New" w:hAnsi="Courier New"/>
                <w:sz w:val="15"/>
                <w:szCs w:val="15"/>
                <w:color w:val="auto"/>
                <w:w w:val="96"/>
              </w:rPr>
              <w:t>2.7</w:t>
            </w:r>
          </w:p>
        </w:tc>
        <w:tc>
          <w:tcPr>
            <w:tcW w:w="5900" w:type="dxa"/>
            <w:vAlign w:val="bottom"/>
          </w:tcPr>
          <w:p>
            <w:pPr>
              <w:ind w:left="300"/>
              <w:spacing w:after="0"/>
              <w:rPr>
                <w:sz w:val="20"/>
                <w:szCs w:val="20"/>
                <w:color w:val="auto"/>
              </w:rPr>
            </w:pPr>
            <w:r>
              <w:rPr>
                <w:rFonts w:ascii="Courier New" w:cs="Courier New" w:eastAsia="Courier New" w:hAnsi="Courier New"/>
                <w:sz w:val="15"/>
                <w:szCs w:val="15"/>
                <w:color w:val="auto"/>
              </w:rPr>
              <w:t>Instrument of Admission dated as of December 19, 2001, as</w:t>
            </w:r>
          </w:p>
        </w:tc>
      </w:tr>
      <w:tr>
        <w:trPr>
          <w:trHeight w:val="168"/>
        </w:trPr>
        <w:tc>
          <w:tcPr>
            <w:tcW w:w="1100" w:type="dxa"/>
            <w:vAlign w:val="bottom"/>
          </w:tcPr>
          <w:p>
            <w:pPr>
              <w:spacing w:after="0"/>
              <w:rPr>
                <w:sz w:val="14"/>
                <w:szCs w:val="14"/>
                <w:color w:val="auto"/>
              </w:rPr>
            </w:pPr>
          </w:p>
        </w:tc>
        <w:tc>
          <w:tcPr>
            <w:tcW w:w="590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amended, between Comcast Corporation (formerly known as AT&amp;T</w:t>
            </w:r>
          </w:p>
        </w:tc>
      </w:tr>
      <w:tr>
        <w:trPr>
          <w:trHeight w:val="168"/>
        </w:trPr>
        <w:tc>
          <w:tcPr>
            <w:tcW w:w="1100" w:type="dxa"/>
            <w:vAlign w:val="bottom"/>
          </w:tcPr>
          <w:p>
            <w:pPr>
              <w:spacing w:after="0"/>
              <w:rPr>
                <w:sz w:val="14"/>
                <w:szCs w:val="14"/>
                <w:color w:val="auto"/>
              </w:rPr>
            </w:pPr>
          </w:p>
        </w:tc>
        <w:tc>
          <w:tcPr>
            <w:tcW w:w="590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Comcast Corporation) and AT&amp;T Corp.***</w:t>
            </w:r>
          </w:p>
        </w:tc>
      </w:tr>
      <w:tr>
        <w:trPr>
          <w:trHeight w:val="336"/>
        </w:trPr>
        <w:tc>
          <w:tcPr>
            <w:tcW w:w="1100" w:type="dxa"/>
            <w:vAlign w:val="bottom"/>
          </w:tcPr>
          <w:p>
            <w:pPr>
              <w:jc w:val="center"/>
              <w:ind w:right="207"/>
              <w:spacing w:after="0"/>
              <w:rPr>
                <w:sz w:val="20"/>
                <w:szCs w:val="20"/>
                <w:color w:val="auto"/>
              </w:rPr>
            </w:pPr>
            <w:r>
              <w:rPr>
                <w:rFonts w:ascii="Courier New" w:cs="Courier New" w:eastAsia="Courier New" w:hAnsi="Courier New"/>
                <w:sz w:val="15"/>
                <w:szCs w:val="15"/>
                <w:color w:val="auto"/>
                <w:w w:val="96"/>
              </w:rPr>
              <w:t>4.1</w:t>
            </w:r>
          </w:p>
        </w:tc>
        <w:tc>
          <w:tcPr>
            <w:tcW w:w="5900" w:type="dxa"/>
            <w:vAlign w:val="bottom"/>
          </w:tcPr>
          <w:p>
            <w:pPr>
              <w:ind w:left="300"/>
              <w:spacing w:after="0"/>
              <w:rPr>
                <w:sz w:val="20"/>
                <w:szCs w:val="20"/>
                <w:color w:val="auto"/>
              </w:rPr>
            </w:pPr>
            <w:r>
              <w:rPr>
                <w:rFonts w:ascii="Courier New" w:cs="Courier New" w:eastAsia="Courier New" w:hAnsi="Courier New"/>
                <w:sz w:val="15"/>
                <w:szCs w:val="15"/>
                <w:color w:val="auto"/>
                <w:w w:val="99"/>
              </w:rPr>
              <w:t>Rights Agreement dated as of November 18, 2002 between Comcast</w:t>
            </w:r>
          </w:p>
        </w:tc>
      </w:tr>
      <w:tr>
        <w:trPr>
          <w:trHeight w:val="168"/>
        </w:trPr>
        <w:tc>
          <w:tcPr>
            <w:tcW w:w="1100" w:type="dxa"/>
            <w:vAlign w:val="bottom"/>
          </w:tcPr>
          <w:p>
            <w:pPr>
              <w:spacing w:after="0"/>
              <w:rPr>
                <w:sz w:val="14"/>
                <w:szCs w:val="14"/>
                <w:color w:val="auto"/>
              </w:rPr>
            </w:pPr>
          </w:p>
        </w:tc>
        <w:tc>
          <w:tcPr>
            <w:tcW w:w="590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Corporation (formerly known as AT&amp;T Comcast Corporation) and</w:t>
            </w:r>
          </w:p>
        </w:tc>
      </w:tr>
      <w:tr>
        <w:trPr>
          <w:trHeight w:val="168"/>
        </w:trPr>
        <w:tc>
          <w:tcPr>
            <w:tcW w:w="1100" w:type="dxa"/>
            <w:vAlign w:val="bottom"/>
          </w:tcPr>
          <w:p>
            <w:pPr>
              <w:spacing w:after="0"/>
              <w:rPr>
                <w:sz w:val="14"/>
                <w:szCs w:val="14"/>
                <w:color w:val="auto"/>
              </w:rPr>
            </w:pPr>
          </w:p>
        </w:tc>
        <w:tc>
          <w:tcPr>
            <w:tcW w:w="590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w w:val="99"/>
              </w:rPr>
              <w:t>EquiServe Trust Company, N.A., as Rights Agent, which includes</w:t>
            </w:r>
          </w:p>
        </w:tc>
      </w:tr>
      <w:tr>
        <w:trPr>
          <w:trHeight w:val="168"/>
        </w:trPr>
        <w:tc>
          <w:tcPr>
            <w:tcW w:w="1100" w:type="dxa"/>
            <w:vAlign w:val="bottom"/>
          </w:tcPr>
          <w:p>
            <w:pPr>
              <w:spacing w:after="0"/>
              <w:rPr>
                <w:sz w:val="14"/>
                <w:szCs w:val="14"/>
                <w:color w:val="auto"/>
              </w:rPr>
            </w:pPr>
          </w:p>
        </w:tc>
        <w:tc>
          <w:tcPr>
            <w:tcW w:w="590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w w:val="96"/>
              </w:rPr>
              <w:t>the Form of Certificate of Designation of Series A Participant's</w:t>
            </w:r>
          </w:p>
        </w:tc>
      </w:tr>
      <w:tr>
        <w:trPr>
          <w:trHeight w:val="168"/>
        </w:trPr>
        <w:tc>
          <w:tcPr>
            <w:tcW w:w="1100" w:type="dxa"/>
            <w:vAlign w:val="bottom"/>
          </w:tcPr>
          <w:p>
            <w:pPr>
              <w:spacing w:after="0"/>
              <w:rPr>
                <w:sz w:val="14"/>
                <w:szCs w:val="14"/>
                <w:color w:val="auto"/>
              </w:rPr>
            </w:pPr>
          </w:p>
        </w:tc>
        <w:tc>
          <w:tcPr>
            <w:tcW w:w="590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Cumulative Preferred Stock as Exhibit A and the Form of Right</w:t>
            </w:r>
          </w:p>
        </w:tc>
      </w:tr>
      <w:tr>
        <w:trPr>
          <w:trHeight w:val="168"/>
        </w:trPr>
        <w:tc>
          <w:tcPr>
            <w:tcW w:w="1100" w:type="dxa"/>
            <w:vAlign w:val="bottom"/>
          </w:tcPr>
          <w:p>
            <w:pPr>
              <w:spacing w:after="0"/>
              <w:rPr>
                <w:sz w:val="14"/>
                <w:szCs w:val="14"/>
                <w:color w:val="auto"/>
              </w:rPr>
            </w:pPr>
          </w:p>
        </w:tc>
        <w:tc>
          <w:tcPr>
            <w:tcW w:w="590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Certificate as Exhibit B.*****</w:t>
            </w:r>
          </w:p>
        </w:tc>
      </w:tr>
      <w:tr>
        <w:trPr>
          <w:trHeight w:val="336"/>
        </w:trPr>
        <w:tc>
          <w:tcPr>
            <w:tcW w:w="1100" w:type="dxa"/>
            <w:vAlign w:val="bottom"/>
          </w:tcPr>
          <w:p>
            <w:pPr>
              <w:jc w:val="center"/>
              <w:ind w:right="207"/>
              <w:spacing w:after="0"/>
              <w:rPr>
                <w:sz w:val="20"/>
                <w:szCs w:val="20"/>
                <w:color w:val="auto"/>
              </w:rPr>
            </w:pPr>
            <w:r>
              <w:rPr>
                <w:rFonts w:ascii="Courier New" w:cs="Courier New" w:eastAsia="Courier New" w:hAnsi="Courier New"/>
                <w:sz w:val="15"/>
                <w:szCs w:val="15"/>
                <w:color w:val="auto"/>
                <w:w w:val="96"/>
              </w:rPr>
              <w:t>4.2</w:t>
            </w:r>
          </w:p>
        </w:tc>
        <w:tc>
          <w:tcPr>
            <w:tcW w:w="5900" w:type="dxa"/>
            <w:vAlign w:val="bottom"/>
          </w:tcPr>
          <w:p>
            <w:pPr>
              <w:ind w:left="300"/>
              <w:spacing w:after="0"/>
              <w:rPr>
                <w:sz w:val="20"/>
                <w:szCs w:val="20"/>
                <w:color w:val="auto"/>
              </w:rPr>
            </w:pPr>
            <w:r>
              <w:rPr>
                <w:rFonts w:ascii="Courier New" w:cs="Courier New" w:eastAsia="Courier New" w:hAnsi="Courier New"/>
                <w:sz w:val="15"/>
                <w:szCs w:val="15"/>
                <w:color w:val="auto"/>
              </w:rPr>
              <w:t>Credit Agreement dated as of April 26, 2002 among Comcast</w:t>
            </w:r>
          </w:p>
        </w:tc>
      </w:tr>
      <w:tr>
        <w:trPr>
          <w:trHeight w:val="168"/>
        </w:trPr>
        <w:tc>
          <w:tcPr>
            <w:tcW w:w="1100" w:type="dxa"/>
            <w:vAlign w:val="bottom"/>
          </w:tcPr>
          <w:p>
            <w:pPr>
              <w:spacing w:after="0"/>
              <w:rPr>
                <w:sz w:val="14"/>
                <w:szCs w:val="14"/>
                <w:color w:val="auto"/>
              </w:rPr>
            </w:pPr>
          </w:p>
        </w:tc>
        <w:tc>
          <w:tcPr>
            <w:tcW w:w="590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Corporation (formerly known as AT&amp;T Comcast Corporation),</w:t>
            </w:r>
          </w:p>
        </w:tc>
      </w:tr>
      <w:tr>
        <w:trPr>
          <w:trHeight w:val="168"/>
        </w:trPr>
        <w:tc>
          <w:tcPr>
            <w:tcW w:w="1100" w:type="dxa"/>
            <w:vAlign w:val="bottom"/>
          </w:tcPr>
          <w:p>
            <w:pPr>
              <w:spacing w:after="0"/>
              <w:rPr>
                <w:sz w:val="14"/>
                <w:szCs w:val="14"/>
                <w:color w:val="auto"/>
              </w:rPr>
            </w:pPr>
          </w:p>
        </w:tc>
        <w:tc>
          <w:tcPr>
            <w:tcW w:w="590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w w:val="99"/>
              </w:rPr>
              <w:t>Comcast Cable Communications Holdings, Inc. (formerly known as</w:t>
            </w:r>
          </w:p>
        </w:tc>
      </w:tr>
      <w:tr>
        <w:trPr>
          <w:trHeight w:val="168"/>
        </w:trPr>
        <w:tc>
          <w:tcPr>
            <w:tcW w:w="1100" w:type="dxa"/>
            <w:vAlign w:val="bottom"/>
          </w:tcPr>
          <w:p>
            <w:pPr>
              <w:spacing w:after="0"/>
              <w:rPr>
                <w:sz w:val="14"/>
                <w:szCs w:val="14"/>
                <w:color w:val="auto"/>
              </w:rPr>
            </w:pPr>
          </w:p>
        </w:tc>
        <w:tc>
          <w:tcPr>
            <w:tcW w:w="590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AT&amp;T Broadband Corp.), the Financial Institutions party</w:t>
            </w:r>
          </w:p>
        </w:tc>
      </w:tr>
      <w:tr>
        <w:trPr>
          <w:trHeight w:val="168"/>
        </w:trPr>
        <w:tc>
          <w:tcPr>
            <w:tcW w:w="1100" w:type="dxa"/>
            <w:vAlign w:val="bottom"/>
          </w:tcPr>
          <w:p>
            <w:pPr>
              <w:spacing w:after="0"/>
              <w:rPr>
                <w:sz w:val="14"/>
                <w:szCs w:val="14"/>
                <w:color w:val="auto"/>
              </w:rPr>
            </w:pPr>
          </w:p>
        </w:tc>
        <w:tc>
          <w:tcPr>
            <w:tcW w:w="590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thereto, JP Morgan Chase Bank, as Administrative Agent, Swing</w:t>
            </w:r>
          </w:p>
        </w:tc>
      </w:tr>
      <w:tr>
        <w:trPr>
          <w:trHeight w:val="168"/>
        </w:trPr>
        <w:tc>
          <w:tcPr>
            <w:tcW w:w="1100" w:type="dxa"/>
            <w:vAlign w:val="bottom"/>
          </w:tcPr>
          <w:p>
            <w:pPr>
              <w:spacing w:after="0"/>
              <w:rPr>
                <w:sz w:val="14"/>
                <w:szCs w:val="14"/>
                <w:color w:val="auto"/>
              </w:rPr>
            </w:pPr>
          </w:p>
        </w:tc>
        <w:tc>
          <w:tcPr>
            <w:tcW w:w="590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w w:val="99"/>
              </w:rPr>
              <w:t>Line Lender and Issuing Lender, Citibank, N.A., as Syndication</w:t>
            </w:r>
          </w:p>
        </w:tc>
      </w:tr>
    </w:tbl>
    <w:p>
      <w:pPr>
        <w:spacing w:after="0" w:line="5" w:lineRule="exact"/>
        <w:rPr>
          <w:sz w:val="20"/>
          <w:szCs w:val="20"/>
          <w:color w:val="auto"/>
        </w:rPr>
      </w:pPr>
    </w:p>
    <w:p>
      <w:pPr>
        <w:jc w:val="both"/>
        <w:ind w:left="1400" w:right="3399"/>
        <w:spacing w:after="0" w:line="258" w:lineRule="auto"/>
        <w:rPr>
          <w:sz w:val="20"/>
          <w:szCs w:val="20"/>
          <w:color w:val="auto"/>
        </w:rPr>
      </w:pPr>
      <w:r>
        <w:rPr>
          <w:rFonts w:ascii="Courier New" w:cs="Courier New" w:eastAsia="Courier New" w:hAnsi="Courier New"/>
          <w:sz w:val="14"/>
          <w:szCs w:val="14"/>
          <w:color w:val="auto"/>
        </w:rPr>
        <w:t>Agent, and Bank of America, N.A., Merrill Lynch &amp; Co., Merrill Lynch, Pierce, Fenner &amp; Smith Incorporated and Morgan Stanley Senior Funding, Inc., as Co-Documentation Agents.******</w:t>
      </w:r>
    </w:p>
    <w:p>
      <w:pPr>
        <w:spacing w:after="0" w:line="323"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II-17</w:t>
      </w:r>
    </w:p>
    <w:p>
      <w:pPr>
        <w:sectPr>
          <w:pgSz w:w="11900" w:h="16838" w:orient="portrait"/>
          <w:cols w:equalWidth="0" w:num="1">
            <w:col w:w="10239"/>
          </w:cols>
          <w:pgMar w:left="220" w:top="785" w:right="1440" w:bottom="1440" w:gutter="0" w:footer="0" w:header="0"/>
        </w:sectPr>
      </w:pPr>
    </w:p>
    <w:bookmarkStart w:id="73" w:name="page74"/>
    <w:bookmarkEnd w:id="73"/>
    <w:tbl>
      <w:tblPr>
        <w:tblLayout w:type="fixed"/>
        <w:tblInd w:w="0" w:type="dxa"/>
        <w:tblCellMar>
          <w:top w:w="0" w:type="dxa"/>
          <w:left w:w="0" w:type="dxa"/>
          <w:bottom w:w="0" w:type="dxa"/>
          <w:right w:w="0" w:type="dxa"/>
        </w:tblCellMar>
      </w:tblPr>
      <w:tr>
        <w:trPr>
          <w:trHeight w:val="170"/>
        </w:trPr>
        <w:tc>
          <w:tcPr>
            <w:tcW w:w="1100" w:type="dxa"/>
            <w:vAlign w:val="bottom"/>
          </w:tcPr>
          <w:p>
            <w:pPr>
              <w:spacing w:after="0"/>
              <w:rPr>
                <w:sz w:val="20"/>
                <w:szCs w:val="20"/>
                <w:color w:val="auto"/>
              </w:rPr>
            </w:pPr>
            <w:r>
              <w:rPr>
                <w:rFonts w:ascii="Courier New" w:cs="Courier New" w:eastAsia="Courier New" w:hAnsi="Courier New"/>
                <w:sz w:val="15"/>
                <w:szCs w:val="15"/>
                <w:color w:val="auto"/>
              </w:rPr>
              <w:t>Exhibit</w:t>
            </w:r>
          </w:p>
        </w:tc>
        <w:tc>
          <w:tcPr>
            <w:tcW w:w="5820" w:type="dxa"/>
            <w:vAlign w:val="bottom"/>
          </w:tcPr>
          <w:p>
            <w:pPr>
              <w:spacing w:after="0"/>
              <w:rPr>
                <w:sz w:val="14"/>
                <w:szCs w:val="14"/>
                <w:color w:val="auto"/>
              </w:rPr>
            </w:pPr>
          </w:p>
        </w:tc>
      </w:tr>
      <w:tr>
        <w:trPr>
          <w:trHeight w:val="168"/>
        </w:trPr>
        <w:tc>
          <w:tcPr>
            <w:tcW w:w="1100" w:type="dxa"/>
            <w:vAlign w:val="bottom"/>
          </w:tcPr>
          <w:p>
            <w:pPr>
              <w:spacing w:after="0" w:line="168" w:lineRule="exact"/>
              <w:rPr>
                <w:sz w:val="20"/>
                <w:szCs w:val="20"/>
                <w:color w:val="auto"/>
              </w:rPr>
            </w:pPr>
            <w:r>
              <w:rPr>
                <w:rFonts w:ascii="Courier New" w:cs="Courier New" w:eastAsia="Courier New" w:hAnsi="Courier New"/>
                <w:sz w:val="15"/>
                <w:szCs w:val="15"/>
                <w:color w:val="auto"/>
              </w:rPr>
              <w:t>Number</w:t>
            </w:r>
          </w:p>
        </w:tc>
        <w:tc>
          <w:tcPr>
            <w:tcW w:w="582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Description</w:t>
            </w:r>
          </w:p>
        </w:tc>
      </w:tr>
      <w:tr>
        <w:trPr>
          <w:trHeight w:val="168"/>
        </w:trPr>
        <w:tc>
          <w:tcPr>
            <w:tcW w:w="110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582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1100" w:type="dxa"/>
            <w:vAlign w:val="bottom"/>
          </w:tcPr>
          <w:p>
            <w:pPr>
              <w:ind w:left="280"/>
              <w:spacing w:after="0"/>
              <w:rPr>
                <w:sz w:val="20"/>
                <w:szCs w:val="20"/>
                <w:color w:val="auto"/>
              </w:rPr>
            </w:pPr>
            <w:r>
              <w:rPr>
                <w:rFonts w:ascii="Courier New" w:cs="Courier New" w:eastAsia="Courier New" w:hAnsi="Courier New"/>
                <w:sz w:val="15"/>
                <w:szCs w:val="15"/>
                <w:color w:val="auto"/>
              </w:rPr>
              <w:t>4.3</w:t>
            </w:r>
          </w:p>
        </w:tc>
        <w:tc>
          <w:tcPr>
            <w:tcW w:w="5820" w:type="dxa"/>
            <w:vAlign w:val="bottom"/>
          </w:tcPr>
          <w:p>
            <w:pPr>
              <w:ind w:left="300"/>
              <w:spacing w:after="0"/>
              <w:rPr>
                <w:sz w:val="20"/>
                <w:szCs w:val="20"/>
                <w:color w:val="auto"/>
              </w:rPr>
            </w:pPr>
            <w:r>
              <w:rPr>
                <w:rFonts w:ascii="Courier New" w:cs="Courier New" w:eastAsia="Courier New" w:hAnsi="Courier New"/>
                <w:sz w:val="15"/>
                <w:szCs w:val="15"/>
                <w:color w:val="auto"/>
              </w:rPr>
              <w:t>Bridge Credit Agreement dated as of April 26, 2002 among</w:t>
            </w:r>
          </w:p>
        </w:tc>
      </w:tr>
      <w:tr>
        <w:trPr>
          <w:trHeight w:val="168"/>
        </w:trPr>
        <w:tc>
          <w:tcPr>
            <w:tcW w:w="1100" w:type="dxa"/>
            <w:vAlign w:val="bottom"/>
          </w:tcPr>
          <w:p>
            <w:pPr>
              <w:spacing w:after="0"/>
              <w:rPr>
                <w:sz w:val="14"/>
                <w:szCs w:val="14"/>
                <w:color w:val="auto"/>
              </w:rPr>
            </w:pPr>
          </w:p>
        </w:tc>
        <w:tc>
          <w:tcPr>
            <w:tcW w:w="582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Comcast Corporation (formerly known as AT&amp;T Comcast</w:t>
            </w:r>
          </w:p>
        </w:tc>
      </w:tr>
      <w:tr>
        <w:trPr>
          <w:trHeight w:val="168"/>
        </w:trPr>
        <w:tc>
          <w:tcPr>
            <w:tcW w:w="1100" w:type="dxa"/>
            <w:vAlign w:val="bottom"/>
          </w:tcPr>
          <w:p>
            <w:pPr>
              <w:spacing w:after="0"/>
              <w:rPr>
                <w:sz w:val="14"/>
                <w:szCs w:val="14"/>
                <w:color w:val="auto"/>
              </w:rPr>
            </w:pPr>
          </w:p>
        </w:tc>
        <w:tc>
          <w:tcPr>
            <w:tcW w:w="582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Corporation), Comcast Cable Communications Holdings, Inc.</w:t>
            </w:r>
          </w:p>
        </w:tc>
      </w:tr>
      <w:tr>
        <w:trPr>
          <w:trHeight w:val="168"/>
        </w:trPr>
        <w:tc>
          <w:tcPr>
            <w:tcW w:w="1100" w:type="dxa"/>
            <w:vAlign w:val="bottom"/>
          </w:tcPr>
          <w:p>
            <w:pPr>
              <w:spacing w:after="0"/>
              <w:rPr>
                <w:sz w:val="14"/>
                <w:szCs w:val="14"/>
                <w:color w:val="auto"/>
              </w:rPr>
            </w:pPr>
          </w:p>
        </w:tc>
        <w:tc>
          <w:tcPr>
            <w:tcW w:w="582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(formerly known as AT&amp;T Broadband Corp.), the Financial</w:t>
            </w:r>
          </w:p>
        </w:tc>
      </w:tr>
      <w:tr>
        <w:trPr>
          <w:trHeight w:val="168"/>
        </w:trPr>
        <w:tc>
          <w:tcPr>
            <w:tcW w:w="1100" w:type="dxa"/>
            <w:vAlign w:val="bottom"/>
          </w:tcPr>
          <w:p>
            <w:pPr>
              <w:spacing w:after="0"/>
              <w:rPr>
                <w:sz w:val="14"/>
                <w:szCs w:val="14"/>
                <w:color w:val="auto"/>
              </w:rPr>
            </w:pPr>
          </w:p>
        </w:tc>
        <w:tc>
          <w:tcPr>
            <w:tcW w:w="582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Institutions party thereto, JP Morgan Chase Bank, as</w:t>
            </w:r>
          </w:p>
        </w:tc>
      </w:tr>
      <w:tr>
        <w:trPr>
          <w:trHeight w:val="168"/>
        </w:trPr>
        <w:tc>
          <w:tcPr>
            <w:tcW w:w="1100" w:type="dxa"/>
            <w:vAlign w:val="bottom"/>
          </w:tcPr>
          <w:p>
            <w:pPr>
              <w:spacing w:after="0"/>
              <w:rPr>
                <w:sz w:val="14"/>
                <w:szCs w:val="14"/>
                <w:color w:val="auto"/>
              </w:rPr>
            </w:pPr>
          </w:p>
        </w:tc>
        <w:tc>
          <w:tcPr>
            <w:tcW w:w="582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Administrative Agent, Swing Line Lender and Issuing Lender,</w:t>
            </w:r>
          </w:p>
        </w:tc>
      </w:tr>
      <w:tr>
        <w:trPr>
          <w:trHeight w:val="168"/>
        </w:trPr>
        <w:tc>
          <w:tcPr>
            <w:tcW w:w="1100" w:type="dxa"/>
            <w:vAlign w:val="bottom"/>
          </w:tcPr>
          <w:p>
            <w:pPr>
              <w:spacing w:after="0"/>
              <w:rPr>
                <w:sz w:val="14"/>
                <w:szCs w:val="14"/>
                <w:color w:val="auto"/>
              </w:rPr>
            </w:pPr>
          </w:p>
        </w:tc>
        <w:tc>
          <w:tcPr>
            <w:tcW w:w="582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Citibank, N.A., as Syndication Agent, and Bank of America,</w:t>
            </w:r>
          </w:p>
        </w:tc>
      </w:tr>
      <w:tr>
        <w:trPr>
          <w:trHeight w:val="168"/>
        </w:trPr>
        <w:tc>
          <w:tcPr>
            <w:tcW w:w="1100" w:type="dxa"/>
            <w:vAlign w:val="bottom"/>
          </w:tcPr>
          <w:p>
            <w:pPr>
              <w:spacing w:after="0"/>
              <w:rPr>
                <w:sz w:val="14"/>
                <w:szCs w:val="14"/>
                <w:color w:val="auto"/>
              </w:rPr>
            </w:pPr>
          </w:p>
        </w:tc>
        <w:tc>
          <w:tcPr>
            <w:tcW w:w="582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N.A., Merrill Lynch &amp; Co., Merrill Lynch, Pierce, Fenner &amp;</w:t>
            </w:r>
          </w:p>
        </w:tc>
      </w:tr>
      <w:tr>
        <w:trPr>
          <w:trHeight w:val="168"/>
        </w:trPr>
        <w:tc>
          <w:tcPr>
            <w:tcW w:w="1100" w:type="dxa"/>
            <w:vAlign w:val="bottom"/>
          </w:tcPr>
          <w:p>
            <w:pPr>
              <w:spacing w:after="0"/>
              <w:rPr>
                <w:sz w:val="14"/>
                <w:szCs w:val="14"/>
                <w:color w:val="auto"/>
              </w:rPr>
            </w:pPr>
          </w:p>
        </w:tc>
        <w:tc>
          <w:tcPr>
            <w:tcW w:w="582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w w:val="98"/>
              </w:rPr>
              <w:t>Smith Incorporated and Morgan Stanley Senior Funding, Inc., as</w:t>
            </w:r>
          </w:p>
        </w:tc>
      </w:tr>
      <w:tr>
        <w:trPr>
          <w:trHeight w:val="168"/>
        </w:trPr>
        <w:tc>
          <w:tcPr>
            <w:tcW w:w="1100" w:type="dxa"/>
            <w:vAlign w:val="bottom"/>
          </w:tcPr>
          <w:p>
            <w:pPr>
              <w:spacing w:after="0"/>
              <w:rPr>
                <w:sz w:val="14"/>
                <w:szCs w:val="14"/>
                <w:color w:val="auto"/>
              </w:rPr>
            </w:pPr>
          </w:p>
        </w:tc>
        <w:tc>
          <w:tcPr>
            <w:tcW w:w="582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Co-Documentation Agents.******</w:t>
            </w:r>
          </w:p>
        </w:tc>
      </w:tr>
      <w:tr>
        <w:trPr>
          <w:trHeight w:val="336"/>
        </w:trPr>
        <w:tc>
          <w:tcPr>
            <w:tcW w:w="1100" w:type="dxa"/>
            <w:vAlign w:val="bottom"/>
          </w:tcPr>
          <w:p>
            <w:pPr>
              <w:ind w:left="280"/>
              <w:spacing w:after="0"/>
              <w:rPr>
                <w:sz w:val="20"/>
                <w:szCs w:val="20"/>
                <w:color w:val="auto"/>
              </w:rPr>
            </w:pPr>
            <w:r>
              <w:rPr>
                <w:rFonts w:ascii="Courier New" w:cs="Courier New" w:eastAsia="Courier New" w:hAnsi="Courier New"/>
                <w:sz w:val="15"/>
                <w:szCs w:val="15"/>
                <w:color w:val="auto"/>
              </w:rPr>
              <w:t>4.4</w:t>
            </w:r>
          </w:p>
        </w:tc>
        <w:tc>
          <w:tcPr>
            <w:tcW w:w="5820" w:type="dxa"/>
            <w:vAlign w:val="bottom"/>
          </w:tcPr>
          <w:p>
            <w:pPr>
              <w:ind w:left="300"/>
              <w:spacing w:after="0"/>
              <w:rPr>
                <w:sz w:val="20"/>
                <w:szCs w:val="20"/>
                <w:color w:val="auto"/>
              </w:rPr>
            </w:pPr>
            <w:r>
              <w:rPr>
                <w:rFonts w:ascii="Courier New" w:cs="Courier New" w:eastAsia="Courier New" w:hAnsi="Courier New"/>
                <w:sz w:val="15"/>
                <w:szCs w:val="15"/>
                <w:color w:val="auto"/>
              </w:rPr>
              <w:t>Credit Agreement dated as of May 3, 2002 among Comcast Cable</w:t>
            </w:r>
          </w:p>
        </w:tc>
      </w:tr>
      <w:tr>
        <w:trPr>
          <w:trHeight w:val="168"/>
        </w:trPr>
        <w:tc>
          <w:tcPr>
            <w:tcW w:w="1100" w:type="dxa"/>
            <w:vAlign w:val="bottom"/>
          </w:tcPr>
          <w:p>
            <w:pPr>
              <w:spacing w:after="0"/>
              <w:rPr>
                <w:sz w:val="14"/>
                <w:szCs w:val="14"/>
                <w:color w:val="auto"/>
              </w:rPr>
            </w:pPr>
          </w:p>
        </w:tc>
        <w:tc>
          <w:tcPr>
            <w:tcW w:w="582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w w:val="96"/>
              </w:rPr>
              <w:t>Communications Holdings, Inc. (formerly known as AT&amp;T Broadband</w:t>
            </w:r>
          </w:p>
        </w:tc>
      </w:tr>
      <w:tr>
        <w:trPr>
          <w:trHeight w:val="168"/>
        </w:trPr>
        <w:tc>
          <w:tcPr>
            <w:tcW w:w="1100" w:type="dxa"/>
            <w:vAlign w:val="bottom"/>
          </w:tcPr>
          <w:p>
            <w:pPr>
              <w:spacing w:after="0"/>
              <w:rPr>
                <w:sz w:val="14"/>
                <w:szCs w:val="14"/>
                <w:color w:val="auto"/>
              </w:rPr>
            </w:pPr>
          </w:p>
        </w:tc>
        <w:tc>
          <w:tcPr>
            <w:tcW w:w="582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Corp.), Comcast Corporation (formerly known as AT&amp;T Comcast</w:t>
            </w:r>
          </w:p>
        </w:tc>
      </w:tr>
      <w:tr>
        <w:trPr>
          <w:trHeight w:val="168"/>
        </w:trPr>
        <w:tc>
          <w:tcPr>
            <w:tcW w:w="1100" w:type="dxa"/>
            <w:vAlign w:val="bottom"/>
          </w:tcPr>
          <w:p>
            <w:pPr>
              <w:spacing w:after="0"/>
              <w:rPr>
                <w:sz w:val="14"/>
                <w:szCs w:val="14"/>
                <w:color w:val="auto"/>
              </w:rPr>
            </w:pPr>
          </w:p>
        </w:tc>
        <w:tc>
          <w:tcPr>
            <w:tcW w:w="582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Corporation), the Financial Institutions party thereto, JP</w:t>
            </w:r>
          </w:p>
        </w:tc>
      </w:tr>
      <w:tr>
        <w:trPr>
          <w:trHeight w:val="168"/>
        </w:trPr>
        <w:tc>
          <w:tcPr>
            <w:tcW w:w="1100" w:type="dxa"/>
            <w:vAlign w:val="bottom"/>
          </w:tcPr>
          <w:p>
            <w:pPr>
              <w:spacing w:after="0"/>
              <w:rPr>
                <w:sz w:val="14"/>
                <w:szCs w:val="14"/>
                <w:color w:val="auto"/>
              </w:rPr>
            </w:pPr>
          </w:p>
        </w:tc>
        <w:tc>
          <w:tcPr>
            <w:tcW w:w="582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Morgan Chase Bank, as Administrative Agent, Citibank, N.A.,</w:t>
            </w:r>
          </w:p>
        </w:tc>
      </w:tr>
      <w:tr>
        <w:trPr>
          <w:trHeight w:val="168"/>
        </w:trPr>
        <w:tc>
          <w:tcPr>
            <w:tcW w:w="1100" w:type="dxa"/>
            <w:vAlign w:val="bottom"/>
          </w:tcPr>
          <w:p>
            <w:pPr>
              <w:spacing w:after="0"/>
              <w:rPr>
                <w:sz w:val="14"/>
                <w:szCs w:val="14"/>
                <w:color w:val="auto"/>
              </w:rPr>
            </w:pPr>
          </w:p>
        </w:tc>
        <w:tc>
          <w:tcPr>
            <w:tcW w:w="582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Bank of America, N.A., Merrill Lynch Capital Corporation and</w:t>
            </w:r>
          </w:p>
        </w:tc>
      </w:tr>
      <w:tr>
        <w:trPr>
          <w:trHeight w:val="168"/>
        </w:trPr>
        <w:tc>
          <w:tcPr>
            <w:tcW w:w="1100" w:type="dxa"/>
            <w:vAlign w:val="bottom"/>
          </w:tcPr>
          <w:p>
            <w:pPr>
              <w:spacing w:after="0"/>
              <w:rPr>
                <w:sz w:val="14"/>
                <w:szCs w:val="14"/>
                <w:color w:val="auto"/>
              </w:rPr>
            </w:pPr>
          </w:p>
        </w:tc>
        <w:tc>
          <w:tcPr>
            <w:tcW w:w="582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Morgan Stanley Senior Funding, Inc.******</w:t>
            </w:r>
          </w:p>
        </w:tc>
      </w:tr>
      <w:tr>
        <w:trPr>
          <w:trHeight w:val="336"/>
        </w:trPr>
        <w:tc>
          <w:tcPr>
            <w:tcW w:w="1100" w:type="dxa"/>
            <w:vAlign w:val="bottom"/>
          </w:tcPr>
          <w:p>
            <w:pPr>
              <w:ind w:left="280"/>
              <w:spacing w:after="0"/>
              <w:rPr>
                <w:sz w:val="20"/>
                <w:szCs w:val="20"/>
                <w:color w:val="auto"/>
              </w:rPr>
            </w:pPr>
            <w:r>
              <w:rPr>
                <w:rFonts w:ascii="Courier New" w:cs="Courier New" w:eastAsia="Courier New" w:hAnsi="Courier New"/>
                <w:sz w:val="15"/>
                <w:szCs w:val="15"/>
                <w:color w:val="auto"/>
              </w:rPr>
              <w:t>4.5</w:t>
            </w:r>
          </w:p>
        </w:tc>
        <w:tc>
          <w:tcPr>
            <w:tcW w:w="5820" w:type="dxa"/>
            <w:vAlign w:val="bottom"/>
          </w:tcPr>
          <w:p>
            <w:pPr>
              <w:ind w:left="300"/>
              <w:spacing w:after="0"/>
              <w:rPr>
                <w:sz w:val="20"/>
                <w:szCs w:val="20"/>
                <w:color w:val="auto"/>
              </w:rPr>
            </w:pPr>
            <w:r>
              <w:rPr>
                <w:rFonts w:ascii="Courier New" w:cs="Courier New" w:eastAsia="Courier New" w:hAnsi="Courier New"/>
                <w:sz w:val="15"/>
                <w:szCs w:val="15"/>
                <w:color w:val="auto"/>
              </w:rPr>
              <w:t>Form of Senior Indenture among the Company, the cable</w:t>
            </w:r>
          </w:p>
        </w:tc>
      </w:tr>
      <w:tr>
        <w:trPr>
          <w:trHeight w:val="168"/>
        </w:trPr>
        <w:tc>
          <w:tcPr>
            <w:tcW w:w="1100" w:type="dxa"/>
            <w:vAlign w:val="bottom"/>
          </w:tcPr>
          <w:p>
            <w:pPr>
              <w:spacing w:after="0"/>
              <w:rPr>
                <w:sz w:val="14"/>
                <w:szCs w:val="14"/>
                <w:color w:val="auto"/>
              </w:rPr>
            </w:pPr>
          </w:p>
        </w:tc>
        <w:tc>
          <w:tcPr>
            <w:tcW w:w="582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w w:val="98"/>
              </w:rPr>
              <w:t>guarantors party thereto and The Bank of New York, as Trustee.</w:t>
            </w:r>
          </w:p>
        </w:tc>
      </w:tr>
      <w:tr>
        <w:trPr>
          <w:trHeight w:val="336"/>
        </w:trPr>
        <w:tc>
          <w:tcPr>
            <w:tcW w:w="1100" w:type="dxa"/>
            <w:vAlign w:val="bottom"/>
          </w:tcPr>
          <w:p>
            <w:pPr>
              <w:ind w:left="280"/>
              <w:spacing w:after="0"/>
              <w:rPr>
                <w:sz w:val="20"/>
                <w:szCs w:val="20"/>
                <w:color w:val="auto"/>
              </w:rPr>
            </w:pPr>
            <w:r>
              <w:rPr>
                <w:rFonts w:ascii="Courier New" w:cs="Courier New" w:eastAsia="Courier New" w:hAnsi="Courier New"/>
                <w:sz w:val="15"/>
                <w:szCs w:val="15"/>
                <w:color w:val="auto"/>
              </w:rPr>
              <w:t>4.6</w:t>
            </w:r>
          </w:p>
        </w:tc>
        <w:tc>
          <w:tcPr>
            <w:tcW w:w="5820" w:type="dxa"/>
            <w:vAlign w:val="bottom"/>
          </w:tcPr>
          <w:p>
            <w:pPr>
              <w:ind w:left="300"/>
              <w:spacing w:after="0"/>
              <w:rPr>
                <w:sz w:val="20"/>
                <w:szCs w:val="20"/>
                <w:color w:val="auto"/>
              </w:rPr>
            </w:pPr>
            <w:r>
              <w:rPr>
                <w:rFonts w:ascii="Courier New" w:cs="Courier New" w:eastAsia="Courier New" w:hAnsi="Courier New"/>
                <w:sz w:val="15"/>
                <w:szCs w:val="15"/>
                <w:color w:val="auto"/>
              </w:rPr>
              <w:t>Form of Subordinated Indenture among the Company, the cable</w:t>
            </w:r>
          </w:p>
        </w:tc>
      </w:tr>
      <w:tr>
        <w:trPr>
          <w:trHeight w:val="168"/>
        </w:trPr>
        <w:tc>
          <w:tcPr>
            <w:tcW w:w="1100" w:type="dxa"/>
            <w:vAlign w:val="bottom"/>
          </w:tcPr>
          <w:p>
            <w:pPr>
              <w:spacing w:after="0"/>
              <w:rPr>
                <w:sz w:val="14"/>
                <w:szCs w:val="14"/>
                <w:color w:val="auto"/>
              </w:rPr>
            </w:pPr>
          </w:p>
        </w:tc>
        <w:tc>
          <w:tcPr>
            <w:tcW w:w="582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w w:val="98"/>
              </w:rPr>
              <w:t>guarantors party thereto and The Bank of New York, as Trustee.</w:t>
            </w:r>
          </w:p>
        </w:tc>
      </w:tr>
      <w:tr>
        <w:trPr>
          <w:trHeight w:val="336"/>
        </w:trPr>
        <w:tc>
          <w:tcPr>
            <w:tcW w:w="1100" w:type="dxa"/>
            <w:vAlign w:val="bottom"/>
          </w:tcPr>
          <w:p>
            <w:pPr>
              <w:ind w:left="280"/>
              <w:spacing w:after="0"/>
              <w:rPr>
                <w:sz w:val="20"/>
                <w:szCs w:val="20"/>
                <w:color w:val="auto"/>
              </w:rPr>
            </w:pPr>
            <w:r>
              <w:rPr>
                <w:rFonts w:ascii="Courier New" w:cs="Courier New" w:eastAsia="Courier New" w:hAnsi="Courier New"/>
                <w:sz w:val="15"/>
                <w:szCs w:val="15"/>
                <w:color w:val="auto"/>
              </w:rPr>
              <w:t>4.7</w:t>
            </w:r>
          </w:p>
        </w:tc>
        <w:tc>
          <w:tcPr>
            <w:tcW w:w="5820" w:type="dxa"/>
            <w:vAlign w:val="bottom"/>
          </w:tcPr>
          <w:p>
            <w:pPr>
              <w:ind w:left="300"/>
              <w:spacing w:after="0"/>
              <w:rPr>
                <w:sz w:val="20"/>
                <w:szCs w:val="20"/>
                <w:color w:val="auto"/>
              </w:rPr>
            </w:pPr>
            <w:r>
              <w:rPr>
                <w:rFonts w:ascii="Courier New" w:cs="Courier New" w:eastAsia="Courier New" w:hAnsi="Courier New"/>
                <w:sz w:val="15"/>
                <w:szCs w:val="15"/>
                <w:color w:val="auto"/>
              </w:rPr>
              <w:t>Form of Senior Debt Security.</w:t>
            </w:r>
          </w:p>
        </w:tc>
      </w:tr>
      <w:tr>
        <w:trPr>
          <w:trHeight w:val="336"/>
        </w:trPr>
        <w:tc>
          <w:tcPr>
            <w:tcW w:w="1100" w:type="dxa"/>
            <w:vAlign w:val="bottom"/>
          </w:tcPr>
          <w:p>
            <w:pPr>
              <w:ind w:left="280"/>
              <w:spacing w:after="0"/>
              <w:rPr>
                <w:sz w:val="20"/>
                <w:szCs w:val="20"/>
                <w:color w:val="auto"/>
              </w:rPr>
            </w:pPr>
            <w:r>
              <w:rPr>
                <w:rFonts w:ascii="Courier New" w:cs="Courier New" w:eastAsia="Courier New" w:hAnsi="Courier New"/>
                <w:sz w:val="15"/>
                <w:szCs w:val="15"/>
                <w:color w:val="auto"/>
              </w:rPr>
              <w:t>4.8</w:t>
            </w:r>
          </w:p>
        </w:tc>
        <w:tc>
          <w:tcPr>
            <w:tcW w:w="5820" w:type="dxa"/>
            <w:vAlign w:val="bottom"/>
          </w:tcPr>
          <w:p>
            <w:pPr>
              <w:ind w:left="300"/>
              <w:spacing w:after="0"/>
              <w:rPr>
                <w:sz w:val="20"/>
                <w:szCs w:val="20"/>
                <w:color w:val="auto"/>
              </w:rPr>
            </w:pPr>
            <w:r>
              <w:rPr>
                <w:rFonts w:ascii="Courier New" w:cs="Courier New" w:eastAsia="Courier New" w:hAnsi="Courier New"/>
                <w:sz w:val="15"/>
                <w:szCs w:val="15"/>
                <w:color w:val="auto"/>
              </w:rPr>
              <w:t>Form of Subordinated Debt Security.</w:t>
            </w:r>
          </w:p>
        </w:tc>
      </w:tr>
      <w:tr>
        <w:trPr>
          <w:trHeight w:val="336"/>
        </w:trPr>
        <w:tc>
          <w:tcPr>
            <w:tcW w:w="1100" w:type="dxa"/>
            <w:vAlign w:val="bottom"/>
          </w:tcPr>
          <w:p>
            <w:pPr>
              <w:ind w:left="280"/>
              <w:spacing w:after="0"/>
              <w:rPr>
                <w:sz w:val="20"/>
                <w:szCs w:val="20"/>
                <w:color w:val="auto"/>
              </w:rPr>
            </w:pPr>
            <w:r>
              <w:rPr>
                <w:rFonts w:ascii="Courier New" w:cs="Courier New" w:eastAsia="Courier New" w:hAnsi="Courier New"/>
                <w:sz w:val="15"/>
                <w:szCs w:val="15"/>
                <w:color w:val="auto"/>
              </w:rPr>
              <w:t>4.9</w:t>
            </w:r>
          </w:p>
        </w:tc>
        <w:tc>
          <w:tcPr>
            <w:tcW w:w="5820" w:type="dxa"/>
            <w:vAlign w:val="bottom"/>
          </w:tcPr>
          <w:p>
            <w:pPr>
              <w:ind w:left="300"/>
              <w:spacing w:after="0"/>
              <w:rPr>
                <w:sz w:val="20"/>
                <w:szCs w:val="20"/>
                <w:color w:val="auto"/>
              </w:rPr>
            </w:pPr>
            <w:r>
              <w:rPr>
                <w:rFonts w:ascii="Courier New" w:cs="Courier New" w:eastAsia="Courier New" w:hAnsi="Courier New"/>
                <w:sz w:val="15"/>
                <w:szCs w:val="15"/>
                <w:color w:val="auto"/>
              </w:rPr>
              <w:t>Form of Purchase Contract Agreement relating to Purchase</w:t>
            </w:r>
          </w:p>
        </w:tc>
      </w:tr>
      <w:tr>
        <w:trPr>
          <w:trHeight w:val="168"/>
        </w:trPr>
        <w:tc>
          <w:tcPr>
            <w:tcW w:w="1100" w:type="dxa"/>
            <w:vAlign w:val="bottom"/>
          </w:tcPr>
          <w:p>
            <w:pPr>
              <w:spacing w:after="0"/>
              <w:rPr>
                <w:sz w:val="14"/>
                <w:szCs w:val="14"/>
                <w:color w:val="auto"/>
              </w:rPr>
            </w:pPr>
          </w:p>
        </w:tc>
        <w:tc>
          <w:tcPr>
            <w:tcW w:w="582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Contracts (to be included in Exhibit 4.10).</w:t>
            </w:r>
          </w:p>
        </w:tc>
      </w:tr>
      <w:tr>
        <w:trPr>
          <w:trHeight w:val="336"/>
        </w:trPr>
        <w:tc>
          <w:tcPr>
            <w:tcW w:w="1100" w:type="dxa"/>
            <w:vAlign w:val="bottom"/>
          </w:tcPr>
          <w:p>
            <w:pPr>
              <w:ind w:left="280"/>
              <w:spacing w:after="0"/>
              <w:rPr>
                <w:sz w:val="20"/>
                <w:szCs w:val="20"/>
                <w:color w:val="auto"/>
              </w:rPr>
            </w:pPr>
            <w:r>
              <w:rPr>
                <w:rFonts w:ascii="Courier New" w:cs="Courier New" w:eastAsia="Courier New" w:hAnsi="Courier New"/>
                <w:sz w:val="15"/>
                <w:szCs w:val="15"/>
                <w:color w:val="auto"/>
              </w:rPr>
              <w:t>4.10</w:t>
            </w:r>
          </w:p>
        </w:tc>
        <w:tc>
          <w:tcPr>
            <w:tcW w:w="5820" w:type="dxa"/>
            <w:vAlign w:val="bottom"/>
          </w:tcPr>
          <w:p>
            <w:pPr>
              <w:ind w:left="300"/>
              <w:spacing w:after="0"/>
              <w:rPr>
                <w:sz w:val="20"/>
                <w:szCs w:val="20"/>
                <w:color w:val="auto"/>
              </w:rPr>
            </w:pPr>
            <w:r>
              <w:rPr>
                <w:rFonts w:ascii="Courier New" w:cs="Courier New" w:eastAsia="Courier New" w:hAnsi="Courier New"/>
                <w:sz w:val="15"/>
                <w:szCs w:val="15"/>
                <w:color w:val="auto"/>
              </w:rPr>
              <w:t>Form of Unit Agreement.*</w:t>
            </w:r>
          </w:p>
        </w:tc>
      </w:tr>
      <w:tr>
        <w:trPr>
          <w:trHeight w:val="336"/>
        </w:trPr>
        <w:tc>
          <w:tcPr>
            <w:tcW w:w="1100" w:type="dxa"/>
            <w:vAlign w:val="bottom"/>
          </w:tcPr>
          <w:p>
            <w:pPr>
              <w:ind w:left="280"/>
              <w:spacing w:after="0"/>
              <w:rPr>
                <w:sz w:val="20"/>
                <w:szCs w:val="20"/>
                <w:color w:val="auto"/>
              </w:rPr>
            </w:pPr>
            <w:r>
              <w:rPr>
                <w:rFonts w:ascii="Courier New" w:cs="Courier New" w:eastAsia="Courier New" w:hAnsi="Courier New"/>
                <w:sz w:val="15"/>
                <w:szCs w:val="15"/>
                <w:color w:val="auto"/>
              </w:rPr>
              <w:t>4.11</w:t>
            </w:r>
          </w:p>
        </w:tc>
        <w:tc>
          <w:tcPr>
            <w:tcW w:w="5820" w:type="dxa"/>
            <w:vAlign w:val="bottom"/>
          </w:tcPr>
          <w:p>
            <w:pPr>
              <w:ind w:left="300"/>
              <w:spacing w:after="0"/>
              <w:rPr>
                <w:sz w:val="20"/>
                <w:szCs w:val="20"/>
                <w:color w:val="auto"/>
              </w:rPr>
            </w:pPr>
            <w:r>
              <w:rPr>
                <w:rFonts w:ascii="Courier New" w:cs="Courier New" w:eastAsia="Courier New" w:hAnsi="Courier New"/>
                <w:sz w:val="15"/>
                <w:szCs w:val="15"/>
                <w:color w:val="auto"/>
              </w:rPr>
              <w:t>Form of Warrant Agreement for Warrants sold separately.*</w:t>
            </w:r>
          </w:p>
        </w:tc>
      </w:tr>
      <w:tr>
        <w:trPr>
          <w:trHeight w:val="336"/>
        </w:trPr>
        <w:tc>
          <w:tcPr>
            <w:tcW w:w="1100" w:type="dxa"/>
            <w:vAlign w:val="bottom"/>
          </w:tcPr>
          <w:p>
            <w:pPr>
              <w:ind w:left="280"/>
              <w:spacing w:after="0"/>
              <w:rPr>
                <w:sz w:val="20"/>
                <w:szCs w:val="20"/>
                <w:color w:val="auto"/>
              </w:rPr>
            </w:pPr>
            <w:r>
              <w:rPr>
                <w:rFonts w:ascii="Courier New" w:cs="Courier New" w:eastAsia="Courier New" w:hAnsi="Courier New"/>
                <w:sz w:val="15"/>
                <w:szCs w:val="15"/>
                <w:color w:val="auto"/>
              </w:rPr>
              <w:t>4.12</w:t>
            </w:r>
          </w:p>
        </w:tc>
        <w:tc>
          <w:tcPr>
            <w:tcW w:w="5820" w:type="dxa"/>
            <w:vAlign w:val="bottom"/>
          </w:tcPr>
          <w:p>
            <w:pPr>
              <w:ind w:left="300"/>
              <w:spacing w:after="0"/>
              <w:rPr>
                <w:sz w:val="20"/>
                <w:szCs w:val="20"/>
                <w:color w:val="auto"/>
              </w:rPr>
            </w:pPr>
            <w:r>
              <w:rPr>
                <w:rFonts w:ascii="Courier New" w:cs="Courier New" w:eastAsia="Courier New" w:hAnsi="Courier New"/>
                <w:sz w:val="15"/>
                <w:szCs w:val="15"/>
                <w:color w:val="auto"/>
                <w:w w:val="96"/>
              </w:rPr>
              <w:t>Form of Warrant for Warrants sold separately (to be included in</w:t>
            </w:r>
          </w:p>
        </w:tc>
      </w:tr>
      <w:tr>
        <w:trPr>
          <w:trHeight w:val="168"/>
        </w:trPr>
        <w:tc>
          <w:tcPr>
            <w:tcW w:w="1100" w:type="dxa"/>
            <w:vAlign w:val="bottom"/>
          </w:tcPr>
          <w:p>
            <w:pPr>
              <w:spacing w:after="0"/>
              <w:rPr>
                <w:sz w:val="14"/>
                <w:szCs w:val="14"/>
                <w:color w:val="auto"/>
              </w:rPr>
            </w:pPr>
          </w:p>
        </w:tc>
        <w:tc>
          <w:tcPr>
            <w:tcW w:w="582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Exhibit 4.11).</w:t>
            </w:r>
          </w:p>
        </w:tc>
      </w:tr>
      <w:tr>
        <w:trPr>
          <w:trHeight w:val="336"/>
        </w:trPr>
        <w:tc>
          <w:tcPr>
            <w:tcW w:w="1100" w:type="dxa"/>
            <w:vAlign w:val="bottom"/>
          </w:tcPr>
          <w:p>
            <w:pPr>
              <w:ind w:left="280"/>
              <w:spacing w:after="0"/>
              <w:rPr>
                <w:sz w:val="20"/>
                <w:szCs w:val="20"/>
                <w:color w:val="auto"/>
              </w:rPr>
            </w:pPr>
            <w:r>
              <w:rPr>
                <w:rFonts w:ascii="Courier New" w:cs="Courier New" w:eastAsia="Courier New" w:hAnsi="Courier New"/>
                <w:sz w:val="15"/>
                <w:szCs w:val="15"/>
                <w:color w:val="auto"/>
              </w:rPr>
              <w:t>4.13</w:t>
            </w:r>
          </w:p>
        </w:tc>
        <w:tc>
          <w:tcPr>
            <w:tcW w:w="5820" w:type="dxa"/>
            <w:vAlign w:val="bottom"/>
          </w:tcPr>
          <w:p>
            <w:pPr>
              <w:ind w:left="300"/>
              <w:spacing w:after="0"/>
              <w:rPr>
                <w:sz w:val="20"/>
                <w:szCs w:val="20"/>
                <w:color w:val="auto"/>
              </w:rPr>
            </w:pPr>
            <w:r>
              <w:rPr>
                <w:rFonts w:ascii="Courier New" w:cs="Courier New" w:eastAsia="Courier New" w:hAnsi="Courier New"/>
                <w:sz w:val="15"/>
                <w:szCs w:val="15"/>
                <w:color w:val="auto"/>
              </w:rPr>
              <w:t>Form of Warrant Agreement for Warrants sold attached to other</w:t>
            </w:r>
          </w:p>
        </w:tc>
      </w:tr>
      <w:tr>
        <w:trPr>
          <w:trHeight w:val="168"/>
        </w:trPr>
        <w:tc>
          <w:tcPr>
            <w:tcW w:w="1100" w:type="dxa"/>
            <w:vAlign w:val="bottom"/>
          </w:tcPr>
          <w:p>
            <w:pPr>
              <w:spacing w:after="0"/>
              <w:rPr>
                <w:sz w:val="14"/>
                <w:szCs w:val="14"/>
                <w:color w:val="auto"/>
              </w:rPr>
            </w:pPr>
          </w:p>
        </w:tc>
        <w:tc>
          <w:tcPr>
            <w:tcW w:w="582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Securities.*</w:t>
            </w:r>
          </w:p>
        </w:tc>
      </w:tr>
      <w:tr>
        <w:trPr>
          <w:trHeight w:val="336"/>
        </w:trPr>
        <w:tc>
          <w:tcPr>
            <w:tcW w:w="1100" w:type="dxa"/>
            <w:vAlign w:val="bottom"/>
          </w:tcPr>
          <w:p>
            <w:pPr>
              <w:ind w:left="280"/>
              <w:spacing w:after="0"/>
              <w:rPr>
                <w:sz w:val="20"/>
                <w:szCs w:val="20"/>
                <w:color w:val="auto"/>
              </w:rPr>
            </w:pPr>
            <w:r>
              <w:rPr>
                <w:rFonts w:ascii="Courier New" w:cs="Courier New" w:eastAsia="Courier New" w:hAnsi="Courier New"/>
                <w:sz w:val="15"/>
                <w:szCs w:val="15"/>
                <w:color w:val="auto"/>
              </w:rPr>
              <w:t>4.14</w:t>
            </w:r>
          </w:p>
        </w:tc>
        <w:tc>
          <w:tcPr>
            <w:tcW w:w="5820" w:type="dxa"/>
            <w:vAlign w:val="bottom"/>
          </w:tcPr>
          <w:p>
            <w:pPr>
              <w:ind w:left="300"/>
              <w:spacing w:after="0"/>
              <w:rPr>
                <w:sz w:val="20"/>
                <w:szCs w:val="20"/>
                <w:color w:val="auto"/>
              </w:rPr>
            </w:pPr>
            <w:r>
              <w:rPr>
                <w:rFonts w:ascii="Courier New" w:cs="Courier New" w:eastAsia="Courier New" w:hAnsi="Courier New"/>
                <w:sz w:val="15"/>
                <w:szCs w:val="15"/>
                <w:color w:val="auto"/>
                <w:w w:val="98"/>
              </w:rPr>
              <w:t>Form of Warrant for Warrants sold attached to other Securities</w:t>
            </w:r>
          </w:p>
        </w:tc>
      </w:tr>
      <w:tr>
        <w:trPr>
          <w:trHeight w:val="168"/>
        </w:trPr>
        <w:tc>
          <w:tcPr>
            <w:tcW w:w="1100" w:type="dxa"/>
            <w:vAlign w:val="bottom"/>
          </w:tcPr>
          <w:p>
            <w:pPr>
              <w:spacing w:after="0"/>
              <w:rPr>
                <w:sz w:val="14"/>
                <w:szCs w:val="14"/>
                <w:color w:val="auto"/>
              </w:rPr>
            </w:pPr>
          </w:p>
        </w:tc>
        <w:tc>
          <w:tcPr>
            <w:tcW w:w="582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(to be included in Exhibit 4.13).</w:t>
            </w:r>
          </w:p>
        </w:tc>
      </w:tr>
      <w:tr>
        <w:trPr>
          <w:trHeight w:val="336"/>
        </w:trPr>
        <w:tc>
          <w:tcPr>
            <w:tcW w:w="1100" w:type="dxa"/>
            <w:vAlign w:val="bottom"/>
          </w:tcPr>
          <w:p>
            <w:pPr>
              <w:ind w:left="280"/>
              <w:spacing w:after="0"/>
              <w:rPr>
                <w:sz w:val="20"/>
                <w:szCs w:val="20"/>
                <w:color w:val="auto"/>
              </w:rPr>
            </w:pPr>
            <w:r>
              <w:rPr>
                <w:rFonts w:ascii="Courier New" w:cs="Courier New" w:eastAsia="Courier New" w:hAnsi="Courier New"/>
                <w:sz w:val="15"/>
                <w:szCs w:val="15"/>
                <w:color w:val="auto"/>
              </w:rPr>
              <w:t>4.15</w:t>
            </w:r>
          </w:p>
        </w:tc>
        <w:tc>
          <w:tcPr>
            <w:tcW w:w="5820" w:type="dxa"/>
            <w:vAlign w:val="bottom"/>
          </w:tcPr>
          <w:p>
            <w:pPr>
              <w:ind w:left="300"/>
              <w:spacing w:after="0"/>
              <w:rPr>
                <w:sz w:val="20"/>
                <w:szCs w:val="20"/>
                <w:color w:val="auto"/>
              </w:rPr>
            </w:pPr>
            <w:r>
              <w:rPr>
                <w:rFonts w:ascii="Courier New" w:cs="Courier New" w:eastAsia="Courier New" w:hAnsi="Courier New"/>
                <w:sz w:val="15"/>
                <w:szCs w:val="15"/>
                <w:color w:val="auto"/>
              </w:rPr>
              <w:t>Form of Pledge Agreement.*</w:t>
            </w:r>
          </w:p>
        </w:tc>
      </w:tr>
      <w:tr>
        <w:trPr>
          <w:trHeight w:val="336"/>
        </w:trPr>
        <w:tc>
          <w:tcPr>
            <w:tcW w:w="1100" w:type="dxa"/>
            <w:vAlign w:val="bottom"/>
          </w:tcPr>
          <w:p>
            <w:pPr>
              <w:ind w:left="280"/>
              <w:spacing w:after="0"/>
              <w:rPr>
                <w:sz w:val="20"/>
                <w:szCs w:val="20"/>
                <w:color w:val="auto"/>
              </w:rPr>
            </w:pPr>
            <w:r>
              <w:rPr>
                <w:rFonts w:ascii="Courier New" w:cs="Courier New" w:eastAsia="Courier New" w:hAnsi="Courier New"/>
                <w:sz w:val="15"/>
                <w:szCs w:val="15"/>
                <w:color w:val="auto"/>
              </w:rPr>
              <w:t>4.16</w:t>
            </w:r>
          </w:p>
        </w:tc>
        <w:tc>
          <w:tcPr>
            <w:tcW w:w="5820" w:type="dxa"/>
            <w:vAlign w:val="bottom"/>
          </w:tcPr>
          <w:p>
            <w:pPr>
              <w:ind w:left="300"/>
              <w:spacing w:after="0"/>
              <w:rPr>
                <w:sz w:val="20"/>
                <w:szCs w:val="20"/>
                <w:color w:val="auto"/>
              </w:rPr>
            </w:pPr>
            <w:r>
              <w:rPr>
                <w:rFonts w:ascii="Courier New" w:cs="Courier New" w:eastAsia="Courier New" w:hAnsi="Courier New"/>
                <w:sz w:val="15"/>
                <w:szCs w:val="15"/>
                <w:color w:val="auto"/>
              </w:rPr>
              <w:t>Form of Deposit Agreement.</w:t>
            </w:r>
          </w:p>
        </w:tc>
      </w:tr>
      <w:tr>
        <w:trPr>
          <w:trHeight w:val="336"/>
        </w:trPr>
        <w:tc>
          <w:tcPr>
            <w:tcW w:w="1100" w:type="dxa"/>
            <w:vAlign w:val="bottom"/>
          </w:tcPr>
          <w:p>
            <w:pPr>
              <w:ind w:left="280"/>
              <w:spacing w:after="0"/>
              <w:rPr>
                <w:sz w:val="20"/>
                <w:szCs w:val="20"/>
                <w:color w:val="auto"/>
              </w:rPr>
            </w:pPr>
            <w:r>
              <w:rPr>
                <w:rFonts w:ascii="Courier New" w:cs="Courier New" w:eastAsia="Courier New" w:hAnsi="Courier New"/>
                <w:sz w:val="15"/>
                <w:szCs w:val="15"/>
                <w:color w:val="auto"/>
              </w:rPr>
              <w:t>4.17</w:t>
            </w:r>
          </w:p>
        </w:tc>
        <w:tc>
          <w:tcPr>
            <w:tcW w:w="5820" w:type="dxa"/>
            <w:vAlign w:val="bottom"/>
          </w:tcPr>
          <w:p>
            <w:pPr>
              <w:ind w:left="300"/>
              <w:spacing w:after="0"/>
              <w:rPr>
                <w:sz w:val="20"/>
                <w:szCs w:val="20"/>
                <w:color w:val="auto"/>
              </w:rPr>
            </w:pPr>
            <w:r>
              <w:rPr>
                <w:rFonts w:ascii="Courier New" w:cs="Courier New" w:eastAsia="Courier New" w:hAnsi="Courier New"/>
                <w:sz w:val="15"/>
                <w:szCs w:val="15"/>
                <w:color w:val="auto"/>
              </w:rPr>
              <w:t>Form of Depositary Share (included in Exhibit 4.16).</w:t>
            </w:r>
          </w:p>
        </w:tc>
      </w:tr>
      <w:tr>
        <w:trPr>
          <w:trHeight w:val="336"/>
        </w:trPr>
        <w:tc>
          <w:tcPr>
            <w:tcW w:w="1100" w:type="dxa"/>
            <w:vAlign w:val="bottom"/>
          </w:tcPr>
          <w:p>
            <w:pPr>
              <w:ind w:left="280"/>
              <w:spacing w:after="0"/>
              <w:rPr>
                <w:sz w:val="20"/>
                <w:szCs w:val="20"/>
                <w:color w:val="auto"/>
              </w:rPr>
            </w:pPr>
            <w:r>
              <w:rPr>
                <w:rFonts w:ascii="Courier New" w:cs="Courier New" w:eastAsia="Courier New" w:hAnsi="Courier New"/>
                <w:sz w:val="15"/>
                <w:szCs w:val="15"/>
                <w:color w:val="auto"/>
              </w:rPr>
              <w:t>4.18</w:t>
            </w:r>
          </w:p>
        </w:tc>
        <w:tc>
          <w:tcPr>
            <w:tcW w:w="5820" w:type="dxa"/>
            <w:vAlign w:val="bottom"/>
          </w:tcPr>
          <w:p>
            <w:pPr>
              <w:ind w:left="300"/>
              <w:spacing w:after="0"/>
              <w:rPr>
                <w:sz w:val="20"/>
                <w:szCs w:val="20"/>
                <w:color w:val="auto"/>
              </w:rPr>
            </w:pPr>
            <w:r>
              <w:rPr>
                <w:rFonts w:ascii="Courier New" w:cs="Courier New" w:eastAsia="Courier New" w:hAnsi="Courier New"/>
                <w:sz w:val="15"/>
                <w:szCs w:val="15"/>
                <w:color w:val="auto"/>
              </w:rPr>
              <w:t>Form of Guarantee (Warrants, Purchase Contracts and Units).*</w:t>
            </w:r>
          </w:p>
        </w:tc>
      </w:tr>
      <w:tr>
        <w:trPr>
          <w:trHeight w:val="336"/>
        </w:trPr>
        <w:tc>
          <w:tcPr>
            <w:tcW w:w="1100" w:type="dxa"/>
            <w:vAlign w:val="bottom"/>
          </w:tcPr>
          <w:p>
            <w:pPr>
              <w:ind w:left="280"/>
              <w:spacing w:after="0"/>
              <w:rPr>
                <w:sz w:val="20"/>
                <w:szCs w:val="20"/>
                <w:color w:val="auto"/>
              </w:rPr>
            </w:pPr>
            <w:r>
              <w:rPr>
                <w:rFonts w:ascii="Courier New" w:cs="Courier New" w:eastAsia="Courier New" w:hAnsi="Courier New"/>
                <w:sz w:val="15"/>
                <w:szCs w:val="15"/>
                <w:color w:val="auto"/>
              </w:rPr>
              <w:t>5.1</w:t>
            </w:r>
          </w:p>
        </w:tc>
        <w:tc>
          <w:tcPr>
            <w:tcW w:w="5820" w:type="dxa"/>
            <w:vAlign w:val="bottom"/>
          </w:tcPr>
          <w:p>
            <w:pPr>
              <w:ind w:left="300"/>
              <w:spacing w:after="0"/>
              <w:rPr>
                <w:sz w:val="20"/>
                <w:szCs w:val="20"/>
                <w:color w:val="auto"/>
              </w:rPr>
            </w:pPr>
            <w:r>
              <w:rPr>
                <w:rFonts w:ascii="Courier New" w:cs="Courier New" w:eastAsia="Courier New" w:hAnsi="Courier New"/>
                <w:sz w:val="15"/>
                <w:szCs w:val="15"/>
                <w:color w:val="auto"/>
              </w:rPr>
              <w:t>Opinion of Arthur R. Block, Esquire.*</w:t>
            </w:r>
          </w:p>
        </w:tc>
      </w:tr>
      <w:tr>
        <w:trPr>
          <w:trHeight w:val="336"/>
        </w:trPr>
        <w:tc>
          <w:tcPr>
            <w:tcW w:w="1100" w:type="dxa"/>
            <w:vAlign w:val="bottom"/>
          </w:tcPr>
          <w:p>
            <w:pPr>
              <w:ind w:left="280"/>
              <w:spacing w:after="0"/>
              <w:rPr>
                <w:sz w:val="20"/>
                <w:szCs w:val="20"/>
                <w:color w:val="auto"/>
              </w:rPr>
            </w:pPr>
            <w:r>
              <w:rPr>
                <w:rFonts w:ascii="Courier New" w:cs="Courier New" w:eastAsia="Courier New" w:hAnsi="Courier New"/>
                <w:sz w:val="15"/>
                <w:szCs w:val="15"/>
                <w:color w:val="auto"/>
              </w:rPr>
              <w:t>5.2</w:t>
            </w:r>
          </w:p>
        </w:tc>
        <w:tc>
          <w:tcPr>
            <w:tcW w:w="5820" w:type="dxa"/>
            <w:vAlign w:val="bottom"/>
          </w:tcPr>
          <w:p>
            <w:pPr>
              <w:ind w:left="300"/>
              <w:spacing w:after="0"/>
              <w:rPr>
                <w:sz w:val="20"/>
                <w:szCs w:val="20"/>
                <w:color w:val="auto"/>
              </w:rPr>
            </w:pPr>
            <w:r>
              <w:rPr>
                <w:rFonts w:ascii="Courier New" w:cs="Courier New" w:eastAsia="Courier New" w:hAnsi="Courier New"/>
                <w:sz w:val="15"/>
                <w:szCs w:val="15"/>
                <w:color w:val="auto"/>
              </w:rPr>
              <w:t>Opinion of Davis Polk &amp; Wardwell.*</w:t>
            </w:r>
          </w:p>
        </w:tc>
      </w:tr>
      <w:tr>
        <w:trPr>
          <w:trHeight w:val="336"/>
        </w:trPr>
        <w:tc>
          <w:tcPr>
            <w:tcW w:w="1100" w:type="dxa"/>
            <w:vAlign w:val="bottom"/>
          </w:tcPr>
          <w:p>
            <w:pPr>
              <w:ind w:left="280"/>
              <w:spacing w:after="0"/>
              <w:rPr>
                <w:sz w:val="20"/>
                <w:szCs w:val="20"/>
                <w:color w:val="auto"/>
              </w:rPr>
            </w:pPr>
            <w:r>
              <w:rPr>
                <w:rFonts w:ascii="Courier New" w:cs="Courier New" w:eastAsia="Courier New" w:hAnsi="Courier New"/>
                <w:sz w:val="15"/>
                <w:szCs w:val="15"/>
                <w:color w:val="auto"/>
              </w:rPr>
              <w:t>12.1</w:t>
            </w:r>
          </w:p>
        </w:tc>
        <w:tc>
          <w:tcPr>
            <w:tcW w:w="5820" w:type="dxa"/>
            <w:vAlign w:val="bottom"/>
          </w:tcPr>
          <w:p>
            <w:pPr>
              <w:ind w:left="300"/>
              <w:spacing w:after="0"/>
              <w:rPr>
                <w:sz w:val="20"/>
                <w:szCs w:val="20"/>
                <w:color w:val="auto"/>
              </w:rPr>
            </w:pPr>
            <w:r>
              <w:rPr>
                <w:rFonts w:ascii="Courier New" w:cs="Courier New" w:eastAsia="Courier New" w:hAnsi="Courier New"/>
                <w:sz w:val="15"/>
                <w:szCs w:val="15"/>
                <w:color w:val="auto"/>
              </w:rPr>
              <w:t>Statement Regarding Computation of Ratio of Earnings to Fixed</w:t>
            </w:r>
          </w:p>
        </w:tc>
      </w:tr>
      <w:tr>
        <w:trPr>
          <w:trHeight w:val="168"/>
        </w:trPr>
        <w:tc>
          <w:tcPr>
            <w:tcW w:w="1100" w:type="dxa"/>
            <w:vAlign w:val="bottom"/>
          </w:tcPr>
          <w:p>
            <w:pPr>
              <w:spacing w:after="0"/>
              <w:rPr>
                <w:sz w:val="14"/>
                <w:szCs w:val="14"/>
                <w:color w:val="auto"/>
              </w:rPr>
            </w:pPr>
          </w:p>
        </w:tc>
        <w:tc>
          <w:tcPr>
            <w:tcW w:w="582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Charges of Comcast Corporation.</w:t>
            </w:r>
          </w:p>
        </w:tc>
      </w:tr>
      <w:tr>
        <w:trPr>
          <w:trHeight w:val="336"/>
        </w:trPr>
        <w:tc>
          <w:tcPr>
            <w:tcW w:w="1100" w:type="dxa"/>
            <w:vAlign w:val="bottom"/>
          </w:tcPr>
          <w:p>
            <w:pPr>
              <w:ind w:left="280"/>
              <w:spacing w:after="0"/>
              <w:rPr>
                <w:sz w:val="20"/>
                <w:szCs w:val="20"/>
                <w:color w:val="auto"/>
              </w:rPr>
            </w:pPr>
            <w:r>
              <w:rPr>
                <w:rFonts w:ascii="Courier New" w:cs="Courier New" w:eastAsia="Courier New" w:hAnsi="Courier New"/>
                <w:sz w:val="15"/>
                <w:szCs w:val="15"/>
                <w:color w:val="auto"/>
              </w:rPr>
              <w:t>12.2</w:t>
            </w:r>
          </w:p>
        </w:tc>
        <w:tc>
          <w:tcPr>
            <w:tcW w:w="5820" w:type="dxa"/>
            <w:vAlign w:val="bottom"/>
          </w:tcPr>
          <w:p>
            <w:pPr>
              <w:ind w:left="300"/>
              <w:spacing w:after="0"/>
              <w:rPr>
                <w:sz w:val="20"/>
                <w:szCs w:val="20"/>
                <w:color w:val="auto"/>
              </w:rPr>
            </w:pPr>
            <w:r>
              <w:rPr>
                <w:rFonts w:ascii="Courier New" w:cs="Courier New" w:eastAsia="Courier New" w:hAnsi="Courier New"/>
                <w:sz w:val="15"/>
                <w:szCs w:val="15"/>
                <w:color w:val="auto"/>
              </w:rPr>
              <w:t>Statement Regarding Computation of Ratio of Earnings to Fixed</w:t>
            </w:r>
          </w:p>
        </w:tc>
      </w:tr>
      <w:tr>
        <w:trPr>
          <w:trHeight w:val="168"/>
        </w:trPr>
        <w:tc>
          <w:tcPr>
            <w:tcW w:w="1100" w:type="dxa"/>
            <w:vAlign w:val="bottom"/>
          </w:tcPr>
          <w:p>
            <w:pPr>
              <w:spacing w:after="0"/>
              <w:rPr>
                <w:sz w:val="14"/>
                <w:szCs w:val="14"/>
                <w:color w:val="auto"/>
              </w:rPr>
            </w:pPr>
          </w:p>
        </w:tc>
        <w:tc>
          <w:tcPr>
            <w:tcW w:w="582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Charges of Comcast Cable Communications, Inc.</w:t>
            </w:r>
          </w:p>
        </w:tc>
      </w:tr>
      <w:tr>
        <w:trPr>
          <w:trHeight w:val="336"/>
        </w:trPr>
        <w:tc>
          <w:tcPr>
            <w:tcW w:w="1100" w:type="dxa"/>
            <w:vAlign w:val="bottom"/>
          </w:tcPr>
          <w:p>
            <w:pPr>
              <w:ind w:left="280"/>
              <w:spacing w:after="0"/>
              <w:rPr>
                <w:sz w:val="20"/>
                <w:szCs w:val="20"/>
                <w:color w:val="auto"/>
              </w:rPr>
            </w:pPr>
            <w:r>
              <w:rPr>
                <w:rFonts w:ascii="Courier New" w:cs="Courier New" w:eastAsia="Courier New" w:hAnsi="Courier New"/>
                <w:sz w:val="15"/>
                <w:szCs w:val="15"/>
                <w:color w:val="auto"/>
              </w:rPr>
              <w:t>12.3</w:t>
            </w:r>
          </w:p>
        </w:tc>
        <w:tc>
          <w:tcPr>
            <w:tcW w:w="5820" w:type="dxa"/>
            <w:vAlign w:val="bottom"/>
          </w:tcPr>
          <w:p>
            <w:pPr>
              <w:ind w:left="300"/>
              <w:spacing w:after="0"/>
              <w:rPr>
                <w:sz w:val="20"/>
                <w:szCs w:val="20"/>
                <w:color w:val="auto"/>
              </w:rPr>
            </w:pPr>
            <w:r>
              <w:rPr>
                <w:rFonts w:ascii="Courier New" w:cs="Courier New" w:eastAsia="Courier New" w:hAnsi="Courier New"/>
                <w:sz w:val="15"/>
                <w:szCs w:val="15"/>
                <w:color w:val="auto"/>
              </w:rPr>
              <w:t>Statement Regarding Computation of Ratio of Earnings to Fixed</w:t>
            </w:r>
          </w:p>
        </w:tc>
      </w:tr>
      <w:tr>
        <w:trPr>
          <w:trHeight w:val="168"/>
        </w:trPr>
        <w:tc>
          <w:tcPr>
            <w:tcW w:w="1100" w:type="dxa"/>
            <w:vAlign w:val="bottom"/>
          </w:tcPr>
          <w:p>
            <w:pPr>
              <w:spacing w:after="0"/>
              <w:rPr>
                <w:sz w:val="14"/>
                <w:szCs w:val="14"/>
                <w:color w:val="auto"/>
              </w:rPr>
            </w:pPr>
          </w:p>
        </w:tc>
        <w:tc>
          <w:tcPr>
            <w:tcW w:w="582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Charges of Comcast Cable Communications Holdings, Inc.</w:t>
            </w:r>
          </w:p>
        </w:tc>
      </w:tr>
      <w:tr>
        <w:trPr>
          <w:trHeight w:val="505"/>
        </w:trPr>
        <w:tc>
          <w:tcPr>
            <w:tcW w:w="1100" w:type="dxa"/>
            <w:vAlign w:val="bottom"/>
          </w:tcPr>
          <w:p>
            <w:pPr>
              <w:spacing w:after="0"/>
              <w:rPr>
                <w:sz w:val="24"/>
                <w:szCs w:val="24"/>
                <w:color w:val="auto"/>
              </w:rPr>
            </w:pPr>
          </w:p>
        </w:tc>
        <w:tc>
          <w:tcPr>
            <w:tcW w:w="5820" w:type="dxa"/>
            <w:vAlign w:val="bottom"/>
          </w:tcPr>
          <w:p>
            <w:pPr>
              <w:ind w:left="2140"/>
              <w:spacing w:after="0"/>
              <w:rPr>
                <w:sz w:val="20"/>
                <w:szCs w:val="20"/>
                <w:color w:val="auto"/>
              </w:rPr>
            </w:pPr>
            <w:r>
              <w:rPr>
                <w:rFonts w:ascii="Courier New" w:cs="Courier New" w:eastAsia="Courier New" w:hAnsi="Courier New"/>
                <w:sz w:val="15"/>
                <w:szCs w:val="15"/>
                <w:color w:val="auto"/>
              </w:rPr>
              <w:t>II-18</w:t>
            </w:r>
          </w:p>
        </w:tc>
      </w:tr>
    </w:tbl>
    <w:p>
      <w:pPr>
        <w:sectPr>
          <w:pgSz w:w="11900" w:h="16838" w:orient="portrait"/>
          <w:cols w:equalWidth="0" w:num="1">
            <w:col w:w="10239"/>
          </w:cols>
          <w:pgMar w:left="220" w:top="785" w:right="1440" w:bottom="1440" w:gutter="0" w:footer="0" w:header="0"/>
        </w:sectPr>
      </w:pPr>
    </w:p>
    <w:bookmarkStart w:id="74" w:name="page75"/>
    <w:bookmarkEnd w:id="7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100" w:type="dxa"/>
            <w:vAlign w:val="bottom"/>
          </w:tcPr>
          <w:p>
            <w:pPr>
              <w:jc w:val="right"/>
              <w:ind w:right="407"/>
              <w:spacing w:after="0"/>
              <w:rPr>
                <w:sz w:val="20"/>
                <w:szCs w:val="20"/>
                <w:color w:val="auto"/>
              </w:rPr>
            </w:pPr>
            <w:r>
              <w:rPr>
                <w:rFonts w:ascii="Courier New" w:cs="Courier New" w:eastAsia="Courier New" w:hAnsi="Courier New"/>
                <w:sz w:val="15"/>
                <w:szCs w:val="15"/>
                <w:color w:val="auto"/>
                <w:w w:val="95"/>
              </w:rPr>
              <w:t>Exhibit</w:t>
            </w:r>
          </w:p>
        </w:tc>
        <w:tc>
          <w:tcPr>
            <w:tcW w:w="5820" w:type="dxa"/>
            <w:vAlign w:val="bottom"/>
          </w:tcPr>
          <w:p>
            <w:pPr>
              <w:spacing w:after="0"/>
              <w:rPr>
                <w:sz w:val="14"/>
                <w:szCs w:val="14"/>
                <w:color w:val="auto"/>
              </w:rPr>
            </w:pPr>
          </w:p>
        </w:tc>
      </w:tr>
      <w:tr>
        <w:trPr>
          <w:trHeight w:val="168"/>
        </w:trPr>
        <w:tc>
          <w:tcPr>
            <w:tcW w:w="1100" w:type="dxa"/>
            <w:vAlign w:val="bottom"/>
          </w:tcPr>
          <w:p>
            <w:pPr>
              <w:spacing w:after="0" w:line="168" w:lineRule="exact"/>
              <w:rPr>
                <w:sz w:val="20"/>
                <w:szCs w:val="20"/>
                <w:color w:val="auto"/>
              </w:rPr>
            </w:pPr>
            <w:r>
              <w:rPr>
                <w:rFonts w:ascii="Courier New" w:cs="Courier New" w:eastAsia="Courier New" w:hAnsi="Courier New"/>
                <w:sz w:val="15"/>
                <w:szCs w:val="15"/>
                <w:color w:val="auto"/>
              </w:rPr>
              <w:t>Number</w:t>
            </w:r>
          </w:p>
        </w:tc>
        <w:tc>
          <w:tcPr>
            <w:tcW w:w="582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Description</w:t>
            </w:r>
          </w:p>
        </w:tc>
      </w:tr>
      <w:tr>
        <w:trPr>
          <w:trHeight w:val="168"/>
        </w:trPr>
        <w:tc>
          <w:tcPr>
            <w:tcW w:w="110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582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11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12.4</w:t>
            </w:r>
          </w:p>
        </w:tc>
        <w:tc>
          <w:tcPr>
            <w:tcW w:w="5820" w:type="dxa"/>
            <w:vAlign w:val="bottom"/>
          </w:tcPr>
          <w:p>
            <w:pPr>
              <w:ind w:left="300"/>
              <w:spacing w:after="0"/>
              <w:rPr>
                <w:sz w:val="20"/>
                <w:szCs w:val="20"/>
                <w:color w:val="auto"/>
              </w:rPr>
            </w:pPr>
            <w:r>
              <w:rPr>
                <w:rFonts w:ascii="Courier New" w:cs="Courier New" w:eastAsia="Courier New" w:hAnsi="Courier New"/>
                <w:sz w:val="15"/>
                <w:szCs w:val="15"/>
                <w:color w:val="auto"/>
              </w:rPr>
              <w:t>Statement Regarding Computation of Ratio of Earnings to Fixed</w:t>
            </w:r>
          </w:p>
        </w:tc>
      </w:tr>
      <w:tr>
        <w:trPr>
          <w:trHeight w:val="168"/>
        </w:trPr>
        <w:tc>
          <w:tcPr>
            <w:tcW w:w="1100" w:type="dxa"/>
            <w:vAlign w:val="bottom"/>
          </w:tcPr>
          <w:p>
            <w:pPr>
              <w:spacing w:after="0"/>
              <w:rPr>
                <w:sz w:val="14"/>
                <w:szCs w:val="14"/>
                <w:color w:val="auto"/>
              </w:rPr>
            </w:pPr>
          </w:p>
        </w:tc>
        <w:tc>
          <w:tcPr>
            <w:tcW w:w="582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Charges of Comcast Cable Holdings, LLC.</w:t>
            </w:r>
          </w:p>
        </w:tc>
      </w:tr>
      <w:tr>
        <w:trPr>
          <w:trHeight w:val="336"/>
        </w:trPr>
        <w:tc>
          <w:tcPr>
            <w:tcW w:w="11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12.5</w:t>
            </w:r>
          </w:p>
        </w:tc>
        <w:tc>
          <w:tcPr>
            <w:tcW w:w="5820" w:type="dxa"/>
            <w:vAlign w:val="bottom"/>
          </w:tcPr>
          <w:p>
            <w:pPr>
              <w:ind w:left="300"/>
              <w:spacing w:after="0"/>
              <w:rPr>
                <w:sz w:val="20"/>
                <w:szCs w:val="20"/>
                <w:color w:val="auto"/>
              </w:rPr>
            </w:pPr>
            <w:r>
              <w:rPr>
                <w:rFonts w:ascii="Courier New" w:cs="Courier New" w:eastAsia="Courier New" w:hAnsi="Courier New"/>
                <w:sz w:val="15"/>
                <w:szCs w:val="15"/>
                <w:color w:val="auto"/>
              </w:rPr>
              <w:t>Statement Regarding Computation of Ratio of Earnings to Fixed</w:t>
            </w:r>
          </w:p>
        </w:tc>
      </w:tr>
      <w:tr>
        <w:trPr>
          <w:trHeight w:val="168"/>
        </w:trPr>
        <w:tc>
          <w:tcPr>
            <w:tcW w:w="1100" w:type="dxa"/>
            <w:vAlign w:val="bottom"/>
          </w:tcPr>
          <w:p>
            <w:pPr>
              <w:spacing w:after="0"/>
              <w:rPr>
                <w:sz w:val="14"/>
                <w:szCs w:val="14"/>
                <w:color w:val="auto"/>
              </w:rPr>
            </w:pPr>
          </w:p>
        </w:tc>
        <w:tc>
          <w:tcPr>
            <w:tcW w:w="582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Charges of Comcast MO Group, Inc.</w:t>
            </w:r>
          </w:p>
        </w:tc>
      </w:tr>
      <w:tr>
        <w:trPr>
          <w:trHeight w:val="336"/>
        </w:trPr>
        <w:tc>
          <w:tcPr>
            <w:tcW w:w="11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12.6</w:t>
            </w:r>
          </w:p>
        </w:tc>
        <w:tc>
          <w:tcPr>
            <w:tcW w:w="5820" w:type="dxa"/>
            <w:vAlign w:val="bottom"/>
          </w:tcPr>
          <w:p>
            <w:pPr>
              <w:ind w:left="300"/>
              <w:spacing w:after="0"/>
              <w:rPr>
                <w:sz w:val="20"/>
                <w:szCs w:val="20"/>
                <w:color w:val="auto"/>
              </w:rPr>
            </w:pPr>
            <w:r>
              <w:rPr>
                <w:rFonts w:ascii="Courier New" w:cs="Courier New" w:eastAsia="Courier New" w:hAnsi="Courier New"/>
                <w:sz w:val="15"/>
                <w:szCs w:val="15"/>
                <w:color w:val="auto"/>
                <w:w w:val="98"/>
              </w:rPr>
              <w:t>Statement Regarding Computation of Pro Forma Ratio of Earnings</w:t>
            </w:r>
          </w:p>
        </w:tc>
      </w:tr>
      <w:tr>
        <w:trPr>
          <w:trHeight w:val="168"/>
        </w:trPr>
        <w:tc>
          <w:tcPr>
            <w:tcW w:w="1100" w:type="dxa"/>
            <w:vAlign w:val="bottom"/>
          </w:tcPr>
          <w:p>
            <w:pPr>
              <w:spacing w:after="0"/>
              <w:rPr>
                <w:sz w:val="14"/>
                <w:szCs w:val="14"/>
                <w:color w:val="auto"/>
              </w:rPr>
            </w:pPr>
          </w:p>
        </w:tc>
        <w:tc>
          <w:tcPr>
            <w:tcW w:w="582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to Fixed Charges of Comcast Corporation.</w:t>
            </w:r>
          </w:p>
        </w:tc>
      </w:tr>
      <w:tr>
        <w:trPr>
          <w:trHeight w:val="336"/>
        </w:trPr>
        <w:tc>
          <w:tcPr>
            <w:tcW w:w="11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12.7</w:t>
            </w:r>
          </w:p>
        </w:tc>
        <w:tc>
          <w:tcPr>
            <w:tcW w:w="5820" w:type="dxa"/>
            <w:vAlign w:val="bottom"/>
          </w:tcPr>
          <w:p>
            <w:pPr>
              <w:ind w:left="300"/>
              <w:spacing w:after="0"/>
              <w:rPr>
                <w:sz w:val="20"/>
                <w:szCs w:val="20"/>
                <w:color w:val="auto"/>
              </w:rPr>
            </w:pPr>
            <w:r>
              <w:rPr>
                <w:rFonts w:ascii="Courier New" w:cs="Courier New" w:eastAsia="Courier New" w:hAnsi="Courier New"/>
                <w:sz w:val="15"/>
                <w:szCs w:val="15"/>
                <w:color w:val="auto"/>
                <w:w w:val="98"/>
              </w:rPr>
              <w:t>Statement Regarding Computation of Pro Forma Ratio of Earnings</w:t>
            </w:r>
          </w:p>
        </w:tc>
      </w:tr>
      <w:tr>
        <w:trPr>
          <w:trHeight w:val="168"/>
        </w:trPr>
        <w:tc>
          <w:tcPr>
            <w:tcW w:w="1100" w:type="dxa"/>
            <w:vAlign w:val="bottom"/>
          </w:tcPr>
          <w:p>
            <w:pPr>
              <w:spacing w:after="0"/>
              <w:rPr>
                <w:sz w:val="14"/>
                <w:szCs w:val="14"/>
                <w:color w:val="auto"/>
              </w:rPr>
            </w:pPr>
          </w:p>
        </w:tc>
        <w:tc>
          <w:tcPr>
            <w:tcW w:w="582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to Combined Fixed Charges and Preferred Dividends of Comcast</w:t>
            </w:r>
          </w:p>
        </w:tc>
      </w:tr>
      <w:tr>
        <w:trPr>
          <w:trHeight w:val="168"/>
        </w:trPr>
        <w:tc>
          <w:tcPr>
            <w:tcW w:w="1100" w:type="dxa"/>
            <w:vAlign w:val="bottom"/>
          </w:tcPr>
          <w:p>
            <w:pPr>
              <w:spacing w:after="0"/>
              <w:rPr>
                <w:sz w:val="14"/>
                <w:szCs w:val="14"/>
                <w:color w:val="auto"/>
              </w:rPr>
            </w:pPr>
          </w:p>
        </w:tc>
        <w:tc>
          <w:tcPr>
            <w:tcW w:w="582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Corporation.</w:t>
            </w:r>
          </w:p>
        </w:tc>
      </w:tr>
      <w:tr>
        <w:trPr>
          <w:trHeight w:val="336"/>
        </w:trPr>
        <w:tc>
          <w:tcPr>
            <w:tcW w:w="11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12.8</w:t>
            </w:r>
          </w:p>
        </w:tc>
        <w:tc>
          <w:tcPr>
            <w:tcW w:w="5820" w:type="dxa"/>
            <w:vAlign w:val="bottom"/>
          </w:tcPr>
          <w:p>
            <w:pPr>
              <w:ind w:left="300"/>
              <w:spacing w:after="0"/>
              <w:rPr>
                <w:sz w:val="20"/>
                <w:szCs w:val="20"/>
                <w:color w:val="auto"/>
              </w:rPr>
            </w:pPr>
            <w:r>
              <w:rPr>
                <w:rFonts w:ascii="Courier New" w:cs="Courier New" w:eastAsia="Courier New" w:hAnsi="Courier New"/>
                <w:sz w:val="15"/>
                <w:szCs w:val="15"/>
                <w:color w:val="auto"/>
              </w:rPr>
              <w:t>Statement Regarding Computation of Ratio of Earnings to</w:t>
            </w:r>
          </w:p>
        </w:tc>
      </w:tr>
      <w:tr>
        <w:trPr>
          <w:trHeight w:val="168"/>
        </w:trPr>
        <w:tc>
          <w:tcPr>
            <w:tcW w:w="1100" w:type="dxa"/>
            <w:vAlign w:val="bottom"/>
          </w:tcPr>
          <w:p>
            <w:pPr>
              <w:spacing w:after="0"/>
              <w:rPr>
                <w:sz w:val="14"/>
                <w:szCs w:val="14"/>
                <w:color w:val="auto"/>
              </w:rPr>
            </w:pPr>
          </w:p>
        </w:tc>
        <w:tc>
          <w:tcPr>
            <w:tcW w:w="582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Combined Fixed Charges and Preferred Dividends of Comcast</w:t>
            </w:r>
          </w:p>
        </w:tc>
      </w:tr>
      <w:tr>
        <w:trPr>
          <w:trHeight w:val="168"/>
        </w:trPr>
        <w:tc>
          <w:tcPr>
            <w:tcW w:w="1100" w:type="dxa"/>
            <w:vAlign w:val="bottom"/>
          </w:tcPr>
          <w:p>
            <w:pPr>
              <w:spacing w:after="0"/>
              <w:rPr>
                <w:sz w:val="14"/>
                <w:szCs w:val="14"/>
                <w:color w:val="auto"/>
              </w:rPr>
            </w:pPr>
          </w:p>
        </w:tc>
        <w:tc>
          <w:tcPr>
            <w:tcW w:w="582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Corporation.</w:t>
            </w:r>
          </w:p>
        </w:tc>
      </w:tr>
      <w:tr>
        <w:trPr>
          <w:trHeight w:val="336"/>
        </w:trPr>
        <w:tc>
          <w:tcPr>
            <w:tcW w:w="11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23.1</w:t>
            </w:r>
          </w:p>
        </w:tc>
        <w:tc>
          <w:tcPr>
            <w:tcW w:w="5820" w:type="dxa"/>
            <w:vAlign w:val="bottom"/>
          </w:tcPr>
          <w:p>
            <w:pPr>
              <w:ind w:left="300"/>
              <w:spacing w:after="0"/>
              <w:rPr>
                <w:sz w:val="20"/>
                <w:szCs w:val="20"/>
                <w:color w:val="auto"/>
              </w:rPr>
            </w:pPr>
            <w:r>
              <w:rPr>
                <w:rFonts w:ascii="Courier New" w:cs="Courier New" w:eastAsia="Courier New" w:hAnsi="Courier New"/>
                <w:sz w:val="15"/>
                <w:szCs w:val="15"/>
                <w:color w:val="auto"/>
              </w:rPr>
              <w:t>Consent of Deloitte &amp; Touche LLP with respect to Comcast</w:t>
            </w:r>
          </w:p>
        </w:tc>
      </w:tr>
      <w:tr>
        <w:trPr>
          <w:trHeight w:val="168"/>
        </w:trPr>
        <w:tc>
          <w:tcPr>
            <w:tcW w:w="1100" w:type="dxa"/>
            <w:vAlign w:val="bottom"/>
          </w:tcPr>
          <w:p>
            <w:pPr>
              <w:spacing w:after="0"/>
              <w:rPr>
                <w:sz w:val="14"/>
                <w:szCs w:val="14"/>
                <w:color w:val="auto"/>
              </w:rPr>
            </w:pPr>
          </w:p>
        </w:tc>
        <w:tc>
          <w:tcPr>
            <w:tcW w:w="582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Corporation (formerly known as AT&amp;T Comcast Corporation).</w:t>
            </w:r>
          </w:p>
        </w:tc>
      </w:tr>
      <w:tr>
        <w:trPr>
          <w:trHeight w:val="336"/>
        </w:trPr>
        <w:tc>
          <w:tcPr>
            <w:tcW w:w="11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23.2</w:t>
            </w:r>
          </w:p>
        </w:tc>
        <w:tc>
          <w:tcPr>
            <w:tcW w:w="5820" w:type="dxa"/>
            <w:vAlign w:val="bottom"/>
          </w:tcPr>
          <w:p>
            <w:pPr>
              <w:ind w:left="300"/>
              <w:spacing w:after="0"/>
              <w:rPr>
                <w:sz w:val="20"/>
                <w:szCs w:val="20"/>
                <w:color w:val="auto"/>
              </w:rPr>
            </w:pPr>
            <w:r>
              <w:rPr>
                <w:rFonts w:ascii="Courier New" w:cs="Courier New" w:eastAsia="Courier New" w:hAnsi="Courier New"/>
                <w:sz w:val="15"/>
                <w:szCs w:val="15"/>
                <w:color w:val="auto"/>
              </w:rPr>
              <w:t>Consent of Deloitte &amp; Touche LLP with respect to Comcast</w:t>
            </w:r>
          </w:p>
        </w:tc>
      </w:tr>
      <w:tr>
        <w:trPr>
          <w:trHeight w:val="168"/>
        </w:trPr>
        <w:tc>
          <w:tcPr>
            <w:tcW w:w="1100" w:type="dxa"/>
            <w:vAlign w:val="bottom"/>
          </w:tcPr>
          <w:p>
            <w:pPr>
              <w:spacing w:after="0"/>
              <w:rPr>
                <w:sz w:val="14"/>
                <w:szCs w:val="14"/>
                <w:color w:val="auto"/>
              </w:rPr>
            </w:pPr>
          </w:p>
        </w:tc>
        <w:tc>
          <w:tcPr>
            <w:tcW w:w="582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Holdings Corporation (formerly known as Comcast Corporation).</w:t>
            </w:r>
          </w:p>
        </w:tc>
      </w:tr>
      <w:tr>
        <w:trPr>
          <w:trHeight w:val="336"/>
        </w:trPr>
        <w:tc>
          <w:tcPr>
            <w:tcW w:w="11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23.3</w:t>
            </w:r>
          </w:p>
        </w:tc>
        <w:tc>
          <w:tcPr>
            <w:tcW w:w="5820" w:type="dxa"/>
            <w:vAlign w:val="bottom"/>
          </w:tcPr>
          <w:p>
            <w:pPr>
              <w:ind w:left="300"/>
              <w:spacing w:after="0"/>
              <w:rPr>
                <w:sz w:val="20"/>
                <w:szCs w:val="20"/>
                <w:color w:val="auto"/>
              </w:rPr>
            </w:pPr>
            <w:r>
              <w:rPr>
                <w:rFonts w:ascii="Courier New" w:cs="Courier New" w:eastAsia="Courier New" w:hAnsi="Courier New"/>
                <w:sz w:val="15"/>
                <w:szCs w:val="15"/>
                <w:color w:val="auto"/>
                <w:w w:val="98"/>
              </w:rPr>
              <w:t>Consent of Deloitte &amp; Touche LLP with respect to Comcast Cable</w:t>
            </w:r>
          </w:p>
        </w:tc>
      </w:tr>
      <w:tr>
        <w:trPr>
          <w:trHeight w:val="168"/>
        </w:trPr>
        <w:tc>
          <w:tcPr>
            <w:tcW w:w="1100" w:type="dxa"/>
            <w:vAlign w:val="bottom"/>
          </w:tcPr>
          <w:p>
            <w:pPr>
              <w:spacing w:after="0"/>
              <w:rPr>
                <w:sz w:val="14"/>
                <w:szCs w:val="14"/>
                <w:color w:val="auto"/>
              </w:rPr>
            </w:pPr>
          </w:p>
        </w:tc>
        <w:tc>
          <w:tcPr>
            <w:tcW w:w="582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Communications, Inc.</w:t>
            </w:r>
          </w:p>
        </w:tc>
      </w:tr>
      <w:tr>
        <w:trPr>
          <w:trHeight w:val="336"/>
        </w:trPr>
        <w:tc>
          <w:tcPr>
            <w:tcW w:w="11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23.4</w:t>
            </w:r>
          </w:p>
        </w:tc>
        <w:tc>
          <w:tcPr>
            <w:tcW w:w="5820" w:type="dxa"/>
            <w:vAlign w:val="bottom"/>
          </w:tcPr>
          <w:p>
            <w:pPr>
              <w:ind w:left="300"/>
              <w:spacing w:after="0"/>
              <w:rPr>
                <w:sz w:val="20"/>
                <w:szCs w:val="20"/>
                <w:color w:val="auto"/>
              </w:rPr>
            </w:pPr>
            <w:r>
              <w:rPr>
                <w:rFonts w:ascii="Courier New" w:cs="Courier New" w:eastAsia="Courier New" w:hAnsi="Courier New"/>
                <w:sz w:val="15"/>
                <w:szCs w:val="15"/>
                <w:color w:val="auto"/>
              </w:rPr>
              <w:t>Consent of PricewaterhouseCoopers LLP with respect to AT&amp;T</w:t>
            </w:r>
          </w:p>
        </w:tc>
      </w:tr>
      <w:tr>
        <w:trPr>
          <w:trHeight w:val="168"/>
        </w:trPr>
        <w:tc>
          <w:tcPr>
            <w:tcW w:w="1100" w:type="dxa"/>
            <w:vAlign w:val="bottom"/>
          </w:tcPr>
          <w:p>
            <w:pPr>
              <w:spacing w:after="0"/>
              <w:rPr>
                <w:sz w:val="14"/>
                <w:szCs w:val="14"/>
                <w:color w:val="auto"/>
              </w:rPr>
            </w:pPr>
          </w:p>
        </w:tc>
        <w:tc>
          <w:tcPr>
            <w:tcW w:w="582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Broadband Group.</w:t>
            </w:r>
          </w:p>
        </w:tc>
      </w:tr>
      <w:tr>
        <w:trPr>
          <w:trHeight w:val="336"/>
        </w:trPr>
        <w:tc>
          <w:tcPr>
            <w:tcW w:w="11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23.5</w:t>
            </w:r>
          </w:p>
        </w:tc>
        <w:tc>
          <w:tcPr>
            <w:tcW w:w="5820" w:type="dxa"/>
            <w:vAlign w:val="bottom"/>
          </w:tcPr>
          <w:p>
            <w:pPr>
              <w:ind w:left="300"/>
              <w:spacing w:after="0"/>
              <w:rPr>
                <w:sz w:val="20"/>
                <w:szCs w:val="20"/>
                <w:color w:val="auto"/>
              </w:rPr>
            </w:pPr>
            <w:r>
              <w:rPr>
                <w:rFonts w:ascii="Courier New" w:cs="Courier New" w:eastAsia="Courier New" w:hAnsi="Courier New"/>
                <w:sz w:val="15"/>
                <w:szCs w:val="15"/>
                <w:color w:val="auto"/>
                <w:w w:val="98"/>
              </w:rPr>
              <w:t>Consent of Arthur R. Block, Esquire (to be included in Exhibit</w:t>
            </w:r>
          </w:p>
        </w:tc>
      </w:tr>
      <w:tr>
        <w:trPr>
          <w:trHeight w:val="168"/>
        </w:trPr>
        <w:tc>
          <w:tcPr>
            <w:tcW w:w="1100" w:type="dxa"/>
            <w:vAlign w:val="bottom"/>
          </w:tcPr>
          <w:p>
            <w:pPr>
              <w:spacing w:after="0"/>
              <w:rPr>
                <w:sz w:val="14"/>
                <w:szCs w:val="14"/>
                <w:color w:val="auto"/>
              </w:rPr>
            </w:pPr>
          </w:p>
        </w:tc>
        <w:tc>
          <w:tcPr>
            <w:tcW w:w="582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5.1).</w:t>
            </w:r>
          </w:p>
        </w:tc>
      </w:tr>
      <w:tr>
        <w:trPr>
          <w:trHeight w:val="336"/>
        </w:trPr>
        <w:tc>
          <w:tcPr>
            <w:tcW w:w="11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23.6</w:t>
            </w:r>
          </w:p>
        </w:tc>
        <w:tc>
          <w:tcPr>
            <w:tcW w:w="5820" w:type="dxa"/>
            <w:vAlign w:val="bottom"/>
          </w:tcPr>
          <w:p>
            <w:pPr>
              <w:ind w:left="300"/>
              <w:spacing w:after="0"/>
              <w:rPr>
                <w:sz w:val="20"/>
                <w:szCs w:val="20"/>
                <w:color w:val="auto"/>
              </w:rPr>
            </w:pPr>
            <w:r>
              <w:rPr>
                <w:rFonts w:ascii="Courier New" w:cs="Courier New" w:eastAsia="Courier New" w:hAnsi="Courier New"/>
                <w:sz w:val="15"/>
                <w:szCs w:val="15"/>
                <w:color w:val="auto"/>
              </w:rPr>
              <w:t>Consent of Davis Polk &amp; Wardwell (to be included in Exhibit</w:t>
            </w:r>
          </w:p>
        </w:tc>
      </w:tr>
      <w:tr>
        <w:trPr>
          <w:trHeight w:val="168"/>
        </w:trPr>
        <w:tc>
          <w:tcPr>
            <w:tcW w:w="1100" w:type="dxa"/>
            <w:vAlign w:val="bottom"/>
          </w:tcPr>
          <w:p>
            <w:pPr>
              <w:spacing w:after="0"/>
              <w:rPr>
                <w:sz w:val="14"/>
                <w:szCs w:val="14"/>
                <w:color w:val="auto"/>
              </w:rPr>
            </w:pPr>
          </w:p>
        </w:tc>
        <w:tc>
          <w:tcPr>
            <w:tcW w:w="582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5.2).</w:t>
            </w:r>
          </w:p>
        </w:tc>
      </w:tr>
      <w:tr>
        <w:trPr>
          <w:trHeight w:val="336"/>
        </w:trPr>
        <w:tc>
          <w:tcPr>
            <w:tcW w:w="11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24.1</w:t>
            </w:r>
          </w:p>
        </w:tc>
        <w:tc>
          <w:tcPr>
            <w:tcW w:w="5820" w:type="dxa"/>
            <w:vAlign w:val="bottom"/>
          </w:tcPr>
          <w:p>
            <w:pPr>
              <w:ind w:left="300"/>
              <w:spacing w:after="0"/>
              <w:rPr>
                <w:sz w:val="20"/>
                <w:szCs w:val="20"/>
                <w:color w:val="auto"/>
              </w:rPr>
            </w:pPr>
            <w:r>
              <w:rPr>
                <w:rFonts w:ascii="Courier New" w:cs="Courier New" w:eastAsia="Courier New" w:hAnsi="Courier New"/>
                <w:sz w:val="15"/>
                <w:szCs w:val="15"/>
                <w:color w:val="auto"/>
              </w:rPr>
              <w:t>Powers of Attorney (included on the signature pages hereof).</w:t>
            </w:r>
          </w:p>
        </w:tc>
      </w:tr>
      <w:tr>
        <w:trPr>
          <w:trHeight w:val="336"/>
        </w:trPr>
        <w:tc>
          <w:tcPr>
            <w:tcW w:w="11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25.1</w:t>
            </w:r>
          </w:p>
        </w:tc>
        <w:tc>
          <w:tcPr>
            <w:tcW w:w="5820" w:type="dxa"/>
            <w:vAlign w:val="bottom"/>
          </w:tcPr>
          <w:p>
            <w:pPr>
              <w:ind w:left="300"/>
              <w:spacing w:after="0"/>
              <w:rPr>
                <w:sz w:val="20"/>
                <w:szCs w:val="20"/>
                <w:color w:val="auto"/>
              </w:rPr>
            </w:pPr>
            <w:r>
              <w:rPr>
                <w:rFonts w:ascii="Courier New" w:cs="Courier New" w:eastAsia="Courier New" w:hAnsi="Courier New"/>
                <w:sz w:val="15"/>
                <w:szCs w:val="15"/>
                <w:color w:val="auto"/>
                <w:w w:val="96"/>
              </w:rPr>
              <w:t>Statement of Eligibility under the Trust Indenture Act of 1939,</w:t>
            </w:r>
          </w:p>
        </w:tc>
      </w:tr>
      <w:tr>
        <w:trPr>
          <w:trHeight w:val="168"/>
        </w:trPr>
        <w:tc>
          <w:tcPr>
            <w:tcW w:w="1100" w:type="dxa"/>
            <w:vAlign w:val="bottom"/>
          </w:tcPr>
          <w:p>
            <w:pPr>
              <w:spacing w:after="0"/>
              <w:rPr>
                <w:sz w:val="14"/>
                <w:szCs w:val="14"/>
                <w:color w:val="auto"/>
              </w:rPr>
            </w:pPr>
          </w:p>
        </w:tc>
        <w:tc>
          <w:tcPr>
            <w:tcW w:w="582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as amended, of The Bank of New York, as Trustee under the</w:t>
            </w:r>
          </w:p>
        </w:tc>
      </w:tr>
      <w:tr>
        <w:trPr>
          <w:trHeight w:val="168"/>
        </w:trPr>
        <w:tc>
          <w:tcPr>
            <w:tcW w:w="1100" w:type="dxa"/>
            <w:vAlign w:val="bottom"/>
          </w:tcPr>
          <w:p>
            <w:pPr>
              <w:spacing w:after="0"/>
              <w:rPr>
                <w:sz w:val="14"/>
                <w:szCs w:val="14"/>
                <w:color w:val="auto"/>
              </w:rPr>
            </w:pPr>
          </w:p>
        </w:tc>
        <w:tc>
          <w:tcPr>
            <w:tcW w:w="582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Senior Indenture.</w:t>
            </w:r>
          </w:p>
        </w:tc>
      </w:tr>
      <w:tr>
        <w:trPr>
          <w:trHeight w:val="336"/>
        </w:trPr>
        <w:tc>
          <w:tcPr>
            <w:tcW w:w="11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25.2</w:t>
            </w:r>
          </w:p>
        </w:tc>
        <w:tc>
          <w:tcPr>
            <w:tcW w:w="5820" w:type="dxa"/>
            <w:vAlign w:val="bottom"/>
          </w:tcPr>
          <w:p>
            <w:pPr>
              <w:ind w:left="300"/>
              <w:spacing w:after="0"/>
              <w:rPr>
                <w:sz w:val="20"/>
                <w:szCs w:val="20"/>
                <w:color w:val="auto"/>
              </w:rPr>
            </w:pPr>
            <w:r>
              <w:rPr>
                <w:rFonts w:ascii="Courier New" w:cs="Courier New" w:eastAsia="Courier New" w:hAnsi="Courier New"/>
                <w:sz w:val="15"/>
                <w:szCs w:val="15"/>
                <w:color w:val="auto"/>
                <w:w w:val="96"/>
              </w:rPr>
              <w:t>Statement of Eligibility under the Trust Indenture Act of 1939,</w:t>
            </w:r>
          </w:p>
        </w:tc>
      </w:tr>
      <w:tr>
        <w:trPr>
          <w:trHeight w:val="168"/>
        </w:trPr>
        <w:tc>
          <w:tcPr>
            <w:tcW w:w="1100" w:type="dxa"/>
            <w:vAlign w:val="bottom"/>
          </w:tcPr>
          <w:p>
            <w:pPr>
              <w:spacing w:after="0"/>
              <w:rPr>
                <w:sz w:val="14"/>
                <w:szCs w:val="14"/>
                <w:color w:val="auto"/>
              </w:rPr>
            </w:pPr>
          </w:p>
        </w:tc>
        <w:tc>
          <w:tcPr>
            <w:tcW w:w="582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as amended, of The Bank of New York, as Trustee under the</w:t>
            </w:r>
          </w:p>
        </w:tc>
      </w:tr>
      <w:tr>
        <w:trPr>
          <w:trHeight w:val="168"/>
        </w:trPr>
        <w:tc>
          <w:tcPr>
            <w:tcW w:w="1100" w:type="dxa"/>
            <w:vAlign w:val="bottom"/>
          </w:tcPr>
          <w:p>
            <w:pPr>
              <w:spacing w:after="0"/>
              <w:rPr>
                <w:sz w:val="14"/>
                <w:szCs w:val="14"/>
                <w:color w:val="auto"/>
              </w:rPr>
            </w:pPr>
          </w:p>
        </w:tc>
        <w:tc>
          <w:tcPr>
            <w:tcW w:w="582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Subordinated Indenture.</w:t>
            </w:r>
          </w:p>
        </w:tc>
      </w:tr>
    </w:tbl>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ind w:left="800" w:hanging="790"/>
        <w:spacing w:after="0" w:line="237" w:lineRule="auto"/>
        <w:tabs>
          <w:tab w:leader="none" w:pos="800" w:val="left"/>
        </w:tabs>
        <w:numPr>
          <w:ilvl w:val="0"/>
          <w:numId w:val="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be filed by amendment.</w:t>
      </w:r>
    </w:p>
    <w:p>
      <w:pPr>
        <w:spacing w:after="0" w:line="173" w:lineRule="exact"/>
        <w:rPr>
          <w:sz w:val="20"/>
          <w:szCs w:val="20"/>
          <w:color w:val="auto"/>
        </w:rPr>
      </w:pPr>
    </w:p>
    <w:p>
      <w:pPr>
        <w:ind w:left="800" w:right="3319" w:hanging="790"/>
        <w:spacing w:after="0" w:line="234" w:lineRule="auto"/>
        <w:tabs>
          <w:tab w:leader="none" w:pos="800" w:val="left"/>
        </w:tabs>
        <w:numPr>
          <w:ilvl w:val="0"/>
          <w:numId w:val="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to our Current Report on Form 8-K12g3, filed on November 18, 2002.</w:t>
      </w:r>
    </w:p>
    <w:p>
      <w:pPr>
        <w:spacing w:after="0" w:line="173" w:lineRule="exact"/>
        <w:rPr>
          <w:rFonts w:ascii="Courier New" w:cs="Courier New" w:eastAsia="Courier New" w:hAnsi="Courier New"/>
          <w:sz w:val="15"/>
          <w:szCs w:val="15"/>
          <w:color w:val="auto"/>
        </w:rPr>
      </w:pPr>
    </w:p>
    <w:p>
      <w:pPr>
        <w:ind w:left="800" w:right="3579" w:hanging="790"/>
        <w:spacing w:after="0" w:line="234" w:lineRule="auto"/>
        <w:tabs>
          <w:tab w:leader="none" w:pos="800" w:val="left"/>
        </w:tabs>
        <w:numPr>
          <w:ilvl w:val="0"/>
          <w:numId w:val="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to our registration statement on Form S-4 filed on February 11, 2002.</w:t>
      </w:r>
    </w:p>
    <w:p>
      <w:pPr>
        <w:spacing w:after="0" w:line="173" w:lineRule="exact"/>
        <w:rPr>
          <w:rFonts w:ascii="Courier New" w:cs="Courier New" w:eastAsia="Courier New" w:hAnsi="Courier New"/>
          <w:sz w:val="15"/>
          <w:szCs w:val="15"/>
          <w:color w:val="auto"/>
        </w:rPr>
      </w:pPr>
    </w:p>
    <w:p>
      <w:pPr>
        <w:ind w:left="800" w:right="3499" w:hanging="790"/>
        <w:spacing w:after="0" w:line="261" w:lineRule="auto"/>
        <w:tabs>
          <w:tab w:leader="none" w:pos="800" w:val="left"/>
        </w:tabs>
        <w:numPr>
          <w:ilvl w:val="0"/>
          <w:numId w:val="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Incorporated by reference to AT&amp;T Corp.'s Annual Report on Form 10-K for the year ended December 31, 2001, filed on April 1, 2002.</w:t>
      </w:r>
    </w:p>
    <w:p>
      <w:pPr>
        <w:spacing w:after="0" w:line="159" w:lineRule="exact"/>
        <w:rPr>
          <w:rFonts w:ascii="Courier New" w:cs="Courier New" w:eastAsia="Courier New" w:hAnsi="Courier New"/>
          <w:sz w:val="14"/>
          <w:szCs w:val="14"/>
          <w:color w:val="auto"/>
        </w:rPr>
      </w:pPr>
    </w:p>
    <w:p>
      <w:pPr>
        <w:ind w:left="800" w:right="3939" w:hanging="790"/>
        <w:spacing w:after="0" w:line="234" w:lineRule="auto"/>
        <w:tabs>
          <w:tab w:leader="none" w:pos="800" w:val="left"/>
        </w:tabs>
        <w:numPr>
          <w:ilvl w:val="0"/>
          <w:numId w:val="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to our registration statement on Form 8-A12g, filed on November 18, 2002.</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280" w:type="dxa"/>
            <w:vAlign w:val="bottom"/>
          </w:tcPr>
          <w:p>
            <w:pPr>
              <w:jc w:val="right"/>
              <w:spacing w:after="0"/>
              <w:rPr>
                <w:sz w:val="20"/>
                <w:szCs w:val="20"/>
                <w:color w:val="auto"/>
              </w:rPr>
            </w:pPr>
            <w:r>
              <w:rPr>
                <w:rFonts w:ascii="Courier New" w:cs="Courier New" w:eastAsia="Courier New" w:hAnsi="Courier New"/>
                <w:sz w:val="15"/>
                <w:szCs w:val="15"/>
                <w:color w:val="auto"/>
                <w:w w:val="96"/>
              </w:rPr>
              <w:t>******   Incorporated by reference to</w:t>
            </w:r>
          </w:p>
        </w:tc>
        <w:tc>
          <w:tcPr>
            <w:tcW w:w="3280" w:type="dxa"/>
            <w:vAlign w:val="bottom"/>
          </w:tcPr>
          <w:p>
            <w:pPr>
              <w:ind w:left="60"/>
              <w:spacing w:after="0"/>
              <w:rPr>
                <w:sz w:val="20"/>
                <w:szCs w:val="20"/>
                <w:color w:val="auto"/>
              </w:rPr>
            </w:pPr>
            <w:r>
              <w:rPr>
                <w:rFonts w:ascii="Courier New" w:cs="Courier New" w:eastAsia="Courier New" w:hAnsi="Courier New"/>
                <w:sz w:val="15"/>
                <w:szCs w:val="15"/>
                <w:color w:val="auto"/>
                <w:w w:val="96"/>
              </w:rPr>
              <w:t>our Amended Registration Statement on</w:t>
            </w:r>
          </w:p>
        </w:tc>
      </w:tr>
      <w:tr>
        <w:trPr>
          <w:trHeight w:val="168"/>
        </w:trPr>
        <w:tc>
          <w:tcPr>
            <w:tcW w:w="3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Form S-4/A, filed on May 14,</w:t>
            </w:r>
          </w:p>
        </w:tc>
        <w:tc>
          <w:tcPr>
            <w:tcW w:w="328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2002.</w:t>
            </w:r>
          </w:p>
        </w:tc>
      </w:tr>
      <w:tr>
        <w:trPr>
          <w:trHeight w:val="505"/>
        </w:trPr>
        <w:tc>
          <w:tcPr>
            <w:tcW w:w="3280" w:type="dxa"/>
            <w:vAlign w:val="bottom"/>
          </w:tcPr>
          <w:p>
            <w:pPr>
              <w:spacing w:after="0"/>
              <w:rPr>
                <w:sz w:val="24"/>
                <w:szCs w:val="24"/>
                <w:color w:val="auto"/>
              </w:rPr>
            </w:pPr>
          </w:p>
        </w:tc>
        <w:tc>
          <w:tcPr>
            <w:tcW w:w="3280" w:type="dxa"/>
            <w:vAlign w:val="bottom"/>
          </w:tcPr>
          <w:p>
            <w:pPr>
              <w:ind w:left="60"/>
              <w:spacing w:after="0"/>
              <w:rPr>
                <w:sz w:val="20"/>
                <w:szCs w:val="20"/>
                <w:color w:val="auto"/>
              </w:rPr>
            </w:pPr>
            <w:r>
              <w:rPr>
                <w:rFonts w:ascii="Courier New" w:cs="Courier New" w:eastAsia="Courier New" w:hAnsi="Courier New"/>
                <w:sz w:val="15"/>
                <w:szCs w:val="15"/>
                <w:color w:val="auto"/>
              </w:rPr>
              <w:t>II-19</w:t>
            </w:r>
          </w:p>
        </w:tc>
      </w:tr>
    </w:tbl>
    <w:p>
      <w:pPr>
        <w:sectPr>
          <w:pgSz w:w="11900" w:h="16838" w:orient="portrait"/>
          <w:cols w:equalWidth="0" w:num="1">
            <w:col w:w="10239"/>
          </w:cols>
          <w:pgMar w:left="220" w:top="785" w:right="1440" w:bottom="1440" w:gutter="0" w:footer="0" w:header="0"/>
        </w:sectPr>
      </w:pPr>
    </w:p>
    <w:bookmarkStart w:id="75" w:name="page76"/>
    <w:bookmarkEnd w:id="75"/>
    <w:p>
      <w:pPr>
        <w:ind w:left="6040"/>
        <w:spacing w:after="0"/>
        <w:rPr>
          <w:sz w:val="20"/>
          <w:szCs w:val="20"/>
          <w:color w:val="auto"/>
        </w:rPr>
      </w:pPr>
      <w:r>
        <w:rPr>
          <w:rFonts w:ascii="Courier New" w:cs="Courier New" w:eastAsia="Courier New" w:hAnsi="Courier New"/>
          <w:sz w:val="15"/>
          <w:szCs w:val="15"/>
          <w:color w:val="auto"/>
        </w:rPr>
        <w:t>Exhibit 4.5</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40"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COMCAST CORPORATION, as Issuer</w:t>
      </w:r>
    </w:p>
    <w:p>
      <w:pPr>
        <w:spacing w:after="0" w:line="166"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THE CABLE GUARANTORS PARTY HERETO</w:t>
      </w:r>
    </w:p>
    <w:p>
      <w:pPr>
        <w:spacing w:after="0" w:line="166"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and</w:t>
      </w:r>
    </w:p>
    <w:p>
      <w:pPr>
        <w:spacing w:after="0" w:line="166"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THE BANK OF NEW YORK, as Trustee</w:t>
      </w:r>
    </w:p>
    <w:p>
      <w:pPr>
        <w:spacing w:after="0" w:line="166"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INDENTURE</w:t>
      </w:r>
    </w:p>
    <w:p>
      <w:pPr>
        <w:spacing w:after="0" w:line="166"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Dated as of [ ]</w:t>
      </w:r>
    </w:p>
    <w:p>
      <w:pPr>
        <w:spacing w:after="0" w:line="335"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w:t>
      </w:r>
    </w:p>
    <w:p>
      <w:pPr>
        <w:spacing w:after="0" w:line="166"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Senior Debt Securities</w:t>
      </w:r>
    </w:p>
    <w:p>
      <w:pPr>
        <w:spacing w:after="0" w:line="34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TABLE OF CONTENTS</w:t>
      </w:r>
    </w:p>
    <w:p>
      <w:pPr>
        <w:spacing w:after="0" w:line="200" w:lineRule="exact"/>
        <w:rPr>
          <w:sz w:val="20"/>
          <w:szCs w:val="20"/>
          <w:color w:val="auto"/>
        </w:rPr>
      </w:pPr>
    </w:p>
    <w:p>
      <w:pPr>
        <w:spacing w:after="0" w:line="303"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ARTICLE 1</w:t>
      </w:r>
    </w:p>
    <w:p>
      <w:pPr>
        <w:ind w:left="3080"/>
        <w:spacing w:after="0" w:line="237" w:lineRule="auto"/>
        <w:rPr>
          <w:sz w:val="20"/>
          <w:szCs w:val="20"/>
          <w:color w:val="auto"/>
        </w:rPr>
      </w:pPr>
      <w:r>
        <w:rPr>
          <w:rFonts w:ascii="Courier New" w:cs="Courier New" w:eastAsia="Courier New" w:hAnsi="Courier New"/>
          <w:sz w:val="15"/>
          <w:szCs w:val="15"/>
          <w:color w:val="auto"/>
        </w:rPr>
        <w:t>DEFINITIONS</w:t>
      </w:r>
    </w:p>
    <w:p>
      <w:pPr>
        <w:spacing w:after="0" w:line="167" w:lineRule="exact"/>
        <w:rPr>
          <w:sz w:val="20"/>
          <w:szCs w:val="20"/>
          <w:color w:val="auto"/>
        </w:rPr>
      </w:pPr>
    </w:p>
    <w:p>
      <w:pPr>
        <w:spacing w:after="0"/>
        <w:tabs>
          <w:tab w:leader="none" w:pos="1300" w:val="left"/>
          <w:tab w:leader="dot" w:pos="6900" w:val="left"/>
        </w:tabs>
        <w:rPr>
          <w:sz w:val="20"/>
          <w:szCs w:val="20"/>
          <w:color w:val="auto"/>
        </w:rPr>
      </w:pPr>
      <w:r>
        <w:rPr>
          <w:rFonts w:ascii="Courier New" w:cs="Courier New" w:eastAsia="Courier New" w:hAnsi="Courier New"/>
          <w:sz w:val="15"/>
          <w:szCs w:val="15"/>
          <w:color w:val="auto"/>
        </w:rPr>
        <w:t>Section 1.01.</w:t>
        <w:tab/>
        <w:t>Certain Terms Defined</w:t>
      </w:r>
      <w:r>
        <w:rPr>
          <w:sz w:val="20"/>
          <w:szCs w:val="20"/>
          <w:color w:val="auto"/>
        </w:rPr>
        <w:tab/>
      </w:r>
      <w:r>
        <w:rPr>
          <w:rFonts w:ascii="Courier New" w:cs="Courier New" w:eastAsia="Courier New" w:hAnsi="Courier New"/>
          <w:sz w:val="12"/>
          <w:szCs w:val="12"/>
          <w:color w:val="auto"/>
        </w:rPr>
        <w:t>1</w:t>
      </w:r>
    </w:p>
    <w:p>
      <w:pPr>
        <w:spacing w:after="0" w:line="335"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ARTICLE 2</w:t>
      </w:r>
    </w:p>
    <w:p>
      <w:pPr>
        <w:ind w:left="3080"/>
        <w:spacing w:after="0" w:line="237" w:lineRule="auto"/>
        <w:rPr>
          <w:sz w:val="20"/>
          <w:szCs w:val="20"/>
          <w:color w:val="auto"/>
        </w:rPr>
      </w:pPr>
      <w:r>
        <w:rPr>
          <w:rFonts w:ascii="Courier New" w:cs="Courier New" w:eastAsia="Courier New" w:hAnsi="Courier New"/>
          <w:sz w:val="15"/>
          <w:szCs w:val="15"/>
          <w:color w:val="auto"/>
        </w:rPr>
        <w:t>SECURITIES</w:t>
      </w:r>
    </w:p>
    <w:p>
      <w:pPr>
        <w:spacing w:after="0" w:line="167" w:lineRule="exact"/>
        <w:rPr>
          <w:sz w:val="20"/>
          <w:szCs w:val="20"/>
          <w:color w:val="auto"/>
        </w:rPr>
      </w:pPr>
    </w:p>
    <w:p>
      <w:pPr>
        <w:spacing w:after="0"/>
        <w:tabs>
          <w:tab w:leader="none" w:pos="1300" w:val="left"/>
          <w:tab w:leader="dot" w:pos="6900" w:val="left"/>
        </w:tabs>
        <w:rPr>
          <w:sz w:val="20"/>
          <w:szCs w:val="20"/>
          <w:color w:val="auto"/>
        </w:rPr>
      </w:pPr>
      <w:r>
        <w:rPr>
          <w:rFonts w:ascii="Courier New" w:cs="Courier New" w:eastAsia="Courier New" w:hAnsi="Courier New"/>
          <w:sz w:val="15"/>
          <w:szCs w:val="15"/>
          <w:color w:val="auto"/>
        </w:rPr>
        <w:t>Section 2.01.</w:t>
        <w:tab/>
        <w:t>Forms Generally</w:t>
      </w:r>
      <w:r>
        <w:rPr>
          <w:sz w:val="20"/>
          <w:szCs w:val="20"/>
          <w:color w:val="auto"/>
        </w:rPr>
        <w:tab/>
      </w:r>
      <w:r>
        <w:rPr>
          <w:rFonts w:ascii="Courier New" w:cs="Courier New" w:eastAsia="Courier New" w:hAnsi="Courier New"/>
          <w:sz w:val="12"/>
          <w:szCs w:val="12"/>
          <w:color w:val="auto"/>
        </w:rPr>
        <w:t>9</w:t>
      </w:r>
    </w:p>
    <w:p>
      <w:pPr>
        <w:spacing w:after="0"/>
        <w:tabs>
          <w:tab w:leader="none" w:pos="1300" w:val="left"/>
          <w:tab w:leader="dot" w:pos="6900" w:val="left"/>
        </w:tabs>
        <w:rPr>
          <w:sz w:val="20"/>
          <w:szCs w:val="20"/>
          <w:color w:val="auto"/>
        </w:rPr>
      </w:pPr>
      <w:r>
        <w:rPr>
          <w:rFonts w:ascii="Courier New" w:cs="Courier New" w:eastAsia="Courier New" w:hAnsi="Courier New"/>
          <w:sz w:val="15"/>
          <w:szCs w:val="15"/>
          <w:color w:val="auto"/>
        </w:rPr>
        <w:t>Section 2.02.</w:t>
        <w:tab/>
        <w:t>Form of Trustee's Certification of Authentication</w:t>
      </w:r>
      <w:r>
        <w:rPr>
          <w:sz w:val="20"/>
          <w:szCs w:val="20"/>
          <w:color w:val="auto"/>
        </w:rPr>
        <w:tab/>
      </w:r>
      <w:r>
        <w:rPr>
          <w:rFonts w:ascii="Courier New" w:cs="Courier New" w:eastAsia="Courier New" w:hAnsi="Courier New"/>
          <w:sz w:val="12"/>
          <w:szCs w:val="12"/>
          <w:color w:val="auto"/>
        </w:rPr>
        <w:t>9</w:t>
      </w:r>
    </w:p>
    <w:p>
      <w:pPr>
        <w:spacing w:after="0"/>
        <w:tabs>
          <w:tab w:leader="none" w:pos="1300" w:val="left"/>
          <w:tab w:leader="dot" w:pos="6820" w:val="left"/>
        </w:tabs>
        <w:rPr>
          <w:sz w:val="20"/>
          <w:szCs w:val="20"/>
          <w:color w:val="auto"/>
        </w:rPr>
      </w:pPr>
      <w:r>
        <w:rPr>
          <w:rFonts w:ascii="Courier New" w:cs="Courier New" w:eastAsia="Courier New" w:hAnsi="Courier New"/>
          <w:sz w:val="15"/>
          <w:szCs w:val="15"/>
          <w:color w:val="auto"/>
        </w:rPr>
        <w:t>Section 2.03.</w:t>
        <w:tab/>
        <w:t>Amount Unlimited; Issuable in Series</w:t>
      </w:r>
      <w:r>
        <w:rPr>
          <w:sz w:val="20"/>
          <w:szCs w:val="20"/>
          <w:color w:val="auto"/>
        </w:rPr>
        <w:tab/>
      </w:r>
      <w:r>
        <w:rPr>
          <w:rFonts w:ascii="Courier New" w:cs="Courier New" w:eastAsia="Courier New" w:hAnsi="Courier New"/>
          <w:sz w:val="12"/>
          <w:szCs w:val="12"/>
          <w:color w:val="auto"/>
        </w:rPr>
        <w:t>10</w:t>
      </w:r>
    </w:p>
    <w:p>
      <w:pPr>
        <w:spacing w:after="0"/>
        <w:tabs>
          <w:tab w:leader="none" w:pos="1300" w:val="left"/>
          <w:tab w:leader="dot" w:pos="6820" w:val="left"/>
        </w:tabs>
        <w:rPr>
          <w:sz w:val="20"/>
          <w:szCs w:val="20"/>
          <w:color w:val="auto"/>
        </w:rPr>
      </w:pPr>
      <w:r>
        <w:rPr>
          <w:rFonts w:ascii="Courier New" w:cs="Courier New" w:eastAsia="Courier New" w:hAnsi="Courier New"/>
          <w:sz w:val="15"/>
          <w:szCs w:val="15"/>
          <w:color w:val="auto"/>
        </w:rPr>
        <w:t>Section 2.04.</w:t>
        <w:tab/>
        <w:t>Authentication and Delivery of Securities</w:t>
      </w:r>
      <w:r>
        <w:rPr>
          <w:sz w:val="20"/>
          <w:szCs w:val="20"/>
          <w:color w:val="auto"/>
        </w:rPr>
        <w:tab/>
      </w:r>
      <w:r>
        <w:rPr>
          <w:rFonts w:ascii="Courier New" w:cs="Courier New" w:eastAsia="Courier New" w:hAnsi="Courier New"/>
          <w:sz w:val="12"/>
          <w:szCs w:val="12"/>
          <w:color w:val="auto"/>
        </w:rPr>
        <w:t>11</w:t>
      </w:r>
    </w:p>
    <w:p>
      <w:pPr>
        <w:spacing w:after="0"/>
        <w:tabs>
          <w:tab w:leader="none" w:pos="1300" w:val="left"/>
          <w:tab w:leader="dot" w:pos="6820" w:val="left"/>
        </w:tabs>
        <w:rPr>
          <w:sz w:val="20"/>
          <w:szCs w:val="20"/>
          <w:color w:val="auto"/>
        </w:rPr>
      </w:pPr>
      <w:r>
        <w:rPr>
          <w:rFonts w:ascii="Courier New" w:cs="Courier New" w:eastAsia="Courier New" w:hAnsi="Courier New"/>
          <w:sz w:val="15"/>
          <w:szCs w:val="15"/>
          <w:color w:val="auto"/>
        </w:rPr>
        <w:t>Section 2.05.</w:t>
        <w:tab/>
        <w:t>Execution of Securities</w:t>
      </w:r>
      <w:r>
        <w:rPr>
          <w:sz w:val="20"/>
          <w:szCs w:val="20"/>
          <w:color w:val="auto"/>
        </w:rPr>
        <w:tab/>
      </w:r>
      <w:r>
        <w:rPr>
          <w:rFonts w:ascii="Courier New" w:cs="Courier New" w:eastAsia="Courier New" w:hAnsi="Courier New"/>
          <w:sz w:val="12"/>
          <w:szCs w:val="12"/>
          <w:color w:val="auto"/>
        </w:rPr>
        <w:t>12</w:t>
      </w:r>
    </w:p>
    <w:p>
      <w:pPr>
        <w:spacing w:after="0"/>
        <w:tabs>
          <w:tab w:leader="none" w:pos="1300" w:val="left"/>
          <w:tab w:leader="dot" w:pos="6820" w:val="left"/>
        </w:tabs>
        <w:rPr>
          <w:sz w:val="20"/>
          <w:szCs w:val="20"/>
          <w:color w:val="auto"/>
        </w:rPr>
      </w:pPr>
      <w:r>
        <w:rPr>
          <w:rFonts w:ascii="Courier New" w:cs="Courier New" w:eastAsia="Courier New" w:hAnsi="Courier New"/>
          <w:sz w:val="15"/>
          <w:szCs w:val="15"/>
          <w:color w:val="auto"/>
        </w:rPr>
        <w:t>Section 2.06.</w:t>
        <w:tab/>
        <w:t>Certificate of Authentication</w:t>
      </w:r>
      <w:r>
        <w:rPr>
          <w:sz w:val="20"/>
          <w:szCs w:val="20"/>
          <w:color w:val="auto"/>
        </w:rPr>
        <w:tab/>
      </w:r>
      <w:r>
        <w:rPr>
          <w:rFonts w:ascii="Courier New" w:cs="Courier New" w:eastAsia="Courier New" w:hAnsi="Courier New"/>
          <w:sz w:val="12"/>
          <w:szCs w:val="12"/>
          <w:color w:val="auto"/>
        </w:rPr>
        <w:t>13</w:t>
      </w:r>
    </w:p>
    <w:p>
      <w:pPr>
        <w:spacing w:after="0"/>
        <w:tabs>
          <w:tab w:leader="none" w:pos="1300" w:val="left"/>
          <w:tab w:leader="dot" w:pos="6820" w:val="left"/>
        </w:tabs>
        <w:rPr>
          <w:sz w:val="20"/>
          <w:szCs w:val="20"/>
          <w:color w:val="auto"/>
        </w:rPr>
      </w:pPr>
      <w:r>
        <w:rPr>
          <w:rFonts w:ascii="Courier New" w:cs="Courier New" w:eastAsia="Courier New" w:hAnsi="Courier New"/>
          <w:sz w:val="15"/>
          <w:szCs w:val="15"/>
          <w:color w:val="auto"/>
        </w:rPr>
        <w:t>Section 2.07.</w:t>
        <w:tab/>
        <w:t>Denomination and Date of Securities; Payments of Interest</w:t>
      </w:r>
      <w:r>
        <w:rPr>
          <w:sz w:val="20"/>
          <w:szCs w:val="20"/>
          <w:color w:val="auto"/>
        </w:rPr>
        <w:tab/>
      </w:r>
      <w:r>
        <w:rPr>
          <w:rFonts w:ascii="Courier New" w:cs="Courier New" w:eastAsia="Courier New" w:hAnsi="Courier New"/>
          <w:sz w:val="12"/>
          <w:szCs w:val="12"/>
          <w:color w:val="auto"/>
        </w:rPr>
        <w:t>13</w:t>
      </w:r>
    </w:p>
    <w:p>
      <w:pPr>
        <w:spacing w:after="0"/>
        <w:tabs>
          <w:tab w:leader="none" w:pos="1300" w:val="left"/>
          <w:tab w:leader="dot" w:pos="6820" w:val="left"/>
        </w:tabs>
        <w:rPr>
          <w:sz w:val="20"/>
          <w:szCs w:val="20"/>
          <w:color w:val="auto"/>
        </w:rPr>
      </w:pPr>
      <w:r>
        <w:rPr>
          <w:rFonts w:ascii="Courier New" w:cs="Courier New" w:eastAsia="Courier New" w:hAnsi="Courier New"/>
          <w:sz w:val="15"/>
          <w:szCs w:val="15"/>
          <w:color w:val="auto"/>
        </w:rPr>
        <w:t>Section 2.08.</w:t>
        <w:tab/>
        <w:t>Registration, Transfer and Exchange</w:t>
      </w:r>
      <w:r>
        <w:rPr>
          <w:sz w:val="20"/>
          <w:szCs w:val="20"/>
          <w:color w:val="auto"/>
        </w:rPr>
        <w:tab/>
      </w:r>
      <w:r>
        <w:rPr>
          <w:rFonts w:ascii="Courier New" w:cs="Courier New" w:eastAsia="Courier New" w:hAnsi="Courier New"/>
          <w:sz w:val="12"/>
          <w:szCs w:val="12"/>
          <w:color w:val="auto"/>
        </w:rPr>
        <w:t>13</w:t>
      </w:r>
    </w:p>
    <w:p>
      <w:pPr>
        <w:spacing w:after="0"/>
        <w:tabs>
          <w:tab w:leader="none" w:pos="1300" w:val="left"/>
          <w:tab w:leader="dot" w:pos="6820" w:val="left"/>
        </w:tabs>
        <w:rPr>
          <w:sz w:val="20"/>
          <w:szCs w:val="20"/>
          <w:color w:val="auto"/>
        </w:rPr>
      </w:pPr>
      <w:r>
        <w:rPr>
          <w:rFonts w:ascii="Courier New" w:cs="Courier New" w:eastAsia="Courier New" w:hAnsi="Courier New"/>
          <w:sz w:val="15"/>
          <w:szCs w:val="15"/>
          <w:color w:val="auto"/>
        </w:rPr>
        <w:t>Section 2.09.</w:t>
        <w:tab/>
        <w:t>Mutilated, Defaced, Destroyed, Lost and Stolen Securities</w:t>
      </w:r>
      <w:r>
        <w:rPr>
          <w:sz w:val="20"/>
          <w:szCs w:val="20"/>
          <w:color w:val="auto"/>
        </w:rPr>
        <w:tab/>
      </w:r>
      <w:r>
        <w:rPr>
          <w:rFonts w:ascii="Courier New" w:cs="Courier New" w:eastAsia="Courier New" w:hAnsi="Courier New"/>
          <w:sz w:val="12"/>
          <w:szCs w:val="12"/>
          <w:color w:val="auto"/>
        </w:rPr>
        <w:t>16</w:t>
      </w:r>
    </w:p>
    <w:p>
      <w:pPr>
        <w:spacing w:after="0"/>
        <w:tabs>
          <w:tab w:leader="none" w:pos="1300" w:val="left"/>
          <w:tab w:leader="dot" w:pos="6820" w:val="left"/>
        </w:tabs>
        <w:rPr>
          <w:sz w:val="20"/>
          <w:szCs w:val="20"/>
          <w:color w:val="auto"/>
        </w:rPr>
      </w:pPr>
      <w:r>
        <w:rPr>
          <w:rFonts w:ascii="Courier New" w:cs="Courier New" w:eastAsia="Courier New" w:hAnsi="Courier New"/>
          <w:sz w:val="15"/>
          <w:szCs w:val="15"/>
          <w:color w:val="auto"/>
        </w:rPr>
        <w:t>Section 2.10.</w:t>
        <w:tab/>
        <w:t>Cancellation of Securities; Destruction Thereof</w:t>
      </w:r>
      <w:r>
        <w:rPr>
          <w:sz w:val="20"/>
          <w:szCs w:val="20"/>
          <w:color w:val="auto"/>
        </w:rPr>
        <w:tab/>
      </w:r>
      <w:r>
        <w:rPr>
          <w:rFonts w:ascii="Courier New" w:cs="Courier New" w:eastAsia="Courier New" w:hAnsi="Courier New"/>
          <w:sz w:val="12"/>
          <w:szCs w:val="12"/>
          <w:color w:val="auto"/>
        </w:rPr>
        <w:t>17</w:t>
      </w:r>
    </w:p>
    <w:p>
      <w:pPr>
        <w:spacing w:after="0"/>
        <w:tabs>
          <w:tab w:leader="none" w:pos="1300" w:val="left"/>
          <w:tab w:leader="dot" w:pos="6820" w:val="left"/>
        </w:tabs>
        <w:rPr>
          <w:sz w:val="20"/>
          <w:szCs w:val="20"/>
          <w:color w:val="auto"/>
        </w:rPr>
      </w:pPr>
      <w:r>
        <w:rPr>
          <w:rFonts w:ascii="Courier New" w:cs="Courier New" w:eastAsia="Courier New" w:hAnsi="Courier New"/>
          <w:sz w:val="15"/>
          <w:szCs w:val="15"/>
          <w:color w:val="auto"/>
        </w:rPr>
        <w:t>Section 2.11.</w:t>
        <w:tab/>
        <w:t>Temporary Securities</w:t>
      </w:r>
      <w:r>
        <w:rPr>
          <w:sz w:val="20"/>
          <w:szCs w:val="20"/>
          <w:color w:val="auto"/>
        </w:rPr>
        <w:tab/>
      </w:r>
      <w:r>
        <w:rPr>
          <w:rFonts w:ascii="Courier New" w:cs="Courier New" w:eastAsia="Courier New" w:hAnsi="Courier New"/>
          <w:sz w:val="12"/>
          <w:szCs w:val="12"/>
          <w:color w:val="auto"/>
        </w:rPr>
        <w:t>17</w:t>
      </w:r>
    </w:p>
    <w:p>
      <w:pPr>
        <w:spacing w:after="0"/>
        <w:tabs>
          <w:tab w:leader="none" w:pos="1300" w:val="left"/>
          <w:tab w:leader="dot" w:pos="6820" w:val="left"/>
        </w:tabs>
        <w:rPr>
          <w:sz w:val="20"/>
          <w:szCs w:val="20"/>
          <w:color w:val="auto"/>
        </w:rPr>
      </w:pPr>
      <w:r>
        <w:rPr>
          <w:rFonts w:ascii="Courier New" w:cs="Courier New" w:eastAsia="Courier New" w:hAnsi="Courier New"/>
          <w:sz w:val="15"/>
          <w:szCs w:val="15"/>
          <w:color w:val="auto"/>
        </w:rPr>
        <w:t>Section 2.12.</w:t>
        <w:tab/>
        <w:t>Computation of Interest</w:t>
      </w:r>
      <w:r>
        <w:rPr>
          <w:sz w:val="20"/>
          <w:szCs w:val="20"/>
          <w:color w:val="auto"/>
        </w:rPr>
        <w:tab/>
      </w:r>
      <w:r>
        <w:rPr>
          <w:rFonts w:ascii="Courier New" w:cs="Courier New" w:eastAsia="Courier New" w:hAnsi="Courier New"/>
          <w:sz w:val="12"/>
          <w:szCs w:val="12"/>
          <w:color w:val="auto"/>
        </w:rPr>
        <w:t>17</w:t>
      </w:r>
    </w:p>
    <w:p>
      <w:pPr>
        <w:spacing w:after="0"/>
        <w:tabs>
          <w:tab w:leader="none" w:pos="1300" w:val="left"/>
          <w:tab w:leader="dot" w:pos="6820" w:val="left"/>
        </w:tabs>
        <w:rPr>
          <w:sz w:val="20"/>
          <w:szCs w:val="20"/>
          <w:color w:val="auto"/>
        </w:rPr>
      </w:pPr>
      <w:r>
        <w:rPr>
          <w:rFonts w:ascii="Courier New" w:cs="Courier New" w:eastAsia="Courier New" w:hAnsi="Courier New"/>
          <w:sz w:val="15"/>
          <w:szCs w:val="15"/>
          <w:color w:val="auto"/>
        </w:rPr>
        <w:t>Section 2.13.</w:t>
        <w:tab/>
        <w:t>CUSIP Numbers</w:t>
      </w:r>
      <w:r>
        <w:rPr>
          <w:sz w:val="20"/>
          <w:szCs w:val="20"/>
          <w:color w:val="auto"/>
        </w:rPr>
        <w:tab/>
      </w:r>
      <w:r>
        <w:rPr>
          <w:rFonts w:ascii="Courier New" w:cs="Courier New" w:eastAsia="Courier New" w:hAnsi="Courier New"/>
          <w:sz w:val="12"/>
          <w:szCs w:val="12"/>
          <w:color w:val="auto"/>
        </w:rPr>
        <w:t>17</w:t>
      </w:r>
    </w:p>
    <w:p>
      <w:pPr>
        <w:spacing w:after="0" w:line="335"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ARTICLE 3</w:t>
      </w:r>
    </w:p>
    <w:p>
      <w:pPr>
        <w:ind w:left="880"/>
        <w:spacing w:after="0" w:line="237" w:lineRule="auto"/>
        <w:rPr>
          <w:sz w:val="20"/>
          <w:szCs w:val="20"/>
          <w:color w:val="auto"/>
        </w:rPr>
      </w:pPr>
      <w:r>
        <w:rPr>
          <w:rFonts w:ascii="Courier New" w:cs="Courier New" w:eastAsia="Courier New" w:hAnsi="Courier New"/>
          <w:sz w:val="15"/>
          <w:szCs w:val="15"/>
          <w:color w:val="auto"/>
        </w:rPr>
        <w:t>COVENANTS OF THE ISSUER, THE CABLE GUARANTORS AND THE TRUSTEE</w:t>
      </w:r>
    </w:p>
    <w:p>
      <w:pPr>
        <w:spacing w:after="0" w:line="167" w:lineRule="exact"/>
        <w:rPr>
          <w:sz w:val="20"/>
          <w:szCs w:val="20"/>
          <w:color w:val="auto"/>
        </w:rPr>
      </w:pPr>
    </w:p>
    <w:p>
      <w:pPr>
        <w:spacing w:after="0"/>
        <w:tabs>
          <w:tab w:leader="none" w:pos="1300" w:val="left"/>
          <w:tab w:leader="dot" w:pos="6820" w:val="left"/>
        </w:tabs>
        <w:rPr>
          <w:sz w:val="20"/>
          <w:szCs w:val="20"/>
          <w:color w:val="auto"/>
        </w:rPr>
      </w:pPr>
      <w:r>
        <w:rPr>
          <w:rFonts w:ascii="Courier New" w:cs="Courier New" w:eastAsia="Courier New" w:hAnsi="Courier New"/>
          <w:sz w:val="15"/>
          <w:szCs w:val="15"/>
          <w:color w:val="auto"/>
        </w:rPr>
        <w:t>Section 3.01.</w:t>
        <w:tab/>
        <w:t>Payment of Principal and Interest</w:t>
      </w:r>
      <w:r>
        <w:rPr>
          <w:sz w:val="20"/>
          <w:szCs w:val="20"/>
          <w:color w:val="auto"/>
        </w:rPr>
        <w:tab/>
      </w:r>
      <w:r>
        <w:rPr>
          <w:rFonts w:ascii="Courier New" w:cs="Courier New" w:eastAsia="Courier New" w:hAnsi="Courier New"/>
          <w:sz w:val="12"/>
          <w:szCs w:val="12"/>
          <w:color w:val="auto"/>
        </w:rPr>
        <w:t>18</w:t>
      </w:r>
    </w:p>
    <w:p>
      <w:pPr>
        <w:spacing w:after="0"/>
        <w:tabs>
          <w:tab w:leader="none" w:pos="1300" w:val="left"/>
          <w:tab w:leader="dot" w:pos="6820" w:val="left"/>
        </w:tabs>
        <w:rPr>
          <w:sz w:val="20"/>
          <w:szCs w:val="20"/>
          <w:color w:val="auto"/>
        </w:rPr>
      </w:pPr>
      <w:r>
        <w:rPr>
          <w:rFonts w:ascii="Courier New" w:cs="Courier New" w:eastAsia="Courier New" w:hAnsi="Courier New"/>
          <w:sz w:val="15"/>
          <w:szCs w:val="15"/>
          <w:color w:val="auto"/>
        </w:rPr>
        <w:t>Section 3.02.</w:t>
        <w:tab/>
        <w:t>Offices for Payments, etc</w:t>
      </w:r>
      <w:r>
        <w:rPr>
          <w:sz w:val="20"/>
          <w:szCs w:val="20"/>
          <w:color w:val="auto"/>
        </w:rPr>
        <w:tab/>
      </w:r>
      <w:r>
        <w:rPr>
          <w:rFonts w:ascii="Courier New" w:cs="Courier New" w:eastAsia="Courier New" w:hAnsi="Courier New"/>
          <w:sz w:val="12"/>
          <w:szCs w:val="12"/>
          <w:color w:val="auto"/>
        </w:rPr>
        <w:t>18</w:t>
      </w:r>
    </w:p>
    <w:p>
      <w:pPr>
        <w:spacing w:after="0"/>
        <w:tabs>
          <w:tab w:leader="none" w:pos="1300" w:val="left"/>
          <w:tab w:leader="dot" w:pos="6820" w:val="left"/>
        </w:tabs>
        <w:rPr>
          <w:sz w:val="20"/>
          <w:szCs w:val="20"/>
          <w:color w:val="auto"/>
        </w:rPr>
      </w:pPr>
      <w:r>
        <w:rPr>
          <w:rFonts w:ascii="Courier New" w:cs="Courier New" w:eastAsia="Courier New" w:hAnsi="Courier New"/>
          <w:sz w:val="15"/>
          <w:szCs w:val="15"/>
          <w:color w:val="auto"/>
        </w:rPr>
        <w:t>Section 3.03.</w:t>
        <w:tab/>
        <w:t>Paying Agents</w:t>
      </w:r>
      <w:r>
        <w:rPr>
          <w:sz w:val="20"/>
          <w:szCs w:val="20"/>
          <w:color w:val="auto"/>
        </w:rPr>
        <w:tab/>
      </w:r>
      <w:r>
        <w:rPr>
          <w:rFonts w:ascii="Courier New" w:cs="Courier New" w:eastAsia="Courier New" w:hAnsi="Courier New"/>
          <w:sz w:val="12"/>
          <w:szCs w:val="12"/>
          <w:color w:val="auto"/>
        </w:rPr>
        <w:t>19</w:t>
      </w:r>
    </w:p>
    <w:p>
      <w:pPr>
        <w:spacing w:after="0"/>
        <w:tabs>
          <w:tab w:leader="none" w:pos="1300" w:val="left"/>
          <w:tab w:leader="dot" w:pos="6820" w:val="left"/>
        </w:tabs>
        <w:rPr>
          <w:sz w:val="20"/>
          <w:szCs w:val="20"/>
          <w:color w:val="auto"/>
        </w:rPr>
      </w:pPr>
      <w:r>
        <w:rPr>
          <w:rFonts w:ascii="Courier New" w:cs="Courier New" w:eastAsia="Courier New" w:hAnsi="Courier New"/>
          <w:sz w:val="15"/>
          <w:szCs w:val="15"/>
          <w:color w:val="auto"/>
        </w:rPr>
        <w:t>Section 3.04.</w:t>
        <w:tab/>
        <w:t>Certificate of the Issuer</w:t>
      </w:r>
      <w:r>
        <w:rPr>
          <w:sz w:val="20"/>
          <w:szCs w:val="20"/>
          <w:color w:val="auto"/>
        </w:rPr>
        <w:tab/>
      </w:r>
      <w:r>
        <w:rPr>
          <w:rFonts w:ascii="Courier New" w:cs="Courier New" w:eastAsia="Courier New" w:hAnsi="Courier New"/>
          <w:sz w:val="12"/>
          <w:szCs w:val="12"/>
          <w:color w:val="auto"/>
        </w:rPr>
        <w:t>20</w:t>
      </w:r>
    </w:p>
    <w:p>
      <w:pPr>
        <w:spacing w:after="0"/>
        <w:tabs>
          <w:tab w:leader="none" w:pos="1300" w:val="left"/>
          <w:tab w:leader="dot" w:pos="6820" w:val="left"/>
        </w:tabs>
        <w:rPr>
          <w:sz w:val="20"/>
          <w:szCs w:val="20"/>
          <w:color w:val="auto"/>
        </w:rPr>
      </w:pPr>
      <w:r>
        <w:rPr>
          <w:rFonts w:ascii="Courier New" w:cs="Courier New" w:eastAsia="Courier New" w:hAnsi="Courier New"/>
          <w:sz w:val="15"/>
          <w:szCs w:val="15"/>
          <w:color w:val="auto"/>
        </w:rPr>
        <w:t>Section 3.05.</w:t>
        <w:tab/>
        <w:t>Securityholders Lists</w:t>
      </w:r>
      <w:r>
        <w:rPr>
          <w:sz w:val="20"/>
          <w:szCs w:val="20"/>
          <w:color w:val="auto"/>
        </w:rPr>
        <w:tab/>
      </w:r>
      <w:r>
        <w:rPr>
          <w:rFonts w:ascii="Courier New" w:cs="Courier New" w:eastAsia="Courier New" w:hAnsi="Courier New"/>
          <w:sz w:val="12"/>
          <w:szCs w:val="12"/>
          <w:color w:val="auto"/>
        </w:rPr>
        <w:t>20</w:t>
      </w:r>
    </w:p>
    <w:p>
      <w:pPr>
        <w:spacing w:after="0"/>
        <w:tabs>
          <w:tab w:leader="none" w:pos="1300" w:val="left"/>
          <w:tab w:leader="dot" w:pos="6820" w:val="left"/>
        </w:tabs>
        <w:rPr>
          <w:sz w:val="20"/>
          <w:szCs w:val="20"/>
          <w:color w:val="auto"/>
        </w:rPr>
      </w:pPr>
      <w:r>
        <w:rPr>
          <w:rFonts w:ascii="Courier New" w:cs="Courier New" w:eastAsia="Courier New" w:hAnsi="Courier New"/>
          <w:sz w:val="15"/>
          <w:szCs w:val="15"/>
          <w:color w:val="auto"/>
        </w:rPr>
        <w:t>Section 3.06.</w:t>
        <w:tab/>
        <w:t>Reports by the Issuer</w:t>
      </w:r>
      <w:r>
        <w:rPr>
          <w:sz w:val="20"/>
          <w:szCs w:val="20"/>
          <w:color w:val="auto"/>
        </w:rPr>
        <w:tab/>
      </w:r>
      <w:r>
        <w:rPr>
          <w:rFonts w:ascii="Courier New" w:cs="Courier New" w:eastAsia="Courier New" w:hAnsi="Courier New"/>
          <w:sz w:val="12"/>
          <w:szCs w:val="12"/>
          <w:color w:val="auto"/>
        </w:rPr>
        <w:t>20</w:t>
      </w:r>
    </w:p>
    <w:p>
      <w:pPr>
        <w:spacing w:after="0"/>
        <w:tabs>
          <w:tab w:leader="none" w:pos="1300" w:val="left"/>
          <w:tab w:leader="dot" w:pos="6820" w:val="left"/>
        </w:tabs>
        <w:rPr>
          <w:sz w:val="20"/>
          <w:szCs w:val="20"/>
          <w:color w:val="auto"/>
        </w:rPr>
      </w:pPr>
      <w:r>
        <w:rPr>
          <w:rFonts w:ascii="Courier New" w:cs="Courier New" w:eastAsia="Courier New" w:hAnsi="Courier New"/>
          <w:sz w:val="15"/>
          <w:szCs w:val="15"/>
          <w:color w:val="auto"/>
        </w:rPr>
        <w:t>Section 3.07.</w:t>
        <w:tab/>
        <w:t>Corporate Existence</w:t>
      </w:r>
      <w:r>
        <w:rPr>
          <w:sz w:val="20"/>
          <w:szCs w:val="20"/>
          <w:color w:val="auto"/>
        </w:rPr>
        <w:tab/>
      </w:r>
      <w:r>
        <w:rPr>
          <w:rFonts w:ascii="Courier New" w:cs="Courier New" w:eastAsia="Courier New" w:hAnsi="Courier New"/>
          <w:sz w:val="12"/>
          <w:szCs w:val="12"/>
          <w:color w:val="auto"/>
        </w:rPr>
        <w:t>21</w:t>
      </w:r>
    </w:p>
    <w:p>
      <w:pPr>
        <w:spacing w:after="0"/>
        <w:tabs>
          <w:tab w:leader="none" w:pos="1300" w:val="left"/>
          <w:tab w:leader="dot" w:pos="6820" w:val="left"/>
        </w:tabs>
        <w:rPr>
          <w:sz w:val="20"/>
          <w:szCs w:val="20"/>
          <w:color w:val="auto"/>
        </w:rPr>
      </w:pPr>
      <w:r>
        <w:rPr>
          <w:rFonts w:ascii="Courier New" w:cs="Courier New" w:eastAsia="Courier New" w:hAnsi="Courier New"/>
          <w:sz w:val="15"/>
          <w:szCs w:val="15"/>
          <w:color w:val="auto"/>
        </w:rPr>
        <w:t>Section 3.08.</w:t>
        <w:tab/>
        <w:t>Restrictions on Mergers, Sales and Consolidations</w:t>
      </w:r>
      <w:r>
        <w:rPr>
          <w:sz w:val="20"/>
          <w:szCs w:val="20"/>
          <w:color w:val="auto"/>
        </w:rPr>
        <w:tab/>
      </w:r>
      <w:r>
        <w:rPr>
          <w:rFonts w:ascii="Courier New" w:cs="Courier New" w:eastAsia="Courier New" w:hAnsi="Courier New"/>
          <w:sz w:val="12"/>
          <w:szCs w:val="12"/>
          <w:color w:val="auto"/>
        </w:rPr>
        <w:t>21</w:t>
      </w:r>
    </w:p>
    <w:p>
      <w:pPr>
        <w:spacing w:after="0"/>
        <w:tabs>
          <w:tab w:leader="none" w:pos="1300" w:val="left"/>
          <w:tab w:leader="dot" w:pos="6820" w:val="left"/>
        </w:tabs>
        <w:rPr>
          <w:sz w:val="20"/>
          <w:szCs w:val="20"/>
          <w:color w:val="auto"/>
        </w:rPr>
      </w:pPr>
      <w:r>
        <w:rPr>
          <w:rFonts w:ascii="Courier New" w:cs="Courier New" w:eastAsia="Courier New" w:hAnsi="Courier New"/>
          <w:sz w:val="15"/>
          <w:szCs w:val="15"/>
          <w:color w:val="auto"/>
        </w:rPr>
        <w:t>Section 3.09.</w:t>
        <w:tab/>
        <w:t>Further Assurances</w:t>
      </w:r>
      <w:r>
        <w:rPr>
          <w:sz w:val="20"/>
          <w:szCs w:val="20"/>
          <w:color w:val="auto"/>
        </w:rPr>
        <w:tab/>
      </w:r>
      <w:r>
        <w:rPr>
          <w:rFonts w:ascii="Courier New" w:cs="Courier New" w:eastAsia="Courier New" w:hAnsi="Courier New"/>
          <w:sz w:val="12"/>
          <w:szCs w:val="12"/>
          <w:color w:val="auto"/>
        </w:rPr>
        <w:t>21</w:t>
      </w:r>
    </w:p>
    <w:p>
      <w:pPr>
        <w:spacing w:after="0"/>
        <w:tabs>
          <w:tab w:leader="none" w:pos="1300" w:val="left"/>
          <w:tab w:leader="dot" w:pos="6820" w:val="left"/>
        </w:tabs>
        <w:rPr>
          <w:sz w:val="20"/>
          <w:szCs w:val="20"/>
          <w:color w:val="auto"/>
        </w:rPr>
      </w:pPr>
      <w:r>
        <w:rPr>
          <w:rFonts w:ascii="Courier New" w:cs="Courier New" w:eastAsia="Courier New" w:hAnsi="Courier New"/>
          <w:sz w:val="15"/>
          <w:szCs w:val="15"/>
          <w:color w:val="auto"/>
        </w:rPr>
        <w:t>Section 3.10.</w:t>
        <w:tab/>
        <w:t>Limitation on Liens</w:t>
      </w:r>
      <w:r>
        <w:rPr>
          <w:sz w:val="20"/>
          <w:szCs w:val="20"/>
          <w:color w:val="auto"/>
        </w:rPr>
        <w:tab/>
      </w:r>
      <w:r>
        <w:rPr>
          <w:rFonts w:ascii="Courier New" w:cs="Courier New" w:eastAsia="Courier New" w:hAnsi="Courier New"/>
          <w:sz w:val="12"/>
          <w:szCs w:val="12"/>
          <w:color w:val="auto"/>
        </w:rPr>
        <w:t>21</w:t>
      </w:r>
    </w:p>
    <w:p>
      <w:pPr>
        <w:spacing w:after="0"/>
        <w:tabs>
          <w:tab w:leader="none" w:pos="1300" w:val="left"/>
          <w:tab w:leader="dot" w:pos="6820" w:val="left"/>
        </w:tabs>
        <w:rPr>
          <w:sz w:val="20"/>
          <w:szCs w:val="20"/>
          <w:color w:val="auto"/>
        </w:rPr>
      </w:pPr>
      <w:r>
        <w:rPr>
          <w:rFonts w:ascii="Courier New" w:cs="Courier New" w:eastAsia="Courier New" w:hAnsi="Courier New"/>
          <w:sz w:val="15"/>
          <w:szCs w:val="15"/>
          <w:color w:val="auto"/>
        </w:rPr>
        <w:t>Section 3.11.</w:t>
        <w:tab/>
        <w:t>Limitation on Sale and Leaseback Transactions</w:t>
      </w:r>
      <w:r>
        <w:rPr>
          <w:sz w:val="20"/>
          <w:szCs w:val="20"/>
          <w:color w:val="auto"/>
        </w:rPr>
        <w:tab/>
      </w:r>
      <w:r>
        <w:rPr>
          <w:rFonts w:ascii="Courier New" w:cs="Courier New" w:eastAsia="Courier New" w:hAnsi="Courier New"/>
          <w:sz w:val="12"/>
          <w:szCs w:val="12"/>
          <w:color w:val="auto"/>
        </w:rPr>
        <w:t>21</w:t>
      </w:r>
    </w:p>
    <w:p>
      <w:pPr>
        <w:spacing w:after="0" w:line="335"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ARTICLE 4</w:t>
      </w:r>
    </w:p>
    <w:p>
      <w:pPr>
        <w:ind w:left="800"/>
        <w:spacing w:after="0" w:line="237" w:lineRule="auto"/>
        <w:rPr>
          <w:sz w:val="20"/>
          <w:szCs w:val="20"/>
          <w:color w:val="auto"/>
        </w:rPr>
      </w:pPr>
      <w:r>
        <w:rPr>
          <w:rFonts w:ascii="Courier New" w:cs="Courier New" w:eastAsia="Courier New" w:hAnsi="Courier New"/>
          <w:sz w:val="15"/>
          <w:szCs w:val="15"/>
          <w:color w:val="auto"/>
        </w:rPr>
        <w:t>REMEDIES OF THE TRUSTEE AND SECURITYHOLDERS ON EVENT OF DEFAULT</w:t>
      </w:r>
    </w:p>
    <w:p>
      <w:pPr>
        <w:spacing w:after="0" w:line="167" w:lineRule="exact"/>
        <w:rPr>
          <w:sz w:val="20"/>
          <w:szCs w:val="20"/>
          <w:color w:val="auto"/>
        </w:rPr>
      </w:pPr>
    </w:p>
    <w:p>
      <w:pPr>
        <w:spacing w:after="0"/>
        <w:tabs>
          <w:tab w:leader="none" w:pos="1300" w:val="left"/>
        </w:tabs>
        <w:rPr>
          <w:sz w:val="20"/>
          <w:szCs w:val="20"/>
          <w:color w:val="auto"/>
        </w:rPr>
      </w:pPr>
      <w:r>
        <w:rPr>
          <w:rFonts w:ascii="Courier New" w:cs="Courier New" w:eastAsia="Courier New" w:hAnsi="Courier New"/>
          <w:sz w:val="15"/>
          <w:szCs w:val="15"/>
          <w:color w:val="auto"/>
        </w:rPr>
        <w:t>Section 4.01.</w:t>
      </w:r>
      <w:r>
        <w:rPr>
          <w:sz w:val="20"/>
          <w:szCs w:val="20"/>
          <w:color w:val="auto"/>
        </w:rPr>
        <w:tab/>
      </w:r>
      <w:r>
        <w:rPr>
          <w:rFonts w:ascii="Courier New" w:cs="Courier New" w:eastAsia="Courier New" w:hAnsi="Courier New"/>
          <w:sz w:val="14"/>
          <w:szCs w:val="14"/>
          <w:color w:val="auto"/>
        </w:rPr>
        <w:t>Event of Default Defined; Acceleration of Maturity;</w:t>
      </w:r>
    </w:p>
    <w:p>
      <w:pPr>
        <w:ind w:left="1320"/>
        <w:spacing w:after="0"/>
        <w:tabs>
          <w:tab w:leader="dot" w:pos="6820" w:val="left"/>
        </w:tabs>
        <w:rPr>
          <w:sz w:val="20"/>
          <w:szCs w:val="20"/>
          <w:color w:val="auto"/>
        </w:rPr>
      </w:pPr>
      <w:r>
        <w:rPr>
          <w:rFonts w:ascii="Courier New" w:cs="Courier New" w:eastAsia="Courier New" w:hAnsi="Courier New"/>
          <w:sz w:val="15"/>
          <w:szCs w:val="15"/>
          <w:color w:val="auto"/>
        </w:rPr>
        <w:t>Waiver of Default</w:t>
      </w:r>
      <w:r>
        <w:rPr>
          <w:sz w:val="20"/>
          <w:szCs w:val="20"/>
          <w:color w:val="auto"/>
        </w:rPr>
        <w:tab/>
      </w:r>
      <w:r>
        <w:rPr>
          <w:rFonts w:ascii="Courier New" w:cs="Courier New" w:eastAsia="Courier New" w:hAnsi="Courier New"/>
          <w:sz w:val="12"/>
          <w:szCs w:val="12"/>
          <w:color w:val="auto"/>
        </w:rPr>
        <w:t>22</w:t>
      </w:r>
    </w:p>
    <w:p>
      <w:pPr>
        <w:spacing w:after="0"/>
        <w:tabs>
          <w:tab w:leader="none" w:pos="1300" w:val="left"/>
        </w:tabs>
        <w:rPr>
          <w:sz w:val="20"/>
          <w:szCs w:val="20"/>
          <w:color w:val="auto"/>
        </w:rPr>
      </w:pPr>
      <w:r>
        <w:rPr>
          <w:rFonts w:ascii="Courier New" w:cs="Courier New" w:eastAsia="Courier New" w:hAnsi="Courier New"/>
          <w:sz w:val="15"/>
          <w:szCs w:val="15"/>
          <w:color w:val="auto"/>
        </w:rPr>
        <w:t>Section 4.02.</w:t>
      </w:r>
      <w:r>
        <w:rPr>
          <w:sz w:val="20"/>
          <w:szCs w:val="20"/>
          <w:color w:val="auto"/>
        </w:rPr>
        <w:tab/>
      </w:r>
      <w:r>
        <w:rPr>
          <w:rFonts w:ascii="Courier New" w:cs="Courier New" w:eastAsia="Courier New" w:hAnsi="Courier New"/>
          <w:sz w:val="14"/>
          <w:szCs w:val="14"/>
          <w:color w:val="auto"/>
        </w:rPr>
        <w:t>Collection of Indebtedness by Trustee; Trustee May Prove Debt..24</w:t>
      </w:r>
    </w:p>
    <w:p>
      <w:pPr>
        <w:spacing w:after="0"/>
        <w:tabs>
          <w:tab w:leader="none" w:pos="1300" w:val="left"/>
          <w:tab w:leader="dot" w:pos="6820" w:val="left"/>
        </w:tabs>
        <w:rPr>
          <w:sz w:val="20"/>
          <w:szCs w:val="20"/>
          <w:color w:val="auto"/>
        </w:rPr>
      </w:pPr>
      <w:r>
        <w:rPr>
          <w:rFonts w:ascii="Courier New" w:cs="Courier New" w:eastAsia="Courier New" w:hAnsi="Courier New"/>
          <w:sz w:val="15"/>
          <w:szCs w:val="15"/>
          <w:color w:val="auto"/>
        </w:rPr>
        <w:t>Section 4.03.</w:t>
        <w:tab/>
        <w:t>Application of Proceeds</w:t>
      </w:r>
      <w:r>
        <w:rPr>
          <w:sz w:val="20"/>
          <w:szCs w:val="20"/>
          <w:color w:val="auto"/>
        </w:rPr>
        <w:tab/>
      </w:r>
      <w:r>
        <w:rPr>
          <w:rFonts w:ascii="Courier New" w:cs="Courier New" w:eastAsia="Courier New" w:hAnsi="Courier New"/>
          <w:sz w:val="12"/>
          <w:szCs w:val="12"/>
          <w:color w:val="auto"/>
        </w:rPr>
        <w:t>26</w:t>
      </w:r>
    </w:p>
    <w:p>
      <w:pPr>
        <w:spacing w:after="0"/>
        <w:tabs>
          <w:tab w:leader="none" w:pos="1300" w:val="left"/>
          <w:tab w:leader="dot" w:pos="6820" w:val="left"/>
        </w:tabs>
        <w:rPr>
          <w:sz w:val="20"/>
          <w:szCs w:val="20"/>
          <w:color w:val="auto"/>
        </w:rPr>
      </w:pPr>
      <w:r>
        <w:rPr>
          <w:rFonts w:ascii="Courier New" w:cs="Courier New" w:eastAsia="Courier New" w:hAnsi="Courier New"/>
          <w:sz w:val="15"/>
          <w:szCs w:val="15"/>
          <w:color w:val="auto"/>
        </w:rPr>
        <w:t>Section 4.04.</w:t>
        <w:tab/>
        <w:t>Suits for Enforcement</w:t>
      </w:r>
      <w:r>
        <w:rPr>
          <w:sz w:val="20"/>
          <w:szCs w:val="20"/>
          <w:color w:val="auto"/>
        </w:rPr>
        <w:tab/>
      </w:r>
      <w:r>
        <w:rPr>
          <w:rFonts w:ascii="Courier New" w:cs="Courier New" w:eastAsia="Courier New" w:hAnsi="Courier New"/>
          <w:sz w:val="12"/>
          <w:szCs w:val="12"/>
          <w:color w:val="auto"/>
        </w:rPr>
        <w:t>27</w:t>
      </w:r>
    </w:p>
    <w:p>
      <w:pPr>
        <w:sectPr>
          <w:pgSz w:w="11900" w:h="16838" w:orient="portrait"/>
          <w:cols w:equalWidth="0" w:num="1">
            <w:col w:w="10239"/>
          </w:cols>
          <w:pgMar w:left="220" w:top="135" w:right="1440" w:bottom="1440" w:gutter="0" w:footer="0" w:header="0"/>
        </w:sectPr>
      </w:pPr>
    </w:p>
    <w:p>
      <w:pPr>
        <w:spacing w:after="0" w:line="341" w:lineRule="exact"/>
        <w:rPr>
          <w:sz w:val="20"/>
          <w:szCs w:val="20"/>
          <w:color w:val="auto"/>
        </w:rPr>
      </w:pPr>
    </w:p>
    <w:p>
      <w:pPr>
        <w:ind w:left="3420"/>
        <w:spacing w:after="0"/>
        <w:rPr>
          <w:sz w:val="20"/>
          <w:szCs w:val="20"/>
          <w:color w:val="auto"/>
        </w:rPr>
      </w:pPr>
      <w:r>
        <w:rPr>
          <w:rFonts w:ascii="Courier New" w:cs="Courier New" w:eastAsia="Courier New" w:hAnsi="Courier New"/>
          <w:sz w:val="14"/>
          <w:szCs w:val="14"/>
          <w:color w:val="auto"/>
        </w:rPr>
        <w:t>-i-</w:t>
      </w:r>
    </w:p>
    <w:p>
      <w:pPr>
        <w:sectPr>
          <w:pgSz w:w="11900" w:h="16838" w:orient="portrait"/>
          <w:cols w:equalWidth="0" w:num="1">
            <w:col w:w="10239"/>
          </w:cols>
          <w:pgMar w:left="220" w:top="135" w:right="1440" w:bottom="1440" w:gutter="0" w:footer="0" w:header="0"/>
          <w:type w:val="continuous"/>
        </w:sectPr>
      </w:pPr>
    </w:p>
    <w:bookmarkStart w:id="76" w:name="page77"/>
    <w:bookmarkEnd w:id="76"/>
    <w:p>
      <w:pPr>
        <w:spacing w:after="0"/>
        <w:tabs>
          <w:tab w:leader="none" w:pos="1300" w:val="left"/>
          <w:tab w:leader="dot" w:pos="6820" w:val="left"/>
        </w:tabs>
        <w:rPr>
          <w:sz w:val="20"/>
          <w:szCs w:val="20"/>
          <w:color w:val="auto"/>
        </w:rPr>
      </w:pPr>
      <w:r>
        <w:rPr>
          <w:rFonts w:ascii="Courier New" w:cs="Courier New" w:eastAsia="Courier New" w:hAnsi="Courier New"/>
          <w:sz w:val="15"/>
          <w:szCs w:val="15"/>
          <w:color w:val="auto"/>
        </w:rPr>
        <w:t>Section 4.05.</w:t>
        <w:tab/>
        <w:t>Restoration of Rights on Abandonment of Proceedings</w:t>
      </w:r>
      <w:r>
        <w:rPr>
          <w:sz w:val="20"/>
          <w:szCs w:val="20"/>
          <w:color w:val="auto"/>
        </w:rPr>
        <w:tab/>
      </w:r>
      <w:r>
        <w:rPr>
          <w:rFonts w:ascii="Courier New" w:cs="Courier New" w:eastAsia="Courier New" w:hAnsi="Courier New"/>
          <w:sz w:val="12"/>
          <w:szCs w:val="12"/>
          <w:color w:val="auto"/>
        </w:rPr>
        <w:t>27</w:t>
      </w:r>
    </w:p>
    <w:p>
      <w:pPr>
        <w:spacing w:after="0"/>
        <w:tabs>
          <w:tab w:leader="none" w:pos="1300" w:val="left"/>
          <w:tab w:leader="dot" w:pos="6820" w:val="left"/>
        </w:tabs>
        <w:rPr>
          <w:sz w:val="20"/>
          <w:szCs w:val="20"/>
          <w:color w:val="auto"/>
        </w:rPr>
      </w:pPr>
      <w:r>
        <w:rPr>
          <w:rFonts w:ascii="Courier New" w:cs="Courier New" w:eastAsia="Courier New" w:hAnsi="Courier New"/>
          <w:sz w:val="15"/>
          <w:szCs w:val="15"/>
          <w:color w:val="auto"/>
        </w:rPr>
        <w:t>Section 4.06.</w:t>
        <w:tab/>
        <w:t>Limitations on Suits by Securityholder</w:t>
      </w:r>
      <w:r>
        <w:rPr>
          <w:sz w:val="20"/>
          <w:szCs w:val="20"/>
          <w:color w:val="auto"/>
        </w:rPr>
        <w:tab/>
      </w:r>
      <w:r>
        <w:rPr>
          <w:rFonts w:ascii="Courier New" w:cs="Courier New" w:eastAsia="Courier New" w:hAnsi="Courier New"/>
          <w:sz w:val="12"/>
          <w:szCs w:val="12"/>
          <w:color w:val="auto"/>
        </w:rPr>
        <w:t>27</w:t>
      </w:r>
    </w:p>
    <w:p>
      <w:pPr>
        <w:spacing w:after="0"/>
        <w:tabs>
          <w:tab w:leader="none" w:pos="1300" w:val="left"/>
        </w:tabs>
        <w:rPr>
          <w:sz w:val="20"/>
          <w:szCs w:val="20"/>
          <w:color w:val="auto"/>
        </w:rPr>
      </w:pPr>
      <w:r>
        <w:rPr>
          <w:rFonts w:ascii="Courier New" w:cs="Courier New" w:eastAsia="Courier New" w:hAnsi="Courier New"/>
          <w:sz w:val="15"/>
          <w:szCs w:val="15"/>
          <w:color w:val="auto"/>
        </w:rPr>
        <w:t>Section 4.07.</w:t>
      </w:r>
      <w:r>
        <w:rPr>
          <w:sz w:val="20"/>
          <w:szCs w:val="20"/>
          <w:color w:val="auto"/>
        </w:rPr>
        <w:tab/>
      </w:r>
      <w:r>
        <w:rPr>
          <w:rFonts w:ascii="Courier New" w:cs="Courier New" w:eastAsia="Courier New" w:hAnsi="Courier New"/>
          <w:sz w:val="14"/>
          <w:szCs w:val="14"/>
          <w:color w:val="auto"/>
        </w:rPr>
        <w:t>Unconditional Right of Securityholders to Institute</w:t>
      </w:r>
    </w:p>
    <w:p>
      <w:pPr>
        <w:jc w:val="right"/>
        <w:ind w:right="3239"/>
        <w:spacing w:after="0"/>
        <w:tabs>
          <w:tab w:leader="dot" w:pos="140" w:val="left"/>
        </w:tabs>
        <w:rPr>
          <w:sz w:val="20"/>
          <w:szCs w:val="20"/>
          <w:color w:val="auto"/>
        </w:rPr>
      </w:pPr>
      <w:r>
        <w:rPr>
          <w:rFonts w:ascii="Courier New" w:cs="Courier New" w:eastAsia="Courier New" w:hAnsi="Courier New"/>
          <w:sz w:val="15"/>
          <w:szCs w:val="15"/>
          <w:color w:val="auto"/>
        </w:rPr>
        <w:t>Certain Suits</w:t>
      </w:r>
      <w:r>
        <w:rPr>
          <w:sz w:val="20"/>
          <w:szCs w:val="20"/>
          <w:color w:val="auto"/>
        </w:rPr>
        <w:tab/>
      </w:r>
      <w:r>
        <w:rPr>
          <w:rFonts w:ascii="Courier New" w:cs="Courier New" w:eastAsia="Courier New" w:hAnsi="Courier New"/>
          <w:sz w:val="12"/>
          <w:szCs w:val="12"/>
          <w:color w:val="auto"/>
        </w:rPr>
        <w:t>27</w:t>
      </w:r>
    </w:p>
    <w:p>
      <w:pPr>
        <w:spacing w:after="0"/>
        <w:tabs>
          <w:tab w:leader="none" w:pos="1300" w:val="left"/>
        </w:tabs>
        <w:rPr>
          <w:sz w:val="20"/>
          <w:szCs w:val="20"/>
          <w:color w:val="auto"/>
        </w:rPr>
      </w:pPr>
      <w:r>
        <w:rPr>
          <w:rFonts w:ascii="Courier New" w:cs="Courier New" w:eastAsia="Courier New" w:hAnsi="Courier New"/>
          <w:sz w:val="15"/>
          <w:szCs w:val="15"/>
          <w:color w:val="auto"/>
        </w:rPr>
        <w:t>Section 4.08.</w:t>
      </w:r>
      <w:r>
        <w:rPr>
          <w:sz w:val="20"/>
          <w:szCs w:val="20"/>
          <w:color w:val="auto"/>
        </w:rPr>
        <w:tab/>
      </w:r>
      <w:r>
        <w:rPr>
          <w:rFonts w:ascii="Courier New" w:cs="Courier New" w:eastAsia="Courier New" w:hAnsi="Courier New"/>
          <w:sz w:val="14"/>
          <w:szCs w:val="14"/>
          <w:color w:val="auto"/>
        </w:rPr>
        <w:t>Powers and Remedies Cumulative; Delay or Omission</w:t>
      </w:r>
    </w:p>
    <w:p>
      <w:pPr>
        <w:jc w:val="right"/>
        <w:ind w:right="3239"/>
        <w:spacing w:after="0"/>
        <w:tabs>
          <w:tab w:leader="dot" w:pos="140" w:val="left"/>
        </w:tabs>
        <w:rPr>
          <w:sz w:val="20"/>
          <w:szCs w:val="20"/>
          <w:color w:val="auto"/>
        </w:rPr>
      </w:pPr>
      <w:r>
        <w:rPr>
          <w:rFonts w:ascii="Courier New" w:cs="Courier New" w:eastAsia="Courier New" w:hAnsi="Courier New"/>
          <w:sz w:val="15"/>
          <w:szCs w:val="15"/>
          <w:color w:val="auto"/>
        </w:rPr>
        <w:t>Not Waiver of Default</w:t>
      </w:r>
      <w:r>
        <w:rPr>
          <w:sz w:val="20"/>
          <w:szCs w:val="20"/>
          <w:color w:val="auto"/>
        </w:rPr>
        <w:tab/>
      </w:r>
      <w:r>
        <w:rPr>
          <w:rFonts w:ascii="Courier New" w:cs="Courier New" w:eastAsia="Courier New" w:hAnsi="Courier New"/>
          <w:sz w:val="12"/>
          <w:szCs w:val="12"/>
          <w:color w:val="auto"/>
        </w:rPr>
        <w:t>27</w:t>
      </w:r>
    </w:p>
    <w:p>
      <w:pPr>
        <w:spacing w:after="0"/>
        <w:tabs>
          <w:tab w:leader="none" w:pos="1300" w:val="left"/>
          <w:tab w:leader="dot" w:pos="6820" w:val="left"/>
        </w:tabs>
        <w:rPr>
          <w:sz w:val="20"/>
          <w:szCs w:val="20"/>
          <w:color w:val="auto"/>
        </w:rPr>
      </w:pPr>
      <w:r>
        <w:rPr>
          <w:rFonts w:ascii="Courier New" w:cs="Courier New" w:eastAsia="Courier New" w:hAnsi="Courier New"/>
          <w:sz w:val="15"/>
          <w:szCs w:val="15"/>
          <w:color w:val="auto"/>
        </w:rPr>
        <w:t>Section 4.09.</w:t>
        <w:tab/>
        <w:t>Control by Securityholders</w:t>
      </w:r>
      <w:r>
        <w:rPr>
          <w:sz w:val="20"/>
          <w:szCs w:val="20"/>
          <w:color w:val="auto"/>
        </w:rPr>
        <w:tab/>
      </w:r>
      <w:r>
        <w:rPr>
          <w:rFonts w:ascii="Courier New" w:cs="Courier New" w:eastAsia="Courier New" w:hAnsi="Courier New"/>
          <w:sz w:val="12"/>
          <w:szCs w:val="12"/>
          <w:color w:val="auto"/>
        </w:rPr>
        <w:t>28</w:t>
      </w:r>
    </w:p>
    <w:p>
      <w:pPr>
        <w:spacing w:after="0"/>
        <w:tabs>
          <w:tab w:leader="none" w:pos="1300" w:val="left"/>
          <w:tab w:leader="dot" w:pos="6820" w:val="left"/>
        </w:tabs>
        <w:rPr>
          <w:sz w:val="20"/>
          <w:szCs w:val="20"/>
          <w:color w:val="auto"/>
        </w:rPr>
      </w:pPr>
      <w:r>
        <w:rPr>
          <w:rFonts w:ascii="Courier New" w:cs="Courier New" w:eastAsia="Courier New" w:hAnsi="Courier New"/>
          <w:sz w:val="15"/>
          <w:szCs w:val="15"/>
          <w:color w:val="auto"/>
        </w:rPr>
        <w:t>Section 4.10.</w:t>
        <w:tab/>
        <w:t>Waiver of Past Defaults</w:t>
      </w:r>
      <w:r>
        <w:rPr>
          <w:sz w:val="20"/>
          <w:szCs w:val="20"/>
          <w:color w:val="auto"/>
        </w:rPr>
        <w:tab/>
      </w:r>
      <w:r>
        <w:rPr>
          <w:rFonts w:ascii="Courier New" w:cs="Courier New" w:eastAsia="Courier New" w:hAnsi="Courier New"/>
          <w:sz w:val="12"/>
          <w:szCs w:val="12"/>
          <w:color w:val="auto"/>
        </w:rPr>
        <w:t>28</w:t>
      </w:r>
    </w:p>
    <w:p>
      <w:pPr>
        <w:spacing w:after="0"/>
        <w:tabs>
          <w:tab w:leader="none" w:pos="1300" w:val="left"/>
        </w:tabs>
        <w:rPr>
          <w:sz w:val="20"/>
          <w:szCs w:val="20"/>
          <w:color w:val="auto"/>
        </w:rPr>
      </w:pPr>
      <w:r>
        <w:rPr>
          <w:rFonts w:ascii="Courier New" w:cs="Courier New" w:eastAsia="Courier New" w:hAnsi="Courier New"/>
          <w:sz w:val="15"/>
          <w:szCs w:val="15"/>
          <w:color w:val="auto"/>
        </w:rPr>
        <w:t>Section 4.11.</w:t>
      </w:r>
      <w:r>
        <w:rPr>
          <w:sz w:val="20"/>
          <w:szCs w:val="20"/>
          <w:color w:val="auto"/>
        </w:rPr>
        <w:tab/>
      </w:r>
      <w:r>
        <w:rPr>
          <w:rFonts w:ascii="Courier New" w:cs="Courier New" w:eastAsia="Courier New" w:hAnsi="Courier New"/>
          <w:sz w:val="14"/>
          <w:szCs w:val="14"/>
          <w:color w:val="auto"/>
        </w:rPr>
        <w:t>Trustee to Give Notice of Default, But May Withhold in Certain</w:t>
      </w:r>
    </w:p>
    <w:p>
      <w:pPr>
        <w:jc w:val="right"/>
        <w:ind w:right="3239"/>
        <w:spacing w:after="0"/>
        <w:tabs>
          <w:tab w:leader="dot" w:pos="140" w:val="left"/>
        </w:tabs>
        <w:rPr>
          <w:sz w:val="20"/>
          <w:szCs w:val="20"/>
          <w:color w:val="auto"/>
        </w:rPr>
      </w:pPr>
      <w:r>
        <w:rPr>
          <w:rFonts w:ascii="Courier New" w:cs="Courier New" w:eastAsia="Courier New" w:hAnsi="Courier New"/>
          <w:sz w:val="15"/>
          <w:szCs w:val="15"/>
          <w:color w:val="auto"/>
        </w:rPr>
        <w:t>Circumstances</w:t>
      </w:r>
      <w:r>
        <w:rPr>
          <w:sz w:val="20"/>
          <w:szCs w:val="20"/>
          <w:color w:val="auto"/>
        </w:rPr>
        <w:tab/>
      </w:r>
      <w:r>
        <w:rPr>
          <w:rFonts w:ascii="Courier New" w:cs="Courier New" w:eastAsia="Courier New" w:hAnsi="Courier New"/>
          <w:sz w:val="12"/>
          <w:szCs w:val="12"/>
          <w:color w:val="auto"/>
        </w:rPr>
        <w:t>29</w:t>
      </w:r>
    </w:p>
    <w:p>
      <w:pPr>
        <w:spacing w:after="0"/>
        <w:tabs>
          <w:tab w:leader="none" w:pos="1300" w:val="left"/>
          <w:tab w:leader="dot" w:pos="6820" w:val="left"/>
        </w:tabs>
        <w:rPr>
          <w:sz w:val="20"/>
          <w:szCs w:val="20"/>
          <w:color w:val="auto"/>
        </w:rPr>
      </w:pPr>
      <w:r>
        <w:rPr>
          <w:rFonts w:ascii="Courier New" w:cs="Courier New" w:eastAsia="Courier New" w:hAnsi="Courier New"/>
          <w:sz w:val="15"/>
          <w:szCs w:val="15"/>
          <w:color w:val="auto"/>
        </w:rPr>
        <w:t>Section 4.12.</w:t>
        <w:tab/>
        <w:t>Right of Court to Require Filing of Undertaking to Pay Costs</w:t>
      </w:r>
      <w:r>
        <w:rPr>
          <w:sz w:val="20"/>
          <w:szCs w:val="20"/>
          <w:color w:val="auto"/>
        </w:rPr>
        <w:tab/>
      </w:r>
      <w:r>
        <w:rPr>
          <w:rFonts w:ascii="Courier New" w:cs="Courier New" w:eastAsia="Courier New" w:hAnsi="Courier New"/>
          <w:sz w:val="12"/>
          <w:szCs w:val="12"/>
          <w:color w:val="auto"/>
        </w:rPr>
        <w:t>29</w:t>
      </w:r>
    </w:p>
    <w:p>
      <w:pPr>
        <w:spacing w:after="0" w:line="335"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ARTICLE 5</w:t>
      </w:r>
    </w:p>
    <w:p>
      <w:pPr>
        <w:ind w:left="2540"/>
        <w:spacing w:after="0" w:line="237" w:lineRule="auto"/>
        <w:rPr>
          <w:sz w:val="20"/>
          <w:szCs w:val="20"/>
          <w:color w:val="auto"/>
        </w:rPr>
      </w:pPr>
      <w:r>
        <w:rPr>
          <w:rFonts w:ascii="Courier New" w:cs="Courier New" w:eastAsia="Courier New" w:hAnsi="Courier New"/>
          <w:sz w:val="15"/>
          <w:szCs w:val="15"/>
          <w:color w:val="auto"/>
        </w:rPr>
        <w:t>CONCERNING THE TRUSTEE</w:t>
      </w:r>
    </w:p>
    <w:p>
      <w:pPr>
        <w:spacing w:after="0" w:line="167" w:lineRule="exact"/>
        <w:rPr>
          <w:sz w:val="20"/>
          <w:szCs w:val="20"/>
          <w:color w:val="auto"/>
        </w:rPr>
      </w:pPr>
    </w:p>
    <w:p>
      <w:pPr>
        <w:spacing w:after="0"/>
        <w:tabs>
          <w:tab w:leader="none" w:pos="1300" w:val="left"/>
        </w:tabs>
        <w:rPr>
          <w:sz w:val="20"/>
          <w:szCs w:val="20"/>
          <w:color w:val="auto"/>
        </w:rPr>
      </w:pPr>
      <w:r>
        <w:rPr>
          <w:rFonts w:ascii="Courier New" w:cs="Courier New" w:eastAsia="Courier New" w:hAnsi="Courier New"/>
          <w:sz w:val="15"/>
          <w:szCs w:val="15"/>
          <w:color w:val="auto"/>
        </w:rPr>
        <w:t>Section 5.01.</w:t>
      </w:r>
      <w:r>
        <w:rPr>
          <w:sz w:val="20"/>
          <w:szCs w:val="20"/>
          <w:color w:val="auto"/>
        </w:rPr>
        <w:tab/>
      </w:r>
      <w:r>
        <w:rPr>
          <w:rFonts w:ascii="Courier New" w:cs="Courier New" w:eastAsia="Courier New" w:hAnsi="Courier New"/>
          <w:sz w:val="14"/>
          <w:szCs w:val="14"/>
          <w:color w:val="auto"/>
        </w:rPr>
        <w:t>Duties and Responsibilities of the Trustee; During Default;</w:t>
      </w:r>
    </w:p>
    <w:p>
      <w:pPr>
        <w:jc w:val="right"/>
        <w:ind w:right="3239"/>
        <w:spacing w:after="0"/>
        <w:tabs>
          <w:tab w:leader="dot" w:pos="140" w:val="left"/>
        </w:tabs>
        <w:rPr>
          <w:sz w:val="20"/>
          <w:szCs w:val="20"/>
          <w:color w:val="auto"/>
        </w:rPr>
      </w:pPr>
      <w:r>
        <w:rPr>
          <w:rFonts w:ascii="Courier New" w:cs="Courier New" w:eastAsia="Courier New" w:hAnsi="Courier New"/>
          <w:sz w:val="15"/>
          <w:szCs w:val="15"/>
          <w:color w:val="auto"/>
        </w:rPr>
        <w:t>Prior to Default</w:t>
      </w:r>
      <w:r>
        <w:rPr>
          <w:sz w:val="20"/>
          <w:szCs w:val="20"/>
          <w:color w:val="auto"/>
        </w:rPr>
        <w:tab/>
      </w:r>
      <w:r>
        <w:rPr>
          <w:rFonts w:ascii="Courier New" w:cs="Courier New" w:eastAsia="Courier New" w:hAnsi="Courier New"/>
          <w:sz w:val="12"/>
          <w:szCs w:val="12"/>
          <w:color w:val="auto"/>
        </w:rPr>
        <w:t>29</w:t>
      </w:r>
    </w:p>
    <w:p>
      <w:pPr>
        <w:spacing w:after="0"/>
        <w:tabs>
          <w:tab w:leader="none" w:pos="1300" w:val="left"/>
          <w:tab w:leader="dot" w:pos="6820" w:val="left"/>
        </w:tabs>
        <w:rPr>
          <w:sz w:val="20"/>
          <w:szCs w:val="20"/>
          <w:color w:val="auto"/>
        </w:rPr>
      </w:pPr>
      <w:r>
        <w:rPr>
          <w:rFonts w:ascii="Courier New" w:cs="Courier New" w:eastAsia="Courier New" w:hAnsi="Courier New"/>
          <w:sz w:val="15"/>
          <w:szCs w:val="15"/>
          <w:color w:val="auto"/>
        </w:rPr>
        <w:t>Section 5.02.</w:t>
        <w:tab/>
        <w:t>Certain Rights of the Trustee</w:t>
      </w:r>
      <w:r>
        <w:rPr>
          <w:sz w:val="20"/>
          <w:szCs w:val="20"/>
          <w:color w:val="auto"/>
        </w:rPr>
        <w:tab/>
      </w:r>
      <w:r>
        <w:rPr>
          <w:rFonts w:ascii="Courier New" w:cs="Courier New" w:eastAsia="Courier New" w:hAnsi="Courier New"/>
          <w:sz w:val="12"/>
          <w:szCs w:val="12"/>
          <w:color w:val="auto"/>
        </w:rPr>
        <w:t>31</w:t>
      </w:r>
    </w:p>
    <w:p>
      <w:pPr>
        <w:spacing w:after="0"/>
        <w:tabs>
          <w:tab w:leader="none" w:pos="1300" w:val="left"/>
        </w:tabs>
        <w:rPr>
          <w:sz w:val="20"/>
          <w:szCs w:val="20"/>
          <w:color w:val="auto"/>
        </w:rPr>
      </w:pPr>
      <w:r>
        <w:rPr>
          <w:rFonts w:ascii="Courier New" w:cs="Courier New" w:eastAsia="Courier New" w:hAnsi="Courier New"/>
          <w:sz w:val="15"/>
          <w:szCs w:val="15"/>
          <w:color w:val="auto"/>
        </w:rPr>
        <w:t>Section 5.03.</w:t>
      </w:r>
      <w:r>
        <w:rPr>
          <w:sz w:val="20"/>
          <w:szCs w:val="20"/>
          <w:color w:val="auto"/>
        </w:rPr>
        <w:tab/>
      </w:r>
      <w:r>
        <w:rPr>
          <w:rFonts w:ascii="Courier New" w:cs="Courier New" w:eastAsia="Courier New" w:hAnsi="Courier New"/>
          <w:sz w:val="14"/>
          <w:szCs w:val="14"/>
          <w:color w:val="auto"/>
        </w:rPr>
        <w:t>Trustee Not Responsible for Recitals, Disposition of</w:t>
      </w:r>
    </w:p>
    <w:p>
      <w:pPr>
        <w:jc w:val="right"/>
        <w:ind w:right="3239"/>
        <w:spacing w:after="0"/>
        <w:tabs>
          <w:tab w:leader="dot" w:pos="140" w:val="left"/>
        </w:tabs>
        <w:rPr>
          <w:sz w:val="20"/>
          <w:szCs w:val="20"/>
          <w:color w:val="auto"/>
        </w:rPr>
      </w:pPr>
      <w:r>
        <w:rPr>
          <w:rFonts w:ascii="Courier New" w:cs="Courier New" w:eastAsia="Courier New" w:hAnsi="Courier New"/>
          <w:sz w:val="15"/>
          <w:szCs w:val="15"/>
          <w:color w:val="auto"/>
        </w:rPr>
        <w:t>Securities or Application of Proceeds Thereof</w:t>
      </w:r>
      <w:r>
        <w:rPr>
          <w:sz w:val="20"/>
          <w:szCs w:val="20"/>
          <w:color w:val="auto"/>
        </w:rPr>
        <w:tab/>
      </w:r>
      <w:r>
        <w:rPr>
          <w:rFonts w:ascii="Courier New" w:cs="Courier New" w:eastAsia="Courier New" w:hAnsi="Courier New"/>
          <w:sz w:val="12"/>
          <w:szCs w:val="12"/>
          <w:color w:val="auto"/>
        </w:rPr>
        <w:t>32</w:t>
      </w:r>
    </w:p>
    <w:p>
      <w:pPr>
        <w:spacing w:after="0"/>
        <w:tabs>
          <w:tab w:leader="none" w:pos="1300" w:val="left"/>
          <w:tab w:leader="dot" w:pos="6820" w:val="left"/>
        </w:tabs>
        <w:rPr>
          <w:sz w:val="20"/>
          <w:szCs w:val="20"/>
          <w:color w:val="auto"/>
        </w:rPr>
      </w:pPr>
      <w:r>
        <w:rPr>
          <w:rFonts w:ascii="Courier New" w:cs="Courier New" w:eastAsia="Courier New" w:hAnsi="Courier New"/>
          <w:sz w:val="15"/>
          <w:szCs w:val="15"/>
          <w:color w:val="auto"/>
        </w:rPr>
        <w:t>Section 5.04.</w:t>
        <w:tab/>
        <w:t>Trustee and Agents May Hold Securities; Collections, etc</w:t>
      </w:r>
      <w:r>
        <w:rPr>
          <w:sz w:val="20"/>
          <w:szCs w:val="20"/>
          <w:color w:val="auto"/>
        </w:rPr>
        <w:tab/>
      </w:r>
      <w:r>
        <w:rPr>
          <w:rFonts w:ascii="Courier New" w:cs="Courier New" w:eastAsia="Courier New" w:hAnsi="Courier New"/>
          <w:sz w:val="12"/>
          <w:szCs w:val="12"/>
          <w:color w:val="auto"/>
        </w:rPr>
        <w:t>32</w:t>
      </w:r>
    </w:p>
    <w:p>
      <w:pPr>
        <w:spacing w:after="0"/>
        <w:tabs>
          <w:tab w:leader="none" w:pos="1300" w:val="left"/>
          <w:tab w:leader="dot" w:pos="6820" w:val="left"/>
        </w:tabs>
        <w:rPr>
          <w:sz w:val="20"/>
          <w:szCs w:val="20"/>
          <w:color w:val="auto"/>
        </w:rPr>
      </w:pPr>
      <w:r>
        <w:rPr>
          <w:rFonts w:ascii="Courier New" w:cs="Courier New" w:eastAsia="Courier New" w:hAnsi="Courier New"/>
          <w:sz w:val="15"/>
          <w:szCs w:val="15"/>
          <w:color w:val="auto"/>
        </w:rPr>
        <w:t>Section 5.05.</w:t>
        <w:tab/>
        <w:t>Moneys Held by Trustee</w:t>
      </w:r>
      <w:r>
        <w:rPr>
          <w:sz w:val="20"/>
          <w:szCs w:val="20"/>
          <w:color w:val="auto"/>
        </w:rPr>
        <w:tab/>
      </w:r>
      <w:r>
        <w:rPr>
          <w:rFonts w:ascii="Courier New" w:cs="Courier New" w:eastAsia="Courier New" w:hAnsi="Courier New"/>
          <w:sz w:val="12"/>
          <w:szCs w:val="12"/>
          <w:color w:val="auto"/>
        </w:rPr>
        <w:t>32</w:t>
      </w:r>
    </w:p>
    <w:p>
      <w:pPr>
        <w:spacing w:after="0"/>
        <w:tabs>
          <w:tab w:leader="none" w:pos="1300" w:val="left"/>
        </w:tabs>
        <w:rPr>
          <w:sz w:val="20"/>
          <w:szCs w:val="20"/>
          <w:color w:val="auto"/>
        </w:rPr>
      </w:pPr>
      <w:r>
        <w:rPr>
          <w:rFonts w:ascii="Courier New" w:cs="Courier New" w:eastAsia="Courier New" w:hAnsi="Courier New"/>
          <w:sz w:val="15"/>
          <w:szCs w:val="15"/>
          <w:color w:val="auto"/>
        </w:rPr>
        <w:t>Section 5.06.</w:t>
      </w:r>
      <w:r>
        <w:rPr>
          <w:sz w:val="20"/>
          <w:szCs w:val="20"/>
          <w:color w:val="auto"/>
        </w:rPr>
        <w:tab/>
      </w:r>
      <w:r>
        <w:rPr>
          <w:rFonts w:ascii="Courier New" w:cs="Courier New" w:eastAsia="Courier New" w:hAnsi="Courier New"/>
          <w:sz w:val="14"/>
          <w:szCs w:val="14"/>
          <w:color w:val="auto"/>
        </w:rPr>
        <w:t>Compensation and Indemnification of Trustee</w:t>
      </w:r>
    </w:p>
    <w:p>
      <w:pPr>
        <w:jc w:val="right"/>
        <w:ind w:right="3239"/>
        <w:spacing w:after="0"/>
        <w:tabs>
          <w:tab w:leader="dot" w:pos="140" w:val="left"/>
        </w:tabs>
        <w:rPr>
          <w:sz w:val="20"/>
          <w:szCs w:val="20"/>
          <w:color w:val="auto"/>
        </w:rPr>
      </w:pPr>
      <w:r>
        <w:rPr>
          <w:rFonts w:ascii="Courier New" w:cs="Courier New" w:eastAsia="Courier New" w:hAnsi="Courier New"/>
          <w:sz w:val="15"/>
          <w:szCs w:val="15"/>
          <w:color w:val="auto"/>
        </w:rPr>
        <w:t>and Its Prior Claim</w:t>
      </w:r>
      <w:r>
        <w:rPr>
          <w:sz w:val="20"/>
          <w:szCs w:val="20"/>
          <w:color w:val="auto"/>
        </w:rPr>
        <w:tab/>
      </w:r>
      <w:r>
        <w:rPr>
          <w:rFonts w:ascii="Courier New" w:cs="Courier New" w:eastAsia="Courier New" w:hAnsi="Courier New"/>
          <w:sz w:val="12"/>
          <w:szCs w:val="12"/>
          <w:color w:val="auto"/>
        </w:rPr>
        <w:t>32</w:t>
      </w:r>
    </w:p>
    <w:p>
      <w:pPr>
        <w:spacing w:after="0"/>
        <w:tabs>
          <w:tab w:leader="none" w:pos="1300" w:val="left"/>
          <w:tab w:leader="dot" w:pos="6820" w:val="left"/>
        </w:tabs>
        <w:rPr>
          <w:sz w:val="20"/>
          <w:szCs w:val="20"/>
          <w:color w:val="auto"/>
        </w:rPr>
      </w:pPr>
      <w:r>
        <w:rPr>
          <w:rFonts w:ascii="Courier New" w:cs="Courier New" w:eastAsia="Courier New" w:hAnsi="Courier New"/>
          <w:sz w:val="15"/>
          <w:szCs w:val="15"/>
          <w:color w:val="auto"/>
        </w:rPr>
        <w:t>Section 5.07.</w:t>
        <w:tab/>
        <w:t>Right of Trustee to Rely on Officers' Certificate, etc</w:t>
      </w:r>
      <w:r>
        <w:rPr>
          <w:sz w:val="20"/>
          <w:szCs w:val="20"/>
          <w:color w:val="auto"/>
        </w:rPr>
        <w:tab/>
      </w:r>
      <w:r>
        <w:rPr>
          <w:rFonts w:ascii="Courier New" w:cs="Courier New" w:eastAsia="Courier New" w:hAnsi="Courier New"/>
          <w:sz w:val="12"/>
          <w:szCs w:val="12"/>
          <w:color w:val="auto"/>
        </w:rPr>
        <w:t>33</w:t>
      </w:r>
    </w:p>
    <w:p>
      <w:pPr>
        <w:spacing w:after="0"/>
        <w:tabs>
          <w:tab w:leader="none" w:pos="1300" w:val="left"/>
          <w:tab w:leader="dot" w:pos="6820" w:val="left"/>
        </w:tabs>
        <w:rPr>
          <w:sz w:val="20"/>
          <w:szCs w:val="20"/>
          <w:color w:val="auto"/>
        </w:rPr>
      </w:pPr>
      <w:r>
        <w:rPr>
          <w:rFonts w:ascii="Courier New" w:cs="Courier New" w:eastAsia="Courier New" w:hAnsi="Courier New"/>
          <w:sz w:val="15"/>
          <w:szCs w:val="15"/>
          <w:color w:val="auto"/>
        </w:rPr>
        <w:t>Section 5.08.</w:t>
        <w:tab/>
        <w:t>Persons Eligible for Appointment as Trustee</w:t>
      </w:r>
      <w:r>
        <w:rPr>
          <w:sz w:val="20"/>
          <w:szCs w:val="20"/>
          <w:color w:val="auto"/>
        </w:rPr>
        <w:tab/>
      </w:r>
      <w:r>
        <w:rPr>
          <w:rFonts w:ascii="Courier New" w:cs="Courier New" w:eastAsia="Courier New" w:hAnsi="Courier New"/>
          <w:sz w:val="12"/>
          <w:szCs w:val="12"/>
          <w:color w:val="auto"/>
        </w:rPr>
        <w:t>33</w:t>
      </w:r>
    </w:p>
    <w:p>
      <w:pPr>
        <w:spacing w:after="0"/>
        <w:tabs>
          <w:tab w:leader="none" w:pos="1300" w:val="left"/>
          <w:tab w:leader="dot" w:pos="6820" w:val="left"/>
        </w:tabs>
        <w:rPr>
          <w:sz w:val="20"/>
          <w:szCs w:val="20"/>
          <w:color w:val="auto"/>
        </w:rPr>
      </w:pPr>
      <w:r>
        <w:rPr>
          <w:rFonts w:ascii="Courier New" w:cs="Courier New" w:eastAsia="Courier New" w:hAnsi="Courier New"/>
          <w:sz w:val="15"/>
          <w:szCs w:val="15"/>
          <w:color w:val="auto"/>
        </w:rPr>
        <w:t>Section 5.09.</w:t>
        <w:tab/>
        <w:t>Resignation and Removal; Appointment of Successor Trustee</w:t>
      </w:r>
      <w:r>
        <w:rPr>
          <w:sz w:val="20"/>
          <w:szCs w:val="20"/>
          <w:color w:val="auto"/>
        </w:rPr>
        <w:tab/>
      </w:r>
      <w:r>
        <w:rPr>
          <w:rFonts w:ascii="Courier New" w:cs="Courier New" w:eastAsia="Courier New" w:hAnsi="Courier New"/>
          <w:sz w:val="12"/>
          <w:szCs w:val="12"/>
          <w:color w:val="auto"/>
        </w:rPr>
        <w:t>33</w:t>
      </w:r>
    </w:p>
    <w:p>
      <w:pPr>
        <w:spacing w:after="0"/>
        <w:tabs>
          <w:tab w:leader="none" w:pos="1300" w:val="left"/>
          <w:tab w:leader="dot" w:pos="6820" w:val="left"/>
        </w:tabs>
        <w:rPr>
          <w:sz w:val="20"/>
          <w:szCs w:val="20"/>
          <w:color w:val="auto"/>
        </w:rPr>
      </w:pPr>
      <w:r>
        <w:rPr>
          <w:rFonts w:ascii="Courier New" w:cs="Courier New" w:eastAsia="Courier New" w:hAnsi="Courier New"/>
          <w:sz w:val="15"/>
          <w:szCs w:val="15"/>
          <w:color w:val="auto"/>
        </w:rPr>
        <w:t>Section 5.10.</w:t>
        <w:tab/>
        <w:t>Acceptance of Appointment by Successor</w:t>
      </w:r>
      <w:r>
        <w:rPr>
          <w:sz w:val="20"/>
          <w:szCs w:val="20"/>
          <w:color w:val="auto"/>
        </w:rPr>
        <w:tab/>
      </w:r>
      <w:r>
        <w:rPr>
          <w:rFonts w:ascii="Courier New" w:cs="Courier New" w:eastAsia="Courier New" w:hAnsi="Courier New"/>
          <w:sz w:val="12"/>
          <w:szCs w:val="12"/>
          <w:color w:val="auto"/>
        </w:rPr>
        <w:t>35</w:t>
      </w:r>
    </w:p>
    <w:p>
      <w:pPr>
        <w:spacing w:after="0"/>
        <w:tabs>
          <w:tab w:leader="none" w:pos="1300" w:val="left"/>
        </w:tabs>
        <w:rPr>
          <w:sz w:val="20"/>
          <w:szCs w:val="20"/>
          <w:color w:val="auto"/>
        </w:rPr>
      </w:pPr>
      <w:r>
        <w:rPr>
          <w:rFonts w:ascii="Courier New" w:cs="Courier New" w:eastAsia="Courier New" w:hAnsi="Courier New"/>
          <w:sz w:val="15"/>
          <w:szCs w:val="15"/>
          <w:color w:val="auto"/>
        </w:rPr>
        <w:t>Section 5.11.</w:t>
      </w:r>
      <w:r>
        <w:rPr>
          <w:sz w:val="20"/>
          <w:szCs w:val="20"/>
          <w:color w:val="auto"/>
        </w:rPr>
        <w:tab/>
      </w:r>
      <w:r>
        <w:rPr>
          <w:rFonts w:ascii="Courier New" w:cs="Courier New" w:eastAsia="Courier New" w:hAnsi="Courier New"/>
          <w:sz w:val="14"/>
          <w:szCs w:val="14"/>
          <w:color w:val="auto"/>
        </w:rPr>
        <w:t>Merger, Conversion, Consolidation or Succession to</w:t>
      </w:r>
    </w:p>
    <w:p>
      <w:pPr>
        <w:jc w:val="right"/>
        <w:ind w:right="3239"/>
        <w:spacing w:after="0"/>
        <w:tabs>
          <w:tab w:leader="dot" w:pos="140" w:val="left"/>
        </w:tabs>
        <w:rPr>
          <w:sz w:val="20"/>
          <w:szCs w:val="20"/>
          <w:color w:val="auto"/>
        </w:rPr>
      </w:pPr>
      <w:r>
        <w:rPr>
          <w:rFonts w:ascii="Courier New" w:cs="Courier New" w:eastAsia="Courier New" w:hAnsi="Courier New"/>
          <w:sz w:val="15"/>
          <w:szCs w:val="15"/>
          <w:color w:val="auto"/>
        </w:rPr>
        <w:t>Business of Trustee</w:t>
      </w:r>
      <w:r>
        <w:rPr>
          <w:sz w:val="20"/>
          <w:szCs w:val="20"/>
          <w:color w:val="auto"/>
        </w:rPr>
        <w:tab/>
      </w:r>
      <w:r>
        <w:rPr>
          <w:rFonts w:ascii="Courier New" w:cs="Courier New" w:eastAsia="Courier New" w:hAnsi="Courier New"/>
          <w:sz w:val="12"/>
          <w:szCs w:val="12"/>
          <w:color w:val="auto"/>
        </w:rPr>
        <w:t>35</w:t>
      </w:r>
    </w:p>
    <w:p>
      <w:pPr>
        <w:spacing w:after="0"/>
        <w:tabs>
          <w:tab w:leader="none" w:pos="1300" w:val="left"/>
          <w:tab w:leader="dot" w:pos="6820" w:val="left"/>
        </w:tabs>
        <w:rPr>
          <w:sz w:val="20"/>
          <w:szCs w:val="20"/>
          <w:color w:val="auto"/>
        </w:rPr>
      </w:pPr>
      <w:r>
        <w:rPr>
          <w:rFonts w:ascii="Courier New" w:cs="Courier New" w:eastAsia="Courier New" w:hAnsi="Courier New"/>
          <w:sz w:val="15"/>
          <w:szCs w:val="15"/>
          <w:color w:val="auto"/>
        </w:rPr>
        <w:t>Section 5.12.</w:t>
        <w:tab/>
        <w:t>Reports to the Trustee</w:t>
      </w:r>
      <w:r>
        <w:rPr>
          <w:sz w:val="20"/>
          <w:szCs w:val="20"/>
          <w:color w:val="auto"/>
        </w:rPr>
        <w:tab/>
      </w:r>
      <w:r>
        <w:rPr>
          <w:rFonts w:ascii="Courier New" w:cs="Courier New" w:eastAsia="Courier New" w:hAnsi="Courier New"/>
          <w:sz w:val="12"/>
          <w:szCs w:val="12"/>
          <w:color w:val="auto"/>
        </w:rPr>
        <w:t>36</w:t>
      </w:r>
    </w:p>
    <w:p>
      <w:pPr>
        <w:spacing w:after="0" w:line="335"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ARTICLE 6</w:t>
      </w:r>
    </w:p>
    <w:p>
      <w:pPr>
        <w:ind w:left="2200"/>
        <w:spacing w:after="0" w:line="237" w:lineRule="auto"/>
        <w:rPr>
          <w:sz w:val="20"/>
          <w:szCs w:val="20"/>
          <w:color w:val="auto"/>
        </w:rPr>
      </w:pPr>
      <w:r>
        <w:rPr>
          <w:rFonts w:ascii="Courier New" w:cs="Courier New" w:eastAsia="Courier New" w:hAnsi="Courier New"/>
          <w:sz w:val="15"/>
          <w:szCs w:val="15"/>
          <w:color w:val="auto"/>
        </w:rPr>
        <w:t>CONCERNING THE SECURITYHOLDERS</w:t>
      </w:r>
    </w:p>
    <w:p>
      <w:pPr>
        <w:spacing w:after="0" w:line="167" w:lineRule="exact"/>
        <w:rPr>
          <w:sz w:val="20"/>
          <w:szCs w:val="20"/>
          <w:color w:val="auto"/>
        </w:rPr>
      </w:pPr>
    </w:p>
    <w:p>
      <w:pPr>
        <w:spacing w:after="0"/>
        <w:tabs>
          <w:tab w:leader="none" w:pos="1300" w:val="left"/>
          <w:tab w:leader="dot" w:pos="6820" w:val="left"/>
        </w:tabs>
        <w:rPr>
          <w:sz w:val="20"/>
          <w:szCs w:val="20"/>
          <w:color w:val="auto"/>
        </w:rPr>
      </w:pPr>
      <w:r>
        <w:rPr>
          <w:rFonts w:ascii="Courier New" w:cs="Courier New" w:eastAsia="Courier New" w:hAnsi="Courier New"/>
          <w:sz w:val="15"/>
          <w:szCs w:val="15"/>
          <w:color w:val="auto"/>
        </w:rPr>
        <w:t>Section 6.01.</w:t>
        <w:tab/>
        <w:t>Evidence of Action Taken by Securityholders</w:t>
      </w:r>
      <w:r>
        <w:rPr>
          <w:sz w:val="20"/>
          <w:szCs w:val="20"/>
          <w:color w:val="auto"/>
        </w:rPr>
        <w:tab/>
      </w:r>
      <w:r>
        <w:rPr>
          <w:rFonts w:ascii="Courier New" w:cs="Courier New" w:eastAsia="Courier New" w:hAnsi="Courier New"/>
          <w:sz w:val="12"/>
          <w:szCs w:val="12"/>
          <w:color w:val="auto"/>
        </w:rPr>
        <w:t>6</w:t>
      </w:r>
    </w:p>
    <w:p>
      <w:pPr>
        <w:spacing w:after="0"/>
        <w:tabs>
          <w:tab w:leader="none" w:pos="1300" w:val="left"/>
        </w:tabs>
        <w:rPr>
          <w:sz w:val="20"/>
          <w:szCs w:val="20"/>
          <w:color w:val="auto"/>
        </w:rPr>
      </w:pPr>
      <w:r>
        <w:rPr>
          <w:rFonts w:ascii="Courier New" w:cs="Courier New" w:eastAsia="Courier New" w:hAnsi="Courier New"/>
          <w:sz w:val="15"/>
          <w:szCs w:val="15"/>
          <w:color w:val="auto"/>
        </w:rPr>
        <w:t>Section 6.02.</w:t>
      </w:r>
      <w:r>
        <w:rPr>
          <w:sz w:val="20"/>
          <w:szCs w:val="20"/>
          <w:color w:val="auto"/>
        </w:rPr>
        <w:tab/>
      </w:r>
      <w:r>
        <w:rPr>
          <w:rFonts w:ascii="Courier New" w:cs="Courier New" w:eastAsia="Courier New" w:hAnsi="Courier New"/>
          <w:sz w:val="14"/>
          <w:szCs w:val="14"/>
          <w:color w:val="auto"/>
        </w:rPr>
        <w:t>Proof of Execution of Instruments and of Holding of</w:t>
      </w:r>
    </w:p>
    <w:p>
      <w:pPr>
        <w:jc w:val="right"/>
        <w:ind w:right="3239"/>
        <w:spacing w:after="0"/>
        <w:tabs>
          <w:tab w:leader="dot" w:pos="140" w:val="left"/>
        </w:tabs>
        <w:rPr>
          <w:sz w:val="20"/>
          <w:szCs w:val="20"/>
          <w:color w:val="auto"/>
        </w:rPr>
      </w:pPr>
      <w:r>
        <w:rPr>
          <w:rFonts w:ascii="Courier New" w:cs="Courier New" w:eastAsia="Courier New" w:hAnsi="Courier New"/>
          <w:sz w:val="15"/>
          <w:szCs w:val="15"/>
          <w:color w:val="auto"/>
        </w:rPr>
        <w:t>Securities; Record Date</w:t>
      </w:r>
      <w:r>
        <w:rPr>
          <w:sz w:val="20"/>
          <w:szCs w:val="20"/>
          <w:color w:val="auto"/>
        </w:rPr>
        <w:tab/>
      </w:r>
      <w:r>
        <w:rPr>
          <w:rFonts w:ascii="Courier New" w:cs="Courier New" w:eastAsia="Courier New" w:hAnsi="Courier New"/>
          <w:sz w:val="12"/>
          <w:szCs w:val="12"/>
          <w:color w:val="auto"/>
        </w:rPr>
        <w:t>36</w:t>
      </w:r>
    </w:p>
    <w:p>
      <w:pPr>
        <w:spacing w:after="0"/>
        <w:tabs>
          <w:tab w:leader="none" w:pos="1300" w:val="left"/>
          <w:tab w:leader="dot" w:pos="6820" w:val="left"/>
        </w:tabs>
        <w:rPr>
          <w:sz w:val="20"/>
          <w:szCs w:val="20"/>
          <w:color w:val="auto"/>
        </w:rPr>
      </w:pPr>
      <w:r>
        <w:rPr>
          <w:rFonts w:ascii="Courier New" w:cs="Courier New" w:eastAsia="Courier New" w:hAnsi="Courier New"/>
          <w:sz w:val="15"/>
          <w:szCs w:val="15"/>
          <w:color w:val="auto"/>
        </w:rPr>
        <w:t>Section 6.03.</w:t>
        <w:tab/>
        <w:t>Holders to be Treated as Owners</w:t>
      </w:r>
      <w:r>
        <w:rPr>
          <w:sz w:val="20"/>
          <w:szCs w:val="20"/>
          <w:color w:val="auto"/>
        </w:rPr>
        <w:tab/>
      </w:r>
      <w:r>
        <w:rPr>
          <w:rFonts w:ascii="Courier New" w:cs="Courier New" w:eastAsia="Courier New" w:hAnsi="Courier New"/>
          <w:sz w:val="12"/>
          <w:szCs w:val="12"/>
          <w:color w:val="auto"/>
        </w:rPr>
        <w:t>37</w:t>
      </w:r>
    </w:p>
    <w:p>
      <w:pPr>
        <w:spacing w:after="0"/>
        <w:tabs>
          <w:tab w:leader="none" w:pos="1300" w:val="left"/>
          <w:tab w:leader="dot" w:pos="6820" w:val="left"/>
        </w:tabs>
        <w:rPr>
          <w:sz w:val="20"/>
          <w:szCs w:val="20"/>
          <w:color w:val="auto"/>
        </w:rPr>
      </w:pPr>
      <w:r>
        <w:rPr>
          <w:rFonts w:ascii="Courier New" w:cs="Courier New" w:eastAsia="Courier New" w:hAnsi="Courier New"/>
          <w:sz w:val="15"/>
          <w:szCs w:val="15"/>
          <w:color w:val="auto"/>
        </w:rPr>
        <w:t>Section 6.04.</w:t>
        <w:tab/>
        <w:t>Securities Owned by Issuer Deemed Not Outstanding</w:t>
      </w:r>
      <w:r>
        <w:rPr>
          <w:sz w:val="20"/>
          <w:szCs w:val="20"/>
          <w:color w:val="auto"/>
        </w:rPr>
        <w:tab/>
      </w:r>
      <w:r>
        <w:rPr>
          <w:rFonts w:ascii="Courier New" w:cs="Courier New" w:eastAsia="Courier New" w:hAnsi="Courier New"/>
          <w:sz w:val="12"/>
          <w:szCs w:val="12"/>
          <w:color w:val="auto"/>
        </w:rPr>
        <w:t>37</w:t>
      </w:r>
    </w:p>
    <w:p>
      <w:pPr>
        <w:spacing w:after="0"/>
        <w:tabs>
          <w:tab w:leader="none" w:pos="1300" w:val="left"/>
          <w:tab w:leader="dot" w:pos="6820" w:val="left"/>
        </w:tabs>
        <w:rPr>
          <w:sz w:val="20"/>
          <w:szCs w:val="20"/>
          <w:color w:val="auto"/>
        </w:rPr>
      </w:pPr>
      <w:r>
        <w:rPr>
          <w:rFonts w:ascii="Courier New" w:cs="Courier New" w:eastAsia="Courier New" w:hAnsi="Courier New"/>
          <w:sz w:val="15"/>
          <w:szCs w:val="15"/>
          <w:color w:val="auto"/>
        </w:rPr>
        <w:t>Section 6.05.</w:t>
        <w:tab/>
        <w:t>Right of Revocation of Action Taken</w:t>
      </w:r>
      <w:r>
        <w:rPr>
          <w:sz w:val="20"/>
          <w:szCs w:val="20"/>
          <w:color w:val="auto"/>
        </w:rPr>
        <w:tab/>
      </w:r>
      <w:r>
        <w:rPr>
          <w:rFonts w:ascii="Courier New" w:cs="Courier New" w:eastAsia="Courier New" w:hAnsi="Courier New"/>
          <w:sz w:val="12"/>
          <w:szCs w:val="12"/>
          <w:color w:val="auto"/>
        </w:rPr>
        <w:t>38</w:t>
      </w:r>
    </w:p>
    <w:p>
      <w:pPr>
        <w:spacing w:after="0" w:line="335"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ARTICLE 7</w:t>
      </w:r>
    </w:p>
    <w:p>
      <w:pPr>
        <w:ind w:left="2540"/>
        <w:spacing w:after="0" w:line="237" w:lineRule="auto"/>
        <w:rPr>
          <w:sz w:val="20"/>
          <w:szCs w:val="20"/>
          <w:color w:val="auto"/>
        </w:rPr>
      </w:pPr>
      <w:r>
        <w:rPr>
          <w:rFonts w:ascii="Courier New" w:cs="Courier New" w:eastAsia="Courier New" w:hAnsi="Courier New"/>
          <w:sz w:val="15"/>
          <w:szCs w:val="15"/>
          <w:color w:val="auto"/>
        </w:rPr>
        <w:t>SUPPLEMENTAL INDENTURES</w:t>
      </w:r>
    </w:p>
    <w:p>
      <w:pPr>
        <w:spacing w:after="0" w:line="167" w:lineRule="exact"/>
        <w:rPr>
          <w:sz w:val="20"/>
          <w:szCs w:val="20"/>
          <w:color w:val="auto"/>
        </w:rPr>
      </w:pPr>
    </w:p>
    <w:p>
      <w:pPr>
        <w:spacing w:after="0"/>
        <w:tabs>
          <w:tab w:leader="none" w:pos="1300" w:val="left"/>
          <w:tab w:leader="dot" w:pos="6820" w:val="left"/>
        </w:tabs>
        <w:rPr>
          <w:sz w:val="20"/>
          <w:szCs w:val="20"/>
          <w:color w:val="auto"/>
        </w:rPr>
      </w:pPr>
      <w:r>
        <w:rPr>
          <w:rFonts w:ascii="Courier New" w:cs="Courier New" w:eastAsia="Courier New" w:hAnsi="Courier New"/>
          <w:sz w:val="15"/>
          <w:szCs w:val="15"/>
          <w:color w:val="auto"/>
        </w:rPr>
        <w:t>Section 7.01.</w:t>
        <w:tab/>
        <w:t>Supplemental Indentures Without Consent of Securityholders</w:t>
      </w:r>
      <w:r>
        <w:rPr>
          <w:sz w:val="20"/>
          <w:szCs w:val="20"/>
          <w:color w:val="auto"/>
        </w:rPr>
        <w:tab/>
      </w:r>
      <w:r>
        <w:rPr>
          <w:rFonts w:ascii="Courier New" w:cs="Courier New" w:eastAsia="Courier New" w:hAnsi="Courier New"/>
          <w:sz w:val="12"/>
          <w:szCs w:val="12"/>
          <w:color w:val="auto"/>
        </w:rPr>
        <w:t>38</w:t>
      </w:r>
    </w:p>
    <w:p>
      <w:pPr>
        <w:spacing w:after="0"/>
        <w:tabs>
          <w:tab w:leader="none" w:pos="1300" w:val="left"/>
          <w:tab w:leader="dot" w:pos="6820" w:val="left"/>
        </w:tabs>
        <w:rPr>
          <w:sz w:val="20"/>
          <w:szCs w:val="20"/>
          <w:color w:val="auto"/>
        </w:rPr>
      </w:pPr>
      <w:r>
        <w:rPr>
          <w:rFonts w:ascii="Courier New" w:cs="Courier New" w:eastAsia="Courier New" w:hAnsi="Courier New"/>
          <w:sz w:val="15"/>
          <w:szCs w:val="15"/>
          <w:color w:val="auto"/>
        </w:rPr>
        <w:t>Section 7.02.</w:t>
        <w:tab/>
        <w:t>Supplemental Indentures With Consent of Securityholders</w:t>
      </w:r>
      <w:r>
        <w:rPr>
          <w:sz w:val="20"/>
          <w:szCs w:val="20"/>
          <w:color w:val="auto"/>
        </w:rPr>
        <w:tab/>
      </w:r>
      <w:r>
        <w:rPr>
          <w:rFonts w:ascii="Courier New" w:cs="Courier New" w:eastAsia="Courier New" w:hAnsi="Courier New"/>
          <w:sz w:val="12"/>
          <w:szCs w:val="12"/>
          <w:color w:val="auto"/>
        </w:rPr>
        <w:t>39</w:t>
      </w:r>
    </w:p>
    <w:p>
      <w:pPr>
        <w:spacing w:after="0"/>
        <w:tabs>
          <w:tab w:leader="none" w:pos="1300" w:val="left"/>
          <w:tab w:leader="dot" w:pos="6820" w:val="left"/>
        </w:tabs>
        <w:rPr>
          <w:sz w:val="20"/>
          <w:szCs w:val="20"/>
          <w:color w:val="auto"/>
        </w:rPr>
      </w:pPr>
      <w:r>
        <w:rPr>
          <w:rFonts w:ascii="Courier New" w:cs="Courier New" w:eastAsia="Courier New" w:hAnsi="Courier New"/>
          <w:sz w:val="15"/>
          <w:szCs w:val="15"/>
          <w:color w:val="auto"/>
        </w:rPr>
        <w:t>Section 7.03.</w:t>
        <w:tab/>
        <w:t>Effect of Supplemental Indenture</w:t>
      </w:r>
      <w:r>
        <w:rPr>
          <w:sz w:val="20"/>
          <w:szCs w:val="20"/>
          <w:color w:val="auto"/>
        </w:rPr>
        <w:tab/>
      </w:r>
      <w:r>
        <w:rPr>
          <w:rFonts w:ascii="Courier New" w:cs="Courier New" w:eastAsia="Courier New" w:hAnsi="Courier New"/>
          <w:sz w:val="12"/>
          <w:szCs w:val="12"/>
          <w:color w:val="auto"/>
        </w:rPr>
        <w:t>41</w:t>
      </w:r>
    </w:p>
    <w:p>
      <w:pPr>
        <w:spacing w:after="0"/>
        <w:tabs>
          <w:tab w:leader="none" w:pos="1300" w:val="left"/>
          <w:tab w:leader="dot" w:pos="6820" w:val="left"/>
        </w:tabs>
        <w:rPr>
          <w:sz w:val="20"/>
          <w:szCs w:val="20"/>
          <w:color w:val="auto"/>
        </w:rPr>
      </w:pPr>
      <w:r>
        <w:rPr>
          <w:rFonts w:ascii="Courier New" w:cs="Courier New" w:eastAsia="Courier New" w:hAnsi="Courier New"/>
          <w:sz w:val="15"/>
          <w:szCs w:val="15"/>
          <w:color w:val="auto"/>
        </w:rPr>
        <w:t>Section 7.04.</w:t>
        <w:tab/>
        <w:t>Documents to Be Given to Trustee</w:t>
      </w:r>
      <w:r>
        <w:rPr>
          <w:sz w:val="20"/>
          <w:szCs w:val="20"/>
          <w:color w:val="auto"/>
        </w:rPr>
        <w:tab/>
      </w:r>
      <w:r>
        <w:rPr>
          <w:rFonts w:ascii="Courier New" w:cs="Courier New" w:eastAsia="Courier New" w:hAnsi="Courier New"/>
          <w:sz w:val="12"/>
          <w:szCs w:val="12"/>
          <w:color w:val="auto"/>
        </w:rPr>
        <w:t>41</w:t>
      </w:r>
    </w:p>
    <w:p>
      <w:pPr>
        <w:spacing w:after="0"/>
        <w:tabs>
          <w:tab w:leader="none" w:pos="1300" w:val="left"/>
          <w:tab w:leader="dot" w:pos="6820" w:val="left"/>
        </w:tabs>
        <w:rPr>
          <w:sz w:val="20"/>
          <w:szCs w:val="20"/>
          <w:color w:val="auto"/>
        </w:rPr>
      </w:pPr>
      <w:r>
        <w:rPr>
          <w:rFonts w:ascii="Courier New" w:cs="Courier New" w:eastAsia="Courier New" w:hAnsi="Courier New"/>
          <w:sz w:val="15"/>
          <w:szCs w:val="15"/>
          <w:color w:val="auto"/>
        </w:rPr>
        <w:t>Section 7.05.</w:t>
        <w:tab/>
        <w:t>Notation on Securities in Respect of Supplemental Indentures</w:t>
      </w:r>
      <w:r>
        <w:rPr>
          <w:sz w:val="20"/>
          <w:szCs w:val="20"/>
          <w:color w:val="auto"/>
        </w:rPr>
        <w:tab/>
      </w:r>
      <w:r>
        <w:rPr>
          <w:rFonts w:ascii="Courier New" w:cs="Courier New" w:eastAsia="Courier New" w:hAnsi="Courier New"/>
          <w:sz w:val="12"/>
          <w:szCs w:val="12"/>
          <w:color w:val="auto"/>
        </w:rPr>
        <w:t>41</w:t>
      </w:r>
    </w:p>
    <w:p>
      <w:pPr>
        <w:spacing w:after="0" w:line="200" w:lineRule="exact"/>
        <w:rPr>
          <w:sz w:val="20"/>
          <w:szCs w:val="20"/>
          <w:color w:val="auto"/>
        </w:rPr>
      </w:pPr>
    </w:p>
    <w:p>
      <w:pPr>
        <w:spacing w:after="0" w:line="303"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-ii-</w:t>
      </w:r>
    </w:p>
    <w:p>
      <w:pPr>
        <w:sectPr>
          <w:pgSz w:w="11900" w:h="16838" w:orient="portrait"/>
          <w:cols w:equalWidth="0" w:num="1">
            <w:col w:w="10239"/>
          </w:cols>
          <w:pgMar w:left="220" w:top="785" w:right="1440" w:bottom="1440" w:gutter="0" w:footer="0" w:header="0"/>
        </w:sectPr>
      </w:pPr>
    </w:p>
    <w:bookmarkStart w:id="77" w:name="page78"/>
    <w:bookmarkEnd w:id="77"/>
    <w:p>
      <w:pPr>
        <w:ind w:left="3160"/>
        <w:spacing w:after="0"/>
        <w:rPr>
          <w:sz w:val="20"/>
          <w:szCs w:val="20"/>
          <w:color w:val="auto"/>
        </w:rPr>
      </w:pPr>
      <w:r>
        <w:rPr>
          <w:rFonts w:ascii="Courier New" w:cs="Courier New" w:eastAsia="Courier New" w:hAnsi="Courier New"/>
          <w:sz w:val="15"/>
          <w:szCs w:val="15"/>
          <w:color w:val="auto"/>
        </w:rPr>
        <w:t>ARTICLE 8</w:t>
      </w:r>
    </w:p>
    <w:p>
      <w:pPr>
        <w:ind w:left="1760"/>
        <w:spacing w:after="0" w:line="237" w:lineRule="auto"/>
        <w:rPr>
          <w:sz w:val="20"/>
          <w:szCs w:val="20"/>
          <w:color w:val="auto"/>
        </w:rPr>
      </w:pPr>
      <w:r>
        <w:rPr>
          <w:rFonts w:ascii="Courier New" w:cs="Courier New" w:eastAsia="Courier New" w:hAnsi="Courier New"/>
          <w:sz w:val="15"/>
          <w:szCs w:val="15"/>
          <w:color w:val="auto"/>
        </w:rPr>
        <w:t>CONSOLIDATION, MERGER, SALE OR CONVEYANCE</w:t>
      </w:r>
    </w:p>
    <w:p>
      <w:pPr>
        <w:spacing w:after="0" w:line="167" w:lineRule="exact"/>
        <w:rPr>
          <w:sz w:val="20"/>
          <w:szCs w:val="20"/>
          <w:color w:val="auto"/>
        </w:rPr>
      </w:pPr>
    </w:p>
    <w:p>
      <w:pPr>
        <w:spacing w:after="0"/>
        <w:tabs>
          <w:tab w:leader="none" w:pos="1300" w:val="left"/>
          <w:tab w:leader="dot" w:pos="6820" w:val="left"/>
        </w:tabs>
        <w:rPr>
          <w:sz w:val="20"/>
          <w:szCs w:val="20"/>
          <w:color w:val="auto"/>
        </w:rPr>
      </w:pPr>
      <w:r>
        <w:rPr>
          <w:rFonts w:ascii="Courier New" w:cs="Courier New" w:eastAsia="Courier New" w:hAnsi="Courier New"/>
          <w:sz w:val="15"/>
          <w:szCs w:val="15"/>
          <w:color w:val="auto"/>
        </w:rPr>
        <w:t>Section 8.01.</w:t>
        <w:tab/>
        <w:t>Issuer May Consolidate, etc., on Certain Terms</w:t>
      </w:r>
      <w:r>
        <w:rPr>
          <w:sz w:val="20"/>
          <w:szCs w:val="20"/>
          <w:color w:val="auto"/>
        </w:rPr>
        <w:tab/>
      </w:r>
      <w:r>
        <w:rPr>
          <w:rFonts w:ascii="Courier New" w:cs="Courier New" w:eastAsia="Courier New" w:hAnsi="Courier New"/>
          <w:sz w:val="12"/>
          <w:szCs w:val="12"/>
          <w:color w:val="auto"/>
        </w:rPr>
        <w:t>41</w:t>
      </w:r>
    </w:p>
    <w:p>
      <w:pPr>
        <w:spacing w:after="0"/>
        <w:tabs>
          <w:tab w:leader="none" w:pos="1300" w:val="left"/>
          <w:tab w:leader="dot" w:pos="6820" w:val="left"/>
        </w:tabs>
        <w:rPr>
          <w:sz w:val="20"/>
          <w:szCs w:val="20"/>
          <w:color w:val="auto"/>
        </w:rPr>
      </w:pPr>
      <w:r>
        <w:rPr>
          <w:rFonts w:ascii="Courier New" w:cs="Courier New" w:eastAsia="Courier New" w:hAnsi="Courier New"/>
          <w:sz w:val="15"/>
          <w:szCs w:val="15"/>
          <w:color w:val="auto"/>
        </w:rPr>
        <w:t>Section 8.02.</w:t>
        <w:tab/>
        <w:t>Successor Corporation Substituted</w:t>
      </w:r>
      <w:r>
        <w:rPr>
          <w:sz w:val="20"/>
          <w:szCs w:val="20"/>
          <w:color w:val="auto"/>
        </w:rPr>
        <w:tab/>
      </w:r>
      <w:r>
        <w:rPr>
          <w:rFonts w:ascii="Courier New" w:cs="Courier New" w:eastAsia="Courier New" w:hAnsi="Courier New"/>
          <w:sz w:val="12"/>
          <w:szCs w:val="12"/>
          <w:color w:val="auto"/>
        </w:rPr>
        <w:t>42</w:t>
      </w:r>
    </w:p>
    <w:p>
      <w:pPr>
        <w:spacing w:after="0" w:line="335"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ARTICLE 9</w:t>
      </w:r>
    </w:p>
    <w:p>
      <w:pPr>
        <w:ind w:left="2540"/>
        <w:spacing w:after="0" w:line="237" w:lineRule="auto"/>
        <w:rPr>
          <w:sz w:val="20"/>
          <w:szCs w:val="20"/>
          <w:color w:val="auto"/>
        </w:rPr>
      </w:pPr>
      <w:r>
        <w:rPr>
          <w:rFonts w:ascii="Courier New" w:cs="Courier New" w:eastAsia="Courier New" w:hAnsi="Courier New"/>
          <w:sz w:val="15"/>
          <w:szCs w:val="15"/>
          <w:color w:val="auto"/>
        </w:rPr>
        <w:t>DISCHARGE OF INDENTURE</w:t>
      </w:r>
    </w:p>
    <w:p>
      <w:pPr>
        <w:spacing w:after="0" w:line="167" w:lineRule="exact"/>
        <w:rPr>
          <w:sz w:val="20"/>
          <w:szCs w:val="20"/>
          <w:color w:val="auto"/>
        </w:rPr>
      </w:pPr>
    </w:p>
    <w:p>
      <w:pPr>
        <w:spacing w:after="0"/>
        <w:tabs>
          <w:tab w:leader="none" w:pos="1300" w:val="left"/>
          <w:tab w:leader="dot" w:pos="6820" w:val="left"/>
        </w:tabs>
        <w:rPr>
          <w:sz w:val="20"/>
          <w:szCs w:val="20"/>
          <w:color w:val="auto"/>
        </w:rPr>
      </w:pPr>
      <w:r>
        <w:rPr>
          <w:rFonts w:ascii="Courier New" w:cs="Courier New" w:eastAsia="Courier New" w:hAnsi="Courier New"/>
          <w:sz w:val="15"/>
          <w:szCs w:val="15"/>
          <w:color w:val="auto"/>
        </w:rPr>
        <w:t>Section 9.01.</w:t>
        <w:tab/>
        <w:t>Defeasance Within One Year of Payment</w:t>
      </w:r>
      <w:r>
        <w:rPr>
          <w:sz w:val="20"/>
          <w:szCs w:val="20"/>
          <w:color w:val="auto"/>
        </w:rPr>
        <w:tab/>
      </w:r>
      <w:r>
        <w:rPr>
          <w:rFonts w:ascii="Courier New" w:cs="Courier New" w:eastAsia="Courier New" w:hAnsi="Courier New"/>
          <w:sz w:val="12"/>
          <w:szCs w:val="12"/>
          <w:color w:val="auto"/>
        </w:rPr>
        <w:t>43</w:t>
      </w:r>
    </w:p>
    <w:p>
      <w:pPr>
        <w:spacing w:after="0"/>
        <w:tabs>
          <w:tab w:leader="none" w:pos="1300" w:val="left"/>
          <w:tab w:leader="dot" w:pos="6820" w:val="left"/>
        </w:tabs>
        <w:rPr>
          <w:sz w:val="20"/>
          <w:szCs w:val="20"/>
          <w:color w:val="auto"/>
        </w:rPr>
      </w:pPr>
      <w:r>
        <w:rPr>
          <w:rFonts w:ascii="Courier New" w:cs="Courier New" w:eastAsia="Courier New" w:hAnsi="Courier New"/>
          <w:sz w:val="15"/>
          <w:szCs w:val="15"/>
          <w:color w:val="auto"/>
        </w:rPr>
        <w:t>Section 9.02.</w:t>
        <w:tab/>
        <w:t>Defeasance</w:t>
      </w:r>
      <w:r>
        <w:rPr>
          <w:sz w:val="20"/>
          <w:szCs w:val="20"/>
          <w:color w:val="auto"/>
        </w:rPr>
        <w:tab/>
      </w:r>
      <w:r>
        <w:rPr>
          <w:rFonts w:ascii="Courier New" w:cs="Courier New" w:eastAsia="Courier New" w:hAnsi="Courier New"/>
          <w:sz w:val="12"/>
          <w:szCs w:val="12"/>
          <w:color w:val="auto"/>
        </w:rPr>
        <w:t>43</w:t>
      </w:r>
    </w:p>
    <w:p>
      <w:pPr>
        <w:spacing w:after="0"/>
        <w:tabs>
          <w:tab w:leader="none" w:pos="1300" w:val="left"/>
          <w:tab w:leader="dot" w:pos="6820" w:val="left"/>
        </w:tabs>
        <w:rPr>
          <w:sz w:val="20"/>
          <w:szCs w:val="20"/>
          <w:color w:val="auto"/>
        </w:rPr>
      </w:pPr>
      <w:r>
        <w:rPr>
          <w:rFonts w:ascii="Courier New" w:cs="Courier New" w:eastAsia="Courier New" w:hAnsi="Courier New"/>
          <w:sz w:val="15"/>
          <w:szCs w:val="15"/>
          <w:color w:val="auto"/>
        </w:rPr>
        <w:t>Section 9.03.</w:t>
        <w:tab/>
        <w:t>Covenant Defeasance</w:t>
      </w:r>
      <w:r>
        <w:rPr>
          <w:sz w:val="20"/>
          <w:szCs w:val="20"/>
          <w:color w:val="auto"/>
        </w:rPr>
        <w:tab/>
      </w:r>
      <w:r>
        <w:rPr>
          <w:rFonts w:ascii="Courier New" w:cs="Courier New" w:eastAsia="Courier New" w:hAnsi="Courier New"/>
          <w:sz w:val="12"/>
          <w:szCs w:val="12"/>
          <w:color w:val="auto"/>
        </w:rPr>
        <w:t>44</w:t>
      </w:r>
    </w:p>
    <w:p>
      <w:pPr>
        <w:spacing w:after="0"/>
        <w:tabs>
          <w:tab w:leader="none" w:pos="1300" w:val="left"/>
          <w:tab w:leader="dot" w:pos="6820" w:val="left"/>
        </w:tabs>
        <w:rPr>
          <w:sz w:val="20"/>
          <w:szCs w:val="20"/>
          <w:color w:val="auto"/>
        </w:rPr>
      </w:pPr>
      <w:r>
        <w:rPr>
          <w:rFonts w:ascii="Courier New" w:cs="Courier New" w:eastAsia="Courier New" w:hAnsi="Courier New"/>
          <w:sz w:val="15"/>
          <w:szCs w:val="15"/>
          <w:color w:val="auto"/>
        </w:rPr>
        <w:t>Section 9.04.</w:t>
        <w:tab/>
        <w:t>Application of Trust Money</w:t>
      </w:r>
      <w:r>
        <w:rPr>
          <w:sz w:val="20"/>
          <w:szCs w:val="20"/>
          <w:color w:val="auto"/>
        </w:rPr>
        <w:tab/>
      </w:r>
      <w:r>
        <w:rPr>
          <w:rFonts w:ascii="Courier New" w:cs="Courier New" w:eastAsia="Courier New" w:hAnsi="Courier New"/>
          <w:sz w:val="12"/>
          <w:szCs w:val="12"/>
          <w:color w:val="auto"/>
        </w:rPr>
        <w:t>45</w:t>
      </w:r>
    </w:p>
    <w:p>
      <w:pPr>
        <w:spacing w:after="0"/>
        <w:tabs>
          <w:tab w:leader="none" w:pos="1300" w:val="left"/>
          <w:tab w:leader="dot" w:pos="6820" w:val="left"/>
        </w:tabs>
        <w:rPr>
          <w:sz w:val="20"/>
          <w:szCs w:val="20"/>
          <w:color w:val="auto"/>
        </w:rPr>
      </w:pPr>
      <w:r>
        <w:rPr>
          <w:rFonts w:ascii="Courier New" w:cs="Courier New" w:eastAsia="Courier New" w:hAnsi="Courier New"/>
          <w:sz w:val="15"/>
          <w:szCs w:val="15"/>
          <w:color w:val="auto"/>
        </w:rPr>
        <w:t>Section 9.05.</w:t>
        <w:tab/>
        <w:t>Repayment to Issuer</w:t>
      </w:r>
      <w:r>
        <w:rPr>
          <w:sz w:val="20"/>
          <w:szCs w:val="20"/>
          <w:color w:val="auto"/>
        </w:rPr>
        <w:tab/>
      </w:r>
      <w:r>
        <w:rPr>
          <w:rFonts w:ascii="Courier New" w:cs="Courier New" w:eastAsia="Courier New" w:hAnsi="Courier New"/>
          <w:sz w:val="12"/>
          <w:szCs w:val="12"/>
          <w:color w:val="auto"/>
        </w:rPr>
        <w:t>45</w:t>
      </w:r>
    </w:p>
    <w:p>
      <w:pPr>
        <w:spacing w:after="0" w:line="335"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ARTICLE 10</w:t>
      </w:r>
    </w:p>
    <w:p>
      <w:pPr>
        <w:ind w:left="2460"/>
        <w:spacing w:after="0" w:line="237" w:lineRule="auto"/>
        <w:rPr>
          <w:sz w:val="20"/>
          <w:szCs w:val="20"/>
          <w:color w:val="auto"/>
        </w:rPr>
      </w:pPr>
      <w:r>
        <w:rPr>
          <w:rFonts w:ascii="Courier New" w:cs="Courier New" w:eastAsia="Courier New" w:hAnsi="Courier New"/>
          <w:sz w:val="15"/>
          <w:szCs w:val="15"/>
          <w:color w:val="auto"/>
        </w:rPr>
        <w:t>MISCELLANEOUS PROVISIONS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10.01. Incorporators, Stockholders, Officers and Directors Exempt</w:t>
      </w:r>
    </w:p>
    <w:p>
      <w:pPr>
        <w:jc w:val="right"/>
        <w:ind w:right="3239"/>
        <w:spacing w:after="0"/>
        <w:tabs>
          <w:tab w:leader="dot" w:pos="140" w:val="left"/>
        </w:tabs>
        <w:rPr>
          <w:sz w:val="20"/>
          <w:szCs w:val="20"/>
          <w:color w:val="auto"/>
        </w:rPr>
      </w:pPr>
      <w:r>
        <w:rPr>
          <w:rFonts w:ascii="Courier New" w:cs="Courier New" w:eastAsia="Courier New" w:hAnsi="Courier New"/>
          <w:sz w:val="15"/>
          <w:szCs w:val="15"/>
          <w:color w:val="auto"/>
        </w:rPr>
        <w:t>from Individual Liability</w:t>
      </w:r>
      <w:r>
        <w:rPr>
          <w:sz w:val="20"/>
          <w:szCs w:val="20"/>
          <w:color w:val="auto"/>
        </w:rPr>
        <w:tab/>
      </w:r>
      <w:r>
        <w:rPr>
          <w:rFonts w:ascii="Courier New" w:cs="Courier New" w:eastAsia="Courier New" w:hAnsi="Courier New"/>
          <w:sz w:val="12"/>
          <w:szCs w:val="12"/>
          <w:color w:val="auto"/>
        </w:rPr>
        <w:t>46</w:t>
      </w:r>
    </w:p>
    <w:p>
      <w:pPr>
        <w:spacing w:after="0" w:line="238" w:lineRule="auto"/>
        <w:rPr>
          <w:sz w:val="20"/>
          <w:szCs w:val="20"/>
          <w:color w:val="auto"/>
        </w:rPr>
      </w:pPr>
      <w:r>
        <w:rPr>
          <w:rFonts w:ascii="Courier New" w:cs="Courier New" w:eastAsia="Courier New" w:hAnsi="Courier New"/>
          <w:sz w:val="15"/>
          <w:szCs w:val="15"/>
          <w:color w:val="auto"/>
        </w:rPr>
        <w:t>Section 10.02. Provisions of Indenture for the Sole Benefit of Parties</w:t>
      </w:r>
    </w:p>
    <w:p>
      <w:pPr>
        <w:jc w:val="right"/>
        <w:ind w:right="3239"/>
        <w:spacing w:after="0"/>
        <w:tabs>
          <w:tab w:leader="dot" w:pos="140" w:val="left"/>
        </w:tabs>
        <w:rPr>
          <w:sz w:val="20"/>
          <w:szCs w:val="20"/>
          <w:color w:val="auto"/>
        </w:rPr>
      </w:pPr>
      <w:r>
        <w:rPr>
          <w:rFonts w:ascii="Courier New" w:cs="Courier New" w:eastAsia="Courier New" w:hAnsi="Courier New"/>
          <w:sz w:val="15"/>
          <w:szCs w:val="15"/>
          <w:color w:val="auto"/>
        </w:rPr>
        <w:t>and Securityholders</w:t>
      </w:r>
      <w:r>
        <w:rPr>
          <w:sz w:val="20"/>
          <w:szCs w:val="20"/>
          <w:color w:val="auto"/>
        </w:rPr>
        <w:tab/>
      </w:r>
      <w:r>
        <w:rPr>
          <w:rFonts w:ascii="Courier New" w:cs="Courier New" w:eastAsia="Courier New" w:hAnsi="Courier New"/>
          <w:sz w:val="12"/>
          <w:szCs w:val="12"/>
          <w:color w:val="auto"/>
        </w:rPr>
        <w:t>46</w:t>
      </w:r>
    </w:p>
    <w:p>
      <w:pPr>
        <w:spacing w:after="0"/>
        <w:tabs>
          <w:tab w:leader="dot" w:pos="6820" w:val="left"/>
        </w:tabs>
        <w:rPr>
          <w:sz w:val="20"/>
          <w:szCs w:val="20"/>
          <w:color w:val="auto"/>
        </w:rPr>
      </w:pPr>
      <w:r>
        <w:rPr>
          <w:rFonts w:ascii="Courier New" w:cs="Courier New" w:eastAsia="Courier New" w:hAnsi="Courier New"/>
          <w:sz w:val="15"/>
          <w:szCs w:val="15"/>
          <w:color w:val="auto"/>
        </w:rPr>
        <w:t>Section 10.03. Successors and Assigns of Issuer Bound by Indenture</w:t>
      </w:r>
      <w:r>
        <w:rPr>
          <w:sz w:val="20"/>
          <w:szCs w:val="20"/>
          <w:color w:val="auto"/>
        </w:rPr>
        <w:tab/>
      </w:r>
      <w:r>
        <w:rPr>
          <w:rFonts w:ascii="Courier New" w:cs="Courier New" w:eastAsia="Courier New" w:hAnsi="Courier New"/>
          <w:sz w:val="12"/>
          <w:szCs w:val="12"/>
          <w:color w:val="auto"/>
        </w:rPr>
        <w:t>46</w:t>
      </w:r>
    </w:p>
    <w:p>
      <w:pPr>
        <w:spacing w:after="0"/>
        <w:tabs>
          <w:tab w:leader="none" w:pos="1380" w:val="left"/>
          <w:tab w:leader="dot" w:pos="6820" w:val="left"/>
        </w:tabs>
        <w:rPr>
          <w:sz w:val="20"/>
          <w:szCs w:val="20"/>
          <w:color w:val="auto"/>
        </w:rPr>
      </w:pPr>
      <w:r>
        <w:rPr>
          <w:rFonts w:ascii="Courier New" w:cs="Courier New" w:eastAsia="Courier New" w:hAnsi="Courier New"/>
          <w:sz w:val="15"/>
          <w:szCs w:val="15"/>
          <w:color w:val="auto"/>
        </w:rPr>
        <w:t>Section 10.04.</w:t>
        <w:tab/>
        <w:t>Notices and Demands on Issuer, Trustee and Securityholders</w:t>
      </w:r>
      <w:r>
        <w:rPr>
          <w:sz w:val="20"/>
          <w:szCs w:val="20"/>
          <w:color w:val="auto"/>
        </w:rPr>
        <w:tab/>
      </w:r>
      <w:r>
        <w:rPr>
          <w:rFonts w:ascii="Courier New" w:cs="Courier New" w:eastAsia="Courier New" w:hAnsi="Courier New"/>
          <w:sz w:val="12"/>
          <w:szCs w:val="12"/>
          <w:color w:val="auto"/>
        </w:rPr>
        <w:t>46</w:t>
      </w:r>
    </w:p>
    <w:p>
      <w:pPr>
        <w:spacing w:after="0" w:line="238" w:lineRule="auto"/>
        <w:rPr>
          <w:sz w:val="20"/>
          <w:szCs w:val="20"/>
          <w:color w:val="auto"/>
        </w:rPr>
      </w:pPr>
      <w:r>
        <w:rPr>
          <w:rFonts w:ascii="Courier New" w:cs="Courier New" w:eastAsia="Courier New" w:hAnsi="Courier New"/>
          <w:sz w:val="15"/>
          <w:szCs w:val="15"/>
          <w:color w:val="auto"/>
        </w:rPr>
        <w:t>Section 10.05. Officers' Certificates and Opinions of Counsel; Statements</w:t>
      </w:r>
    </w:p>
    <w:p>
      <w:pPr>
        <w:jc w:val="right"/>
        <w:ind w:right="3239"/>
        <w:spacing w:after="0"/>
        <w:tabs>
          <w:tab w:leader="dot" w:pos="140" w:val="left"/>
        </w:tabs>
        <w:rPr>
          <w:sz w:val="20"/>
          <w:szCs w:val="20"/>
          <w:color w:val="auto"/>
        </w:rPr>
      </w:pPr>
      <w:r>
        <w:rPr>
          <w:rFonts w:ascii="Courier New" w:cs="Courier New" w:eastAsia="Courier New" w:hAnsi="Courier New"/>
          <w:sz w:val="15"/>
          <w:szCs w:val="15"/>
          <w:color w:val="auto"/>
        </w:rPr>
        <w:t>to be Contained Therein</w:t>
      </w:r>
      <w:r>
        <w:rPr>
          <w:sz w:val="20"/>
          <w:szCs w:val="20"/>
          <w:color w:val="auto"/>
        </w:rPr>
        <w:tab/>
      </w:r>
      <w:r>
        <w:rPr>
          <w:rFonts w:ascii="Courier New" w:cs="Courier New" w:eastAsia="Courier New" w:hAnsi="Courier New"/>
          <w:sz w:val="12"/>
          <w:szCs w:val="12"/>
          <w:color w:val="auto"/>
        </w:rPr>
        <w:t>47</w:t>
      </w:r>
    </w:p>
    <w:p>
      <w:pPr>
        <w:spacing w:after="0"/>
        <w:tabs>
          <w:tab w:leader="dot" w:pos="6820" w:val="left"/>
        </w:tabs>
        <w:rPr>
          <w:sz w:val="20"/>
          <w:szCs w:val="20"/>
          <w:color w:val="auto"/>
        </w:rPr>
      </w:pPr>
      <w:r>
        <w:rPr>
          <w:rFonts w:ascii="Courier New" w:cs="Courier New" w:eastAsia="Courier New" w:hAnsi="Courier New"/>
          <w:sz w:val="15"/>
          <w:szCs w:val="15"/>
          <w:color w:val="auto"/>
        </w:rPr>
        <w:t>Section 10.06. Payments Due on Saturdays, Sundays and Holidays</w:t>
      </w:r>
      <w:r>
        <w:rPr>
          <w:sz w:val="20"/>
          <w:szCs w:val="20"/>
          <w:color w:val="auto"/>
        </w:rPr>
        <w:tab/>
      </w:r>
      <w:r>
        <w:rPr>
          <w:rFonts w:ascii="Courier New" w:cs="Courier New" w:eastAsia="Courier New" w:hAnsi="Courier New"/>
          <w:sz w:val="12"/>
          <w:szCs w:val="12"/>
          <w:color w:val="auto"/>
        </w:rPr>
        <w:t>48</w:t>
      </w:r>
    </w:p>
    <w:p>
      <w:pPr>
        <w:spacing w:after="0" w:line="238" w:lineRule="auto"/>
        <w:rPr>
          <w:sz w:val="20"/>
          <w:szCs w:val="20"/>
          <w:color w:val="auto"/>
        </w:rPr>
      </w:pPr>
      <w:r>
        <w:rPr>
          <w:rFonts w:ascii="Courier New" w:cs="Courier New" w:eastAsia="Courier New" w:hAnsi="Courier New"/>
          <w:sz w:val="15"/>
          <w:szCs w:val="15"/>
          <w:color w:val="auto"/>
        </w:rPr>
        <w:t>Section 10.07. Conflict of Any Provision of Indenture with Trust</w:t>
      </w:r>
    </w:p>
    <w:p>
      <w:pPr>
        <w:jc w:val="right"/>
        <w:ind w:right="3239"/>
        <w:spacing w:after="0"/>
        <w:tabs>
          <w:tab w:leader="dot" w:pos="140" w:val="left"/>
        </w:tabs>
        <w:rPr>
          <w:sz w:val="20"/>
          <w:szCs w:val="20"/>
          <w:color w:val="auto"/>
        </w:rPr>
      </w:pPr>
      <w:r>
        <w:rPr>
          <w:rFonts w:ascii="Courier New" w:cs="Courier New" w:eastAsia="Courier New" w:hAnsi="Courier New"/>
          <w:sz w:val="15"/>
          <w:szCs w:val="15"/>
          <w:color w:val="auto"/>
        </w:rPr>
        <w:t>Indenture Act of 1939</w:t>
      </w:r>
      <w:r>
        <w:rPr>
          <w:sz w:val="20"/>
          <w:szCs w:val="20"/>
          <w:color w:val="auto"/>
        </w:rPr>
        <w:tab/>
      </w:r>
      <w:r>
        <w:rPr>
          <w:rFonts w:ascii="Courier New" w:cs="Courier New" w:eastAsia="Courier New" w:hAnsi="Courier New"/>
          <w:sz w:val="12"/>
          <w:szCs w:val="12"/>
          <w:color w:val="auto"/>
        </w:rPr>
        <w:t>48</w:t>
      </w:r>
    </w:p>
    <w:p>
      <w:pPr>
        <w:spacing w:after="0"/>
        <w:tabs>
          <w:tab w:leader="dot" w:pos="6820" w:val="left"/>
        </w:tabs>
        <w:rPr>
          <w:sz w:val="20"/>
          <w:szCs w:val="20"/>
          <w:color w:val="auto"/>
        </w:rPr>
      </w:pPr>
      <w:r>
        <w:rPr>
          <w:rFonts w:ascii="Courier New" w:cs="Courier New" w:eastAsia="Courier New" w:hAnsi="Courier New"/>
          <w:sz w:val="15"/>
          <w:szCs w:val="15"/>
          <w:color w:val="auto"/>
        </w:rPr>
        <w:t>Section 10.08. New York Law to Govern</w:t>
      </w:r>
      <w:r>
        <w:rPr>
          <w:sz w:val="20"/>
          <w:szCs w:val="20"/>
          <w:color w:val="auto"/>
        </w:rPr>
        <w:tab/>
      </w:r>
      <w:r>
        <w:rPr>
          <w:rFonts w:ascii="Courier New" w:cs="Courier New" w:eastAsia="Courier New" w:hAnsi="Courier New"/>
          <w:sz w:val="12"/>
          <w:szCs w:val="12"/>
          <w:color w:val="auto"/>
        </w:rPr>
        <w:t>48</w:t>
      </w:r>
    </w:p>
    <w:p>
      <w:pPr>
        <w:spacing w:after="0"/>
        <w:tabs>
          <w:tab w:leader="dot" w:pos="6820" w:val="left"/>
        </w:tabs>
        <w:rPr>
          <w:sz w:val="20"/>
          <w:szCs w:val="20"/>
          <w:color w:val="auto"/>
        </w:rPr>
      </w:pPr>
      <w:r>
        <w:rPr>
          <w:rFonts w:ascii="Courier New" w:cs="Courier New" w:eastAsia="Courier New" w:hAnsi="Courier New"/>
          <w:sz w:val="15"/>
          <w:szCs w:val="15"/>
          <w:color w:val="auto"/>
        </w:rPr>
        <w:t>Section 10.09. Counterparts</w:t>
      </w:r>
      <w:r>
        <w:rPr>
          <w:sz w:val="20"/>
          <w:szCs w:val="20"/>
          <w:color w:val="auto"/>
        </w:rPr>
        <w:tab/>
      </w:r>
      <w:r>
        <w:rPr>
          <w:rFonts w:ascii="Courier New" w:cs="Courier New" w:eastAsia="Courier New" w:hAnsi="Courier New"/>
          <w:sz w:val="12"/>
          <w:szCs w:val="12"/>
          <w:color w:val="auto"/>
        </w:rPr>
        <w:t>48</w:t>
      </w:r>
    </w:p>
    <w:p>
      <w:pPr>
        <w:spacing w:after="0"/>
        <w:tabs>
          <w:tab w:leader="dot" w:pos="6820" w:val="left"/>
        </w:tabs>
        <w:rPr>
          <w:sz w:val="20"/>
          <w:szCs w:val="20"/>
          <w:color w:val="auto"/>
        </w:rPr>
      </w:pPr>
      <w:r>
        <w:rPr>
          <w:rFonts w:ascii="Courier New" w:cs="Courier New" w:eastAsia="Courier New" w:hAnsi="Courier New"/>
          <w:sz w:val="15"/>
          <w:szCs w:val="15"/>
          <w:color w:val="auto"/>
        </w:rPr>
        <w:t>Section 10.10. Effect of Headings</w:t>
      </w:r>
      <w:r>
        <w:rPr>
          <w:sz w:val="20"/>
          <w:szCs w:val="20"/>
          <w:color w:val="auto"/>
        </w:rPr>
        <w:tab/>
      </w:r>
      <w:r>
        <w:rPr>
          <w:rFonts w:ascii="Courier New" w:cs="Courier New" w:eastAsia="Courier New" w:hAnsi="Courier New"/>
          <w:sz w:val="12"/>
          <w:szCs w:val="12"/>
          <w:color w:val="auto"/>
        </w:rPr>
        <w:t>48</w:t>
      </w:r>
    </w:p>
    <w:p>
      <w:pPr>
        <w:spacing w:after="0" w:line="335"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ARTICLE 11</w:t>
      </w:r>
    </w:p>
    <w:p>
      <w:pPr>
        <w:ind w:left="1680"/>
        <w:spacing w:after="0" w:line="237" w:lineRule="auto"/>
        <w:rPr>
          <w:sz w:val="20"/>
          <w:szCs w:val="20"/>
          <w:color w:val="auto"/>
        </w:rPr>
      </w:pPr>
      <w:r>
        <w:rPr>
          <w:rFonts w:ascii="Courier New" w:cs="Courier New" w:eastAsia="Courier New" w:hAnsi="Courier New"/>
          <w:sz w:val="15"/>
          <w:szCs w:val="15"/>
          <w:color w:val="auto"/>
        </w:rPr>
        <w:t>REDEMPTION OF SECURITIES AND SINKING FUNDS</w:t>
      </w:r>
    </w:p>
    <w:p>
      <w:pPr>
        <w:spacing w:after="0" w:line="167" w:lineRule="exact"/>
        <w:rPr>
          <w:sz w:val="20"/>
          <w:szCs w:val="20"/>
          <w:color w:val="auto"/>
        </w:rPr>
      </w:pPr>
    </w:p>
    <w:p>
      <w:pPr>
        <w:spacing w:after="0"/>
        <w:tabs>
          <w:tab w:leader="dot" w:pos="6820" w:val="left"/>
        </w:tabs>
        <w:rPr>
          <w:sz w:val="20"/>
          <w:szCs w:val="20"/>
          <w:color w:val="auto"/>
        </w:rPr>
      </w:pPr>
      <w:r>
        <w:rPr>
          <w:rFonts w:ascii="Courier New" w:cs="Courier New" w:eastAsia="Courier New" w:hAnsi="Courier New"/>
          <w:sz w:val="15"/>
          <w:szCs w:val="15"/>
          <w:color w:val="auto"/>
        </w:rPr>
        <w:t>Section 11.01. Applicability of Article</w:t>
      </w:r>
      <w:r>
        <w:rPr>
          <w:sz w:val="20"/>
          <w:szCs w:val="20"/>
          <w:color w:val="auto"/>
        </w:rPr>
        <w:tab/>
      </w:r>
      <w:r>
        <w:rPr>
          <w:rFonts w:ascii="Courier New" w:cs="Courier New" w:eastAsia="Courier New" w:hAnsi="Courier New"/>
          <w:sz w:val="12"/>
          <w:szCs w:val="12"/>
          <w:color w:val="auto"/>
        </w:rPr>
        <w:t>48</w:t>
      </w:r>
    </w:p>
    <w:p>
      <w:pPr>
        <w:spacing w:after="0"/>
        <w:tabs>
          <w:tab w:leader="dot" w:pos="6820" w:val="left"/>
        </w:tabs>
        <w:rPr>
          <w:sz w:val="20"/>
          <w:szCs w:val="20"/>
          <w:color w:val="auto"/>
        </w:rPr>
      </w:pPr>
      <w:r>
        <w:rPr>
          <w:rFonts w:ascii="Courier New" w:cs="Courier New" w:eastAsia="Courier New" w:hAnsi="Courier New"/>
          <w:sz w:val="15"/>
          <w:szCs w:val="15"/>
          <w:color w:val="auto"/>
        </w:rPr>
        <w:t>Section 11.02. Notice of Redemption; Partial Redemptions</w:t>
      </w:r>
      <w:r>
        <w:rPr>
          <w:sz w:val="20"/>
          <w:szCs w:val="20"/>
          <w:color w:val="auto"/>
        </w:rPr>
        <w:tab/>
      </w:r>
      <w:r>
        <w:rPr>
          <w:rFonts w:ascii="Courier New" w:cs="Courier New" w:eastAsia="Courier New" w:hAnsi="Courier New"/>
          <w:sz w:val="12"/>
          <w:szCs w:val="12"/>
          <w:color w:val="auto"/>
        </w:rPr>
        <w:t>48</w:t>
      </w:r>
    </w:p>
    <w:p>
      <w:pPr>
        <w:spacing w:after="0"/>
        <w:tabs>
          <w:tab w:leader="dot" w:pos="6820" w:val="left"/>
        </w:tabs>
        <w:rPr>
          <w:sz w:val="20"/>
          <w:szCs w:val="20"/>
          <w:color w:val="auto"/>
        </w:rPr>
      </w:pPr>
      <w:r>
        <w:rPr>
          <w:rFonts w:ascii="Courier New" w:cs="Courier New" w:eastAsia="Courier New" w:hAnsi="Courier New"/>
          <w:sz w:val="15"/>
          <w:szCs w:val="15"/>
          <w:color w:val="auto"/>
        </w:rPr>
        <w:t>Section 11.03. Payment of Securities Called for Redemption</w:t>
      </w:r>
      <w:r>
        <w:rPr>
          <w:sz w:val="20"/>
          <w:szCs w:val="20"/>
          <w:color w:val="auto"/>
        </w:rPr>
        <w:tab/>
      </w:r>
      <w:r>
        <w:rPr>
          <w:rFonts w:ascii="Courier New" w:cs="Courier New" w:eastAsia="Courier New" w:hAnsi="Courier New"/>
          <w:sz w:val="12"/>
          <w:szCs w:val="12"/>
          <w:color w:val="auto"/>
        </w:rPr>
        <w:t>50</w:t>
      </w:r>
    </w:p>
    <w:p>
      <w:pPr>
        <w:spacing w:after="0" w:line="237" w:lineRule="auto"/>
        <w:rPr>
          <w:sz w:val="20"/>
          <w:szCs w:val="20"/>
          <w:color w:val="auto"/>
        </w:rPr>
      </w:pPr>
      <w:r>
        <w:rPr>
          <w:rFonts w:ascii="Courier New" w:cs="Courier New" w:eastAsia="Courier New" w:hAnsi="Courier New"/>
          <w:sz w:val="15"/>
          <w:szCs w:val="15"/>
          <w:color w:val="auto"/>
        </w:rPr>
        <w:t>Section 11.04. Exclusion of Certain Securities from Eligibility for</w:t>
      </w:r>
    </w:p>
    <w:p>
      <w:pPr>
        <w:jc w:val="right"/>
        <w:ind w:right="3239"/>
        <w:spacing w:after="0"/>
        <w:tabs>
          <w:tab w:leader="dot" w:pos="140" w:val="left"/>
        </w:tabs>
        <w:rPr>
          <w:sz w:val="20"/>
          <w:szCs w:val="20"/>
          <w:color w:val="auto"/>
        </w:rPr>
      </w:pPr>
      <w:r>
        <w:rPr>
          <w:rFonts w:ascii="Courier New" w:cs="Courier New" w:eastAsia="Courier New" w:hAnsi="Courier New"/>
          <w:sz w:val="15"/>
          <w:szCs w:val="15"/>
          <w:color w:val="auto"/>
        </w:rPr>
        <w:t>Selection for Redemption</w:t>
      </w:r>
      <w:r>
        <w:rPr>
          <w:sz w:val="20"/>
          <w:szCs w:val="20"/>
          <w:color w:val="auto"/>
        </w:rPr>
        <w:tab/>
      </w:r>
      <w:r>
        <w:rPr>
          <w:rFonts w:ascii="Courier New" w:cs="Courier New" w:eastAsia="Courier New" w:hAnsi="Courier New"/>
          <w:sz w:val="12"/>
          <w:szCs w:val="12"/>
          <w:color w:val="auto"/>
        </w:rPr>
        <w:t>50</w:t>
      </w:r>
    </w:p>
    <w:p>
      <w:pPr>
        <w:spacing w:after="0"/>
        <w:tabs>
          <w:tab w:leader="dot" w:pos="6820" w:val="left"/>
        </w:tabs>
        <w:rPr>
          <w:sz w:val="20"/>
          <w:szCs w:val="20"/>
          <w:color w:val="auto"/>
        </w:rPr>
      </w:pPr>
      <w:r>
        <w:rPr>
          <w:rFonts w:ascii="Courier New" w:cs="Courier New" w:eastAsia="Courier New" w:hAnsi="Courier New"/>
          <w:sz w:val="15"/>
          <w:szCs w:val="15"/>
          <w:color w:val="auto"/>
        </w:rPr>
        <w:t>Section 11.05. Mandatory and Optional Sinking Funds</w:t>
      </w:r>
      <w:r>
        <w:rPr>
          <w:sz w:val="20"/>
          <w:szCs w:val="20"/>
          <w:color w:val="auto"/>
        </w:rPr>
        <w:tab/>
      </w:r>
      <w:r>
        <w:rPr>
          <w:rFonts w:ascii="Courier New" w:cs="Courier New" w:eastAsia="Courier New" w:hAnsi="Courier New"/>
          <w:sz w:val="12"/>
          <w:szCs w:val="12"/>
          <w:color w:val="auto"/>
        </w:rPr>
        <w:t>50</w:t>
      </w:r>
    </w:p>
    <w:p>
      <w:pPr>
        <w:spacing w:after="0"/>
        <w:tabs>
          <w:tab w:leader="dot" w:pos="6820" w:val="left"/>
        </w:tabs>
        <w:rPr>
          <w:sz w:val="20"/>
          <w:szCs w:val="20"/>
          <w:color w:val="auto"/>
        </w:rPr>
      </w:pPr>
      <w:r>
        <w:rPr>
          <w:rFonts w:ascii="Courier New" w:cs="Courier New" w:eastAsia="Courier New" w:hAnsi="Courier New"/>
          <w:sz w:val="15"/>
          <w:szCs w:val="15"/>
          <w:color w:val="auto"/>
        </w:rPr>
        <w:t>Section 11.06. Conversion Arrangement on Call for Redemption</w:t>
      </w:r>
      <w:r>
        <w:rPr>
          <w:sz w:val="20"/>
          <w:szCs w:val="20"/>
          <w:color w:val="auto"/>
        </w:rPr>
        <w:tab/>
      </w:r>
      <w:r>
        <w:rPr>
          <w:rFonts w:ascii="Courier New" w:cs="Courier New" w:eastAsia="Courier New" w:hAnsi="Courier New"/>
          <w:sz w:val="12"/>
          <w:szCs w:val="12"/>
          <w:color w:val="auto"/>
        </w:rPr>
        <w:t>52</w:t>
      </w:r>
    </w:p>
    <w:p>
      <w:pPr>
        <w:spacing w:after="0" w:line="335"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ARTICLE 12</w:t>
      </w:r>
    </w:p>
    <w:p>
      <w:pPr>
        <w:ind w:left="2380"/>
        <w:spacing w:after="0" w:line="237" w:lineRule="auto"/>
        <w:rPr>
          <w:sz w:val="20"/>
          <w:szCs w:val="20"/>
          <w:color w:val="auto"/>
        </w:rPr>
      </w:pPr>
      <w:r>
        <w:rPr>
          <w:rFonts w:ascii="Courier New" w:cs="Courier New" w:eastAsia="Courier New" w:hAnsi="Courier New"/>
          <w:sz w:val="15"/>
          <w:szCs w:val="15"/>
          <w:color w:val="auto"/>
        </w:rPr>
        <w:t>CONVERSION OF SECURITIES</w:t>
      </w:r>
    </w:p>
    <w:p>
      <w:pPr>
        <w:spacing w:after="0" w:line="167" w:lineRule="exact"/>
        <w:rPr>
          <w:sz w:val="20"/>
          <w:szCs w:val="20"/>
          <w:color w:val="auto"/>
        </w:rPr>
      </w:pPr>
    </w:p>
    <w:p>
      <w:pPr>
        <w:spacing w:after="0"/>
        <w:tabs>
          <w:tab w:leader="dot" w:pos="6820" w:val="left"/>
        </w:tabs>
        <w:rPr>
          <w:sz w:val="20"/>
          <w:szCs w:val="20"/>
          <w:color w:val="auto"/>
        </w:rPr>
      </w:pPr>
      <w:r>
        <w:rPr>
          <w:rFonts w:ascii="Courier New" w:cs="Courier New" w:eastAsia="Courier New" w:hAnsi="Courier New"/>
          <w:sz w:val="15"/>
          <w:szCs w:val="15"/>
          <w:color w:val="auto"/>
        </w:rPr>
        <w:t>Section 12.01. Applicability of Article</w:t>
      </w:r>
      <w:r>
        <w:rPr>
          <w:sz w:val="20"/>
          <w:szCs w:val="20"/>
          <w:color w:val="auto"/>
        </w:rPr>
        <w:tab/>
      </w:r>
      <w:r>
        <w:rPr>
          <w:rFonts w:ascii="Courier New" w:cs="Courier New" w:eastAsia="Courier New" w:hAnsi="Courier New"/>
          <w:sz w:val="12"/>
          <w:szCs w:val="12"/>
          <w:color w:val="auto"/>
        </w:rPr>
        <w:t>53</w:t>
      </w:r>
    </w:p>
    <w:p>
      <w:pPr>
        <w:spacing w:after="0"/>
        <w:tabs>
          <w:tab w:leader="dot" w:pos="6820" w:val="left"/>
        </w:tabs>
        <w:rPr>
          <w:sz w:val="20"/>
          <w:szCs w:val="20"/>
          <w:color w:val="auto"/>
        </w:rPr>
      </w:pPr>
      <w:r>
        <w:rPr>
          <w:rFonts w:ascii="Courier New" w:cs="Courier New" w:eastAsia="Courier New" w:hAnsi="Courier New"/>
          <w:sz w:val="15"/>
          <w:szCs w:val="15"/>
          <w:color w:val="auto"/>
        </w:rPr>
        <w:t>Section 12.02. Right of Securityholders to Convert Securities</w:t>
      </w:r>
      <w:r>
        <w:rPr>
          <w:sz w:val="20"/>
          <w:szCs w:val="20"/>
          <w:color w:val="auto"/>
        </w:rPr>
        <w:tab/>
      </w:r>
      <w:r>
        <w:rPr>
          <w:rFonts w:ascii="Courier New" w:cs="Courier New" w:eastAsia="Courier New" w:hAnsi="Courier New"/>
          <w:sz w:val="12"/>
          <w:szCs w:val="12"/>
          <w:color w:val="auto"/>
        </w:rPr>
        <w:t>53</w:t>
      </w:r>
    </w:p>
    <w:p>
      <w:pPr>
        <w:spacing w:after="0" w:line="33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-iii-</w:t>
      </w:r>
    </w:p>
    <w:p>
      <w:pPr>
        <w:sectPr>
          <w:pgSz w:w="11900" w:h="16838" w:orient="portrait"/>
          <w:cols w:equalWidth="0" w:num="1">
            <w:col w:w="10239"/>
          </w:cols>
          <w:pgMar w:left="220" w:top="785" w:right="1440" w:bottom="1440" w:gutter="0" w:footer="0" w:header="0"/>
        </w:sectPr>
      </w:pPr>
    </w:p>
    <w:bookmarkStart w:id="78" w:name="page79"/>
    <w:bookmarkEnd w:id="78"/>
    <w:tbl>
      <w:tblPr>
        <w:tblLayout w:type="fixed"/>
        <w:tblInd w:w="0" w:type="dxa"/>
        <w:tblCellMar>
          <w:top w:w="0" w:type="dxa"/>
          <w:left w:w="0" w:type="dxa"/>
          <w:bottom w:w="0" w:type="dxa"/>
          <w:right w:w="0" w:type="dxa"/>
        </w:tblCellMar>
      </w:tblPr>
      <w:tr>
        <w:trPr>
          <w:trHeight w:val="170"/>
        </w:trPr>
        <w:tc>
          <w:tcPr>
            <w:tcW w:w="6840" w:type="dxa"/>
            <w:vAlign w:val="bottom"/>
            <w:gridSpan w:val="2"/>
          </w:tcPr>
          <w:p>
            <w:pPr>
              <w:spacing w:after="0"/>
              <w:rPr>
                <w:sz w:val="20"/>
                <w:szCs w:val="20"/>
                <w:color w:val="auto"/>
              </w:rPr>
            </w:pPr>
            <w:r>
              <w:rPr>
                <w:rFonts w:ascii="Courier New" w:cs="Courier New" w:eastAsia="Courier New" w:hAnsi="Courier New"/>
                <w:sz w:val="15"/>
                <w:szCs w:val="15"/>
                <w:color w:val="auto"/>
                <w:w w:val="97"/>
              </w:rPr>
              <w:t>Section 12.03. Issuance of Shares of Capital Stock on Conversion..............</w:t>
            </w:r>
          </w:p>
        </w:tc>
        <w:tc>
          <w:tcPr>
            <w:tcW w:w="160" w:type="dxa"/>
            <w:vAlign w:val="bottom"/>
          </w:tcPr>
          <w:p>
            <w:pPr>
              <w:jc w:val="right"/>
              <w:spacing w:after="0"/>
              <w:rPr>
                <w:sz w:val="20"/>
                <w:szCs w:val="20"/>
                <w:color w:val="auto"/>
              </w:rPr>
            </w:pPr>
            <w:r>
              <w:rPr>
                <w:rFonts w:ascii="Courier New" w:cs="Courier New" w:eastAsia="Courier New" w:hAnsi="Courier New"/>
                <w:sz w:val="15"/>
                <w:szCs w:val="15"/>
                <w:color w:val="auto"/>
                <w:w w:val="77"/>
              </w:rPr>
              <w:t>54</w:t>
            </w:r>
          </w:p>
        </w:tc>
      </w:tr>
      <w:tr>
        <w:trPr>
          <w:trHeight w:val="168"/>
        </w:trPr>
        <w:tc>
          <w:tcPr>
            <w:tcW w:w="2200" w:type="dxa"/>
            <w:vAlign w:val="bottom"/>
          </w:tcPr>
          <w:p>
            <w:pPr>
              <w:spacing w:after="0" w:line="168" w:lineRule="exact"/>
              <w:rPr>
                <w:sz w:val="20"/>
                <w:szCs w:val="20"/>
                <w:color w:val="auto"/>
              </w:rPr>
            </w:pPr>
            <w:r>
              <w:rPr>
                <w:rFonts w:ascii="Courier New" w:cs="Courier New" w:eastAsia="Courier New" w:hAnsi="Courier New"/>
                <w:sz w:val="15"/>
                <w:szCs w:val="15"/>
                <w:color w:val="auto"/>
                <w:w w:val="96"/>
              </w:rPr>
              <w:t>Section 12.04. No Payment</w:t>
            </w:r>
          </w:p>
        </w:tc>
        <w:tc>
          <w:tcPr>
            <w:tcW w:w="46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8"/>
              </w:rPr>
              <w:t>or Adjustment for Interest or Dividends.............</w:t>
            </w:r>
          </w:p>
        </w:tc>
        <w:tc>
          <w:tcPr>
            <w:tcW w:w="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77"/>
              </w:rPr>
              <w:t>55</w:t>
            </w:r>
          </w:p>
        </w:tc>
      </w:tr>
      <w:tr>
        <w:trPr>
          <w:trHeight w:val="168"/>
        </w:trPr>
        <w:tc>
          <w:tcPr>
            <w:tcW w:w="2200" w:type="dxa"/>
            <w:vAlign w:val="bottom"/>
          </w:tcPr>
          <w:p>
            <w:pPr>
              <w:spacing w:after="0" w:line="168" w:lineRule="exact"/>
              <w:rPr>
                <w:sz w:val="20"/>
                <w:szCs w:val="20"/>
                <w:color w:val="auto"/>
              </w:rPr>
            </w:pPr>
            <w:r>
              <w:rPr>
                <w:rFonts w:ascii="Courier New" w:cs="Courier New" w:eastAsia="Courier New" w:hAnsi="Courier New"/>
                <w:sz w:val="15"/>
                <w:szCs w:val="15"/>
                <w:color w:val="auto"/>
                <w:w w:val="96"/>
              </w:rPr>
              <w:t>Section 12.05. Adjustment</w:t>
            </w:r>
          </w:p>
        </w:tc>
        <w:tc>
          <w:tcPr>
            <w:tcW w:w="46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8"/>
              </w:rPr>
              <w:t>of Conversion Rate..................................</w:t>
            </w:r>
          </w:p>
        </w:tc>
        <w:tc>
          <w:tcPr>
            <w:tcW w:w="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77"/>
              </w:rPr>
              <w:t>55</w:t>
            </w:r>
          </w:p>
        </w:tc>
      </w:tr>
      <w:tr>
        <w:trPr>
          <w:trHeight w:val="168"/>
        </w:trPr>
        <w:tc>
          <w:tcPr>
            <w:tcW w:w="68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7"/>
              </w:rPr>
              <w:t>Section 12.06. No Fractional Shares to Be Issued..............................</w:t>
            </w:r>
          </w:p>
        </w:tc>
        <w:tc>
          <w:tcPr>
            <w:tcW w:w="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77"/>
              </w:rPr>
              <w:t>59</w:t>
            </w:r>
          </w:p>
        </w:tc>
      </w:tr>
      <w:tr>
        <w:trPr>
          <w:trHeight w:val="168"/>
        </w:trPr>
        <w:tc>
          <w:tcPr>
            <w:tcW w:w="68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Section 12.07. Preservation of Conversion Rights Upon Consolidation,</w:t>
            </w:r>
          </w:p>
        </w:tc>
        <w:tc>
          <w:tcPr>
            <w:tcW w:w="160" w:type="dxa"/>
            <w:vAlign w:val="bottom"/>
          </w:tcPr>
          <w:p>
            <w:pPr>
              <w:spacing w:after="0"/>
              <w:rPr>
                <w:sz w:val="14"/>
                <w:szCs w:val="14"/>
                <w:color w:val="auto"/>
              </w:rPr>
            </w:pPr>
          </w:p>
        </w:tc>
      </w:tr>
      <w:tr>
        <w:trPr>
          <w:trHeight w:val="168"/>
        </w:trPr>
        <w:tc>
          <w:tcPr>
            <w:tcW w:w="68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Merger, Sale or Conveyance.....................................</w:t>
            </w:r>
          </w:p>
        </w:tc>
        <w:tc>
          <w:tcPr>
            <w:tcW w:w="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77"/>
              </w:rPr>
              <w:t>59</w:t>
            </w:r>
          </w:p>
        </w:tc>
      </w:tr>
      <w:tr>
        <w:trPr>
          <w:trHeight w:val="168"/>
        </w:trPr>
        <w:tc>
          <w:tcPr>
            <w:tcW w:w="68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Section 12.08. Notice to Security Holders of a Series Prior to Taking</w:t>
            </w:r>
          </w:p>
        </w:tc>
        <w:tc>
          <w:tcPr>
            <w:tcW w:w="160" w:type="dxa"/>
            <w:vAlign w:val="bottom"/>
          </w:tcPr>
          <w:p>
            <w:pPr>
              <w:spacing w:after="0"/>
              <w:rPr>
                <w:sz w:val="14"/>
                <w:szCs w:val="14"/>
                <w:color w:val="auto"/>
              </w:rPr>
            </w:pPr>
          </w:p>
        </w:tc>
      </w:tr>
      <w:tr>
        <w:trPr>
          <w:trHeight w:val="168"/>
        </w:trPr>
        <w:tc>
          <w:tcPr>
            <w:tcW w:w="68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Certain Types of Action........................................</w:t>
            </w:r>
          </w:p>
        </w:tc>
        <w:tc>
          <w:tcPr>
            <w:tcW w:w="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77"/>
              </w:rPr>
              <w:t>60</w:t>
            </w:r>
          </w:p>
        </w:tc>
      </w:tr>
      <w:tr>
        <w:trPr>
          <w:trHeight w:val="168"/>
        </w:trPr>
        <w:tc>
          <w:tcPr>
            <w:tcW w:w="68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Section 12.09. Covenant to Reserve Shares for Issuance on Conversion of</w:t>
            </w:r>
          </w:p>
        </w:tc>
        <w:tc>
          <w:tcPr>
            <w:tcW w:w="160" w:type="dxa"/>
            <w:vAlign w:val="bottom"/>
          </w:tcPr>
          <w:p>
            <w:pPr>
              <w:spacing w:after="0"/>
              <w:rPr>
                <w:sz w:val="14"/>
                <w:szCs w:val="14"/>
                <w:color w:val="auto"/>
              </w:rPr>
            </w:pPr>
          </w:p>
        </w:tc>
      </w:tr>
      <w:tr>
        <w:trPr>
          <w:trHeight w:val="168"/>
        </w:trPr>
        <w:tc>
          <w:tcPr>
            <w:tcW w:w="2200" w:type="dxa"/>
            <w:vAlign w:val="bottom"/>
          </w:tcPr>
          <w:p>
            <w:pPr>
              <w:ind w:left="1320"/>
              <w:spacing w:after="0" w:line="168" w:lineRule="exact"/>
              <w:rPr>
                <w:sz w:val="20"/>
                <w:szCs w:val="20"/>
                <w:color w:val="auto"/>
              </w:rPr>
            </w:pPr>
            <w:r>
              <w:rPr>
                <w:rFonts w:ascii="Courier New" w:cs="Courier New" w:eastAsia="Courier New" w:hAnsi="Courier New"/>
                <w:sz w:val="15"/>
                <w:szCs w:val="15"/>
                <w:color w:val="auto"/>
                <w:w w:val="95"/>
              </w:rPr>
              <w:t>Securities</w:t>
            </w:r>
          </w:p>
        </w:tc>
        <w:tc>
          <w:tcPr>
            <w:tcW w:w="4640" w:type="dxa"/>
            <w:vAlign w:val="bottom"/>
          </w:tcPr>
          <w:p>
            <w:pPr>
              <w:spacing w:after="0" w:line="168" w:lineRule="exact"/>
              <w:rPr>
                <w:sz w:val="20"/>
                <w:szCs w:val="20"/>
                <w:color w:val="auto"/>
              </w:rPr>
            </w:pPr>
            <w:r>
              <w:rPr>
                <w:rFonts w:ascii="Courier New" w:cs="Courier New" w:eastAsia="Courier New" w:hAnsi="Courier New"/>
                <w:sz w:val="15"/>
                <w:szCs w:val="15"/>
                <w:color w:val="auto"/>
              </w:rPr>
              <w:t>..............................60</w:t>
            </w:r>
          </w:p>
        </w:tc>
        <w:tc>
          <w:tcPr>
            <w:tcW w:w="160" w:type="dxa"/>
            <w:vAlign w:val="bottom"/>
          </w:tcPr>
          <w:p>
            <w:pPr>
              <w:spacing w:after="0"/>
              <w:rPr>
                <w:sz w:val="14"/>
                <w:szCs w:val="14"/>
                <w:color w:val="auto"/>
              </w:rPr>
            </w:pPr>
          </w:p>
        </w:tc>
      </w:tr>
      <w:tr>
        <w:trPr>
          <w:trHeight w:val="168"/>
        </w:trPr>
        <w:tc>
          <w:tcPr>
            <w:tcW w:w="2200" w:type="dxa"/>
            <w:vAlign w:val="bottom"/>
          </w:tcPr>
          <w:p>
            <w:pPr>
              <w:spacing w:after="0" w:line="168" w:lineRule="exact"/>
              <w:rPr>
                <w:sz w:val="20"/>
                <w:szCs w:val="20"/>
                <w:color w:val="auto"/>
              </w:rPr>
            </w:pPr>
            <w:r>
              <w:rPr>
                <w:rFonts w:ascii="Courier New" w:cs="Courier New" w:eastAsia="Courier New" w:hAnsi="Courier New"/>
                <w:sz w:val="15"/>
                <w:szCs w:val="15"/>
                <w:color w:val="auto"/>
                <w:w w:val="96"/>
              </w:rPr>
              <w:t>Section 12.10. Compliance</w:t>
            </w:r>
          </w:p>
        </w:tc>
        <w:tc>
          <w:tcPr>
            <w:tcW w:w="46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8"/>
              </w:rPr>
              <w:t>with Governmental Requirements......................</w:t>
            </w:r>
          </w:p>
        </w:tc>
        <w:tc>
          <w:tcPr>
            <w:tcW w:w="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77"/>
              </w:rPr>
              <w:t>61</w:t>
            </w:r>
          </w:p>
        </w:tc>
      </w:tr>
      <w:tr>
        <w:trPr>
          <w:trHeight w:val="168"/>
        </w:trPr>
        <w:tc>
          <w:tcPr>
            <w:tcW w:w="2200" w:type="dxa"/>
            <w:vAlign w:val="bottom"/>
          </w:tcPr>
          <w:p>
            <w:pPr>
              <w:spacing w:after="0" w:line="168" w:lineRule="exact"/>
              <w:rPr>
                <w:sz w:val="20"/>
                <w:szCs w:val="20"/>
                <w:color w:val="auto"/>
              </w:rPr>
            </w:pPr>
            <w:r>
              <w:rPr>
                <w:rFonts w:ascii="Courier New" w:cs="Courier New" w:eastAsia="Courier New" w:hAnsi="Courier New"/>
                <w:sz w:val="15"/>
                <w:szCs w:val="15"/>
                <w:color w:val="auto"/>
                <w:w w:val="96"/>
              </w:rPr>
              <w:t>Section 12.11. Payment of</w:t>
            </w:r>
          </w:p>
        </w:tc>
        <w:tc>
          <w:tcPr>
            <w:tcW w:w="464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w w:val="98"/>
              </w:rPr>
              <w:t>Taxes Upon Certificates for Shares Issued Upon</w:t>
            </w:r>
          </w:p>
        </w:tc>
        <w:tc>
          <w:tcPr>
            <w:tcW w:w="160" w:type="dxa"/>
            <w:vAlign w:val="bottom"/>
          </w:tcPr>
          <w:p>
            <w:pPr>
              <w:spacing w:after="0"/>
              <w:rPr>
                <w:sz w:val="14"/>
                <w:szCs w:val="14"/>
                <w:color w:val="auto"/>
              </w:rPr>
            </w:pPr>
          </w:p>
        </w:tc>
      </w:tr>
      <w:tr>
        <w:trPr>
          <w:trHeight w:val="168"/>
        </w:trPr>
        <w:tc>
          <w:tcPr>
            <w:tcW w:w="2200" w:type="dxa"/>
            <w:vAlign w:val="bottom"/>
          </w:tcPr>
          <w:p>
            <w:pPr>
              <w:ind w:left="1320"/>
              <w:spacing w:after="0" w:line="168" w:lineRule="exact"/>
              <w:rPr>
                <w:sz w:val="20"/>
                <w:szCs w:val="20"/>
                <w:color w:val="auto"/>
              </w:rPr>
            </w:pPr>
            <w:r>
              <w:rPr>
                <w:rFonts w:ascii="Courier New" w:cs="Courier New" w:eastAsia="Courier New" w:hAnsi="Courier New"/>
                <w:sz w:val="15"/>
                <w:szCs w:val="15"/>
                <w:color w:val="auto"/>
                <w:w w:val="95"/>
              </w:rPr>
              <w:t>Conversion</w:t>
            </w:r>
          </w:p>
        </w:tc>
        <w:tc>
          <w:tcPr>
            <w:tcW w:w="4640" w:type="dxa"/>
            <w:vAlign w:val="bottom"/>
          </w:tcPr>
          <w:p>
            <w:pPr>
              <w:spacing w:after="0" w:line="168" w:lineRule="exact"/>
              <w:rPr>
                <w:sz w:val="20"/>
                <w:szCs w:val="20"/>
                <w:color w:val="auto"/>
              </w:rPr>
            </w:pPr>
            <w:r>
              <w:rPr>
                <w:rFonts w:ascii="Courier New" w:cs="Courier New" w:eastAsia="Courier New" w:hAnsi="Courier New"/>
                <w:sz w:val="15"/>
                <w:szCs w:val="15"/>
                <w:color w:val="auto"/>
              </w:rPr>
              <w:t>.............................61</w:t>
            </w:r>
          </w:p>
        </w:tc>
        <w:tc>
          <w:tcPr>
            <w:tcW w:w="160" w:type="dxa"/>
            <w:vAlign w:val="bottom"/>
          </w:tcPr>
          <w:p>
            <w:pPr>
              <w:spacing w:after="0"/>
              <w:rPr>
                <w:sz w:val="14"/>
                <w:szCs w:val="14"/>
                <w:color w:val="auto"/>
              </w:rPr>
            </w:pPr>
          </w:p>
        </w:tc>
      </w:tr>
      <w:tr>
        <w:trPr>
          <w:trHeight w:val="168"/>
        </w:trPr>
        <w:tc>
          <w:tcPr>
            <w:tcW w:w="68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7"/>
              </w:rPr>
              <w:t>Section 12.12. Trustee's Duties with Respect to Conversion Provisions.........</w:t>
            </w:r>
          </w:p>
        </w:tc>
        <w:tc>
          <w:tcPr>
            <w:tcW w:w="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77"/>
              </w:rPr>
              <w:t>61</w:t>
            </w:r>
          </w:p>
        </w:tc>
      </w:tr>
      <w:tr>
        <w:trPr>
          <w:trHeight w:val="505"/>
        </w:trPr>
        <w:tc>
          <w:tcPr>
            <w:tcW w:w="2200" w:type="dxa"/>
            <w:vAlign w:val="bottom"/>
          </w:tcPr>
          <w:p>
            <w:pPr>
              <w:spacing w:after="0"/>
              <w:rPr>
                <w:sz w:val="24"/>
                <w:szCs w:val="24"/>
                <w:color w:val="auto"/>
              </w:rPr>
            </w:pPr>
          </w:p>
        </w:tc>
        <w:tc>
          <w:tcPr>
            <w:tcW w:w="4640" w:type="dxa"/>
            <w:vAlign w:val="bottom"/>
          </w:tcPr>
          <w:p>
            <w:pPr>
              <w:jc w:val="right"/>
              <w:ind w:right="2827"/>
              <w:spacing w:after="0"/>
              <w:rPr>
                <w:sz w:val="20"/>
                <w:szCs w:val="20"/>
                <w:color w:val="auto"/>
              </w:rPr>
            </w:pPr>
            <w:r>
              <w:rPr>
                <w:rFonts w:ascii="Courier New" w:cs="Courier New" w:eastAsia="Courier New" w:hAnsi="Courier New"/>
                <w:sz w:val="15"/>
                <w:szCs w:val="15"/>
                <w:color w:val="auto"/>
              </w:rPr>
              <w:t>ARTICLE 13</w:t>
            </w:r>
          </w:p>
        </w:tc>
        <w:tc>
          <w:tcPr>
            <w:tcW w:w="160" w:type="dxa"/>
            <w:vAlign w:val="bottom"/>
          </w:tcPr>
          <w:p>
            <w:pPr>
              <w:spacing w:after="0"/>
              <w:rPr>
                <w:sz w:val="24"/>
                <w:szCs w:val="24"/>
                <w:color w:val="auto"/>
              </w:rPr>
            </w:pPr>
          </w:p>
        </w:tc>
      </w:tr>
      <w:tr>
        <w:trPr>
          <w:trHeight w:val="168"/>
        </w:trPr>
        <w:tc>
          <w:tcPr>
            <w:tcW w:w="2200" w:type="dxa"/>
            <w:vAlign w:val="bottom"/>
          </w:tcPr>
          <w:p>
            <w:pPr>
              <w:spacing w:after="0"/>
              <w:rPr>
                <w:sz w:val="14"/>
                <w:szCs w:val="14"/>
                <w:color w:val="auto"/>
              </w:rPr>
            </w:pPr>
          </w:p>
        </w:tc>
        <w:tc>
          <w:tcPr>
            <w:tcW w:w="4640" w:type="dxa"/>
            <w:vAlign w:val="bottom"/>
          </w:tcPr>
          <w:p>
            <w:pPr>
              <w:jc w:val="right"/>
              <w:ind w:right="2827"/>
              <w:spacing w:after="0" w:line="168" w:lineRule="exact"/>
              <w:rPr>
                <w:sz w:val="20"/>
                <w:szCs w:val="20"/>
                <w:color w:val="auto"/>
              </w:rPr>
            </w:pPr>
            <w:r>
              <w:rPr>
                <w:rFonts w:ascii="Courier New" w:cs="Courier New" w:eastAsia="Courier New" w:hAnsi="Courier New"/>
                <w:sz w:val="15"/>
                <w:szCs w:val="15"/>
                <w:color w:val="auto"/>
              </w:rPr>
              <w:t>GUARANTEES</w:t>
            </w:r>
          </w:p>
        </w:tc>
        <w:tc>
          <w:tcPr>
            <w:tcW w:w="160" w:type="dxa"/>
            <w:vAlign w:val="bottom"/>
          </w:tcPr>
          <w:p>
            <w:pPr>
              <w:spacing w:after="0"/>
              <w:rPr>
                <w:sz w:val="14"/>
                <w:szCs w:val="14"/>
                <w:color w:val="auto"/>
              </w:rPr>
            </w:pPr>
          </w:p>
        </w:tc>
      </w:tr>
      <w:tr>
        <w:trPr>
          <w:trHeight w:val="336"/>
        </w:trPr>
        <w:tc>
          <w:tcPr>
            <w:tcW w:w="6840" w:type="dxa"/>
            <w:vAlign w:val="bottom"/>
            <w:gridSpan w:val="2"/>
          </w:tcPr>
          <w:p>
            <w:pPr>
              <w:spacing w:after="0"/>
              <w:rPr>
                <w:sz w:val="20"/>
                <w:szCs w:val="20"/>
                <w:color w:val="auto"/>
              </w:rPr>
            </w:pPr>
            <w:r>
              <w:rPr>
                <w:rFonts w:ascii="Courier New" w:cs="Courier New" w:eastAsia="Courier New" w:hAnsi="Courier New"/>
                <w:sz w:val="15"/>
                <w:szCs w:val="15"/>
                <w:color w:val="auto"/>
                <w:w w:val="97"/>
              </w:rPr>
              <w:t>Section 13.01. The Cable Guarantees...........................................</w:t>
            </w:r>
          </w:p>
        </w:tc>
        <w:tc>
          <w:tcPr>
            <w:tcW w:w="160" w:type="dxa"/>
            <w:vAlign w:val="bottom"/>
          </w:tcPr>
          <w:p>
            <w:pPr>
              <w:jc w:val="right"/>
              <w:spacing w:after="0"/>
              <w:rPr>
                <w:sz w:val="20"/>
                <w:szCs w:val="20"/>
                <w:color w:val="auto"/>
              </w:rPr>
            </w:pPr>
            <w:r>
              <w:rPr>
                <w:rFonts w:ascii="Courier New" w:cs="Courier New" w:eastAsia="Courier New" w:hAnsi="Courier New"/>
                <w:sz w:val="15"/>
                <w:szCs w:val="15"/>
                <w:color w:val="auto"/>
                <w:w w:val="77"/>
              </w:rPr>
              <w:t>62</w:t>
            </w:r>
          </w:p>
        </w:tc>
      </w:tr>
      <w:tr>
        <w:trPr>
          <w:trHeight w:val="168"/>
        </w:trPr>
        <w:tc>
          <w:tcPr>
            <w:tcW w:w="68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7"/>
              </w:rPr>
              <w:t>Section 13.02. Guarantee Unconditional........................................</w:t>
            </w:r>
          </w:p>
        </w:tc>
        <w:tc>
          <w:tcPr>
            <w:tcW w:w="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77"/>
              </w:rPr>
              <w:t>62</w:t>
            </w:r>
          </w:p>
        </w:tc>
      </w:tr>
      <w:tr>
        <w:trPr>
          <w:trHeight w:val="168"/>
        </w:trPr>
        <w:tc>
          <w:tcPr>
            <w:tcW w:w="2200" w:type="dxa"/>
            <w:vAlign w:val="bottom"/>
          </w:tcPr>
          <w:p>
            <w:pPr>
              <w:spacing w:after="0" w:line="168" w:lineRule="exact"/>
              <w:rPr>
                <w:sz w:val="20"/>
                <w:szCs w:val="20"/>
                <w:color w:val="auto"/>
              </w:rPr>
            </w:pPr>
            <w:r>
              <w:rPr>
                <w:rFonts w:ascii="Courier New" w:cs="Courier New" w:eastAsia="Courier New" w:hAnsi="Courier New"/>
                <w:sz w:val="15"/>
                <w:szCs w:val="15"/>
                <w:color w:val="auto"/>
                <w:w w:val="96"/>
              </w:rPr>
              <w:t>Section 13.03. Discharge;</w:t>
            </w:r>
          </w:p>
        </w:tc>
        <w:tc>
          <w:tcPr>
            <w:tcW w:w="46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8"/>
              </w:rPr>
              <w:t>Reinstatement.......................................</w:t>
            </w:r>
          </w:p>
        </w:tc>
        <w:tc>
          <w:tcPr>
            <w:tcW w:w="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77"/>
              </w:rPr>
              <w:t>62</w:t>
            </w:r>
          </w:p>
        </w:tc>
      </w:tr>
      <w:tr>
        <w:trPr>
          <w:trHeight w:val="168"/>
        </w:trPr>
        <w:tc>
          <w:tcPr>
            <w:tcW w:w="68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7"/>
              </w:rPr>
              <w:t>Section 13.04. Waiver by the Cable Guarantors.................................</w:t>
            </w:r>
          </w:p>
        </w:tc>
        <w:tc>
          <w:tcPr>
            <w:tcW w:w="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77"/>
              </w:rPr>
              <w:t>63</w:t>
            </w:r>
          </w:p>
        </w:tc>
      </w:tr>
      <w:tr>
        <w:trPr>
          <w:trHeight w:val="168"/>
        </w:trPr>
        <w:tc>
          <w:tcPr>
            <w:tcW w:w="68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7"/>
              </w:rPr>
              <w:t>Section 13.05. Subrogation and Contribution...................................</w:t>
            </w:r>
          </w:p>
        </w:tc>
        <w:tc>
          <w:tcPr>
            <w:tcW w:w="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77"/>
              </w:rPr>
              <w:t>63</w:t>
            </w:r>
          </w:p>
        </w:tc>
      </w:tr>
      <w:tr>
        <w:trPr>
          <w:trHeight w:val="168"/>
        </w:trPr>
        <w:tc>
          <w:tcPr>
            <w:tcW w:w="68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7"/>
              </w:rPr>
              <w:t>Section 13.06. Stay of Acceleration...........................................</w:t>
            </w:r>
          </w:p>
        </w:tc>
        <w:tc>
          <w:tcPr>
            <w:tcW w:w="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77"/>
              </w:rPr>
              <w:t>63</w:t>
            </w:r>
          </w:p>
        </w:tc>
      </w:tr>
      <w:tr>
        <w:trPr>
          <w:trHeight w:val="168"/>
        </w:trPr>
        <w:tc>
          <w:tcPr>
            <w:tcW w:w="2200" w:type="dxa"/>
            <w:vAlign w:val="bottom"/>
          </w:tcPr>
          <w:p>
            <w:pPr>
              <w:spacing w:after="0" w:line="168" w:lineRule="exact"/>
              <w:rPr>
                <w:sz w:val="20"/>
                <w:szCs w:val="20"/>
                <w:color w:val="auto"/>
              </w:rPr>
            </w:pPr>
            <w:r>
              <w:rPr>
                <w:rFonts w:ascii="Courier New" w:cs="Courier New" w:eastAsia="Courier New" w:hAnsi="Courier New"/>
                <w:sz w:val="15"/>
                <w:szCs w:val="15"/>
                <w:color w:val="auto"/>
                <w:w w:val="96"/>
              </w:rPr>
              <w:t>Section 13.07. Limitation</w:t>
            </w:r>
          </w:p>
        </w:tc>
        <w:tc>
          <w:tcPr>
            <w:tcW w:w="46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8"/>
              </w:rPr>
              <w:t>on Amount of Cable Guarantee........................</w:t>
            </w:r>
          </w:p>
        </w:tc>
        <w:tc>
          <w:tcPr>
            <w:tcW w:w="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77"/>
              </w:rPr>
              <w:t>63</w:t>
            </w:r>
          </w:p>
        </w:tc>
      </w:tr>
      <w:tr>
        <w:trPr>
          <w:trHeight w:val="168"/>
        </w:trPr>
        <w:tc>
          <w:tcPr>
            <w:tcW w:w="68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7"/>
              </w:rPr>
              <w:t>Section 13.08. Execution and Delivery of Cable Guarantee......................</w:t>
            </w:r>
          </w:p>
        </w:tc>
        <w:tc>
          <w:tcPr>
            <w:tcW w:w="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77"/>
              </w:rPr>
              <w:t>63</w:t>
            </w:r>
          </w:p>
        </w:tc>
      </w:tr>
      <w:tr>
        <w:trPr>
          <w:trHeight w:val="168"/>
        </w:trPr>
        <w:tc>
          <w:tcPr>
            <w:tcW w:w="2200" w:type="dxa"/>
            <w:vAlign w:val="bottom"/>
          </w:tcPr>
          <w:p>
            <w:pPr>
              <w:spacing w:after="0" w:line="168" w:lineRule="exact"/>
              <w:rPr>
                <w:sz w:val="20"/>
                <w:szCs w:val="20"/>
                <w:color w:val="auto"/>
              </w:rPr>
            </w:pPr>
            <w:r>
              <w:rPr>
                <w:rFonts w:ascii="Courier New" w:cs="Courier New" w:eastAsia="Courier New" w:hAnsi="Courier New"/>
                <w:sz w:val="15"/>
                <w:szCs w:val="15"/>
                <w:color w:val="auto"/>
                <w:w w:val="96"/>
              </w:rPr>
              <w:t>Section 13.09. Release of</w:t>
            </w:r>
          </w:p>
        </w:tc>
        <w:tc>
          <w:tcPr>
            <w:tcW w:w="46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8"/>
              </w:rPr>
              <w:t>Cable Guarantee.....................................</w:t>
            </w:r>
          </w:p>
        </w:tc>
        <w:tc>
          <w:tcPr>
            <w:tcW w:w="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77"/>
              </w:rPr>
              <w:t>63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-iv-</w:t>
      </w:r>
    </w:p>
    <w:p>
      <w:pPr>
        <w:sectPr>
          <w:pgSz w:w="11900" w:h="16838" w:orient="portrait"/>
          <w:cols w:equalWidth="0" w:num="1">
            <w:col w:w="10239"/>
          </w:cols>
          <w:pgMar w:left="220" w:top="785" w:right="1440" w:bottom="1440" w:gutter="0" w:footer="0" w:header="0"/>
        </w:sectPr>
      </w:pPr>
    </w:p>
    <w:bookmarkStart w:id="79" w:name="page80"/>
    <w:bookmarkEnd w:id="79"/>
    <w:p>
      <w:pPr>
        <w:jc w:val="both"/>
        <w:ind w:right="3499" w:firstLine="262"/>
        <w:spacing w:after="0" w:line="258" w:lineRule="auto"/>
        <w:rPr>
          <w:sz w:val="20"/>
          <w:szCs w:val="20"/>
          <w:color w:val="auto"/>
        </w:rPr>
      </w:pPr>
      <w:r>
        <w:rPr>
          <w:rFonts w:ascii="Courier New" w:cs="Courier New" w:eastAsia="Courier New" w:hAnsi="Courier New"/>
          <w:sz w:val="14"/>
          <w:szCs w:val="14"/>
          <w:color w:val="auto"/>
        </w:rPr>
        <w:t>THIS INDENTURE, dated as of [ ], among COMCAST CORPORATION, a Pennsylvania corporation (the "Issuer"), the Cable Guarantors party hereto and THE BANK OF NEW YORK, a New York banking corporation, as trustee (the "Trustee").</w:t>
      </w:r>
    </w:p>
    <w:p>
      <w:pPr>
        <w:spacing w:after="0" w:line="323"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W I T N E S S E T H:</w:t>
      </w:r>
    </w:p>
    <w:p>
      <w:pPr>
        <w:spacing w:after="0" w:line="173"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WHEREAS, the Issuer has duly authorized the issue from time to time of its unsecured debentures, notes or other evidences of indebtedness to be issued in one or more series (the "Securities") up to such principal amount or amounts as may from time to time be authorized in accordance with the terms of this Indenture and to provide, among other things, for the authentication, delivery and administration thereof, the Issuer has duly authorized the execution and delivery of this Indenture; and</w:t>
      </w:r>
    </w:p>
    <w:p>
      <w:pPr>
        <w:spacing w:after="0" w:line="176"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WHEREAS, the Cable Guarantors party hereto have duly authorized the execution and delivery of the Indenture as guarantors of the Securities, and each Cable Guarantor has done all things necessary to make the Cable Guarantees, when the Securities are executed by the Issuer and authenticated and delivered by the Trustee and duly issued by the Issuer, the valid obligations of such Cable Guarantor as hereinafter provided.</w:t>
      </w:r>
    </w:p>
    <w:p>
      <w:pPr>
        <w:spacing w:after="0" w:line="175" w:lineRule="exact"/>
        <w:rPr>
          <w:sz w:val="20"/>
          <w:szCs w:val="20"/>
          <w:color w:val="auto"/>
        </w:rPr>
      </w:pPr>
    </w:p>
    <w:p>
      <w:pPr>
        <w:ind w:right="3319" w:firstLine="437"/>
        <w:spacing w:after="0" w:line="234" w:lineRule="auto"/>
        <w:rPr>
          <w:sz w:val="20"/>
          <w:szCs w:val="20"/>
          <w:color w:val="auto"/>
        </w:rPr>
      </w:pPr>
      <w:r>
        <w:rPr>
          <w:rFonts w:ascii="Courier New" w:cs="Courier New" w:eastAsia="Courier New" w:hAnsi="Courier New"/>
          <w:sz w:val="15"/>
          <w:szCs w:val="15"/>
          <w:color w:val="auto"/>
        </w:rPr>
        <w:t>WHEREAS, all things necessary to make this Indenture a valid indenture and agreement according to its terms have been done;</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NOW, THEREFORE:</w:t>
      </w:r>
    </w:p>
    <w:p>
      <w:pPr>
        <w:spacing w:after="0" w:line="173"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In consideration of the premises and the purchases of the Securities by the holders thereof, the Issuer, the Cable Guarantors and the Trustee mutually covenant and agree for the equal and proportionate benefit of the respective holders from time to time of the Securities as follows:</w:t>
      </w:r>
    </w:p>
    <w:p>
      <w:pPr>
        <w:spacing w:after="0" w:line="337"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Article 1</w:t>
      </w:r>
    </w:p>
    <w:p>
      <w:pPr>
        <w:ind w:left="3080"/>
        <w:spacing w:after="0" w:line="237" w:lineRule="auto"/>
        <w:rPr>
          <w:sz w:val="20"/>
          <w:szCs w:val="20"/>
          <w:color w:val="auto"/>
        </w:rPr>
      </w:pPr>
      <w:r>
        <w:rPr>
          <w:rFonts w:ascii="Courier New" w:cs="Courier New" w:eastAsia="Courier New" w:hAnsi="Courier New"/>
          <w:sz w:val="15"/>
          <w:szCs w:val="15"/>
          <w:color w:val="auto"/>
        </w:rPr>
        <w:t>DEFINITIONS</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Section 1.01. Certain Terms Defined. The following terms (except as otherwise expressly provided or unless the context otherwise clearly requires) for all purposes of this Indenture and of any indenture supplemental hereto shall have the respective meanings specified in this Section. All other terms used in this Indenture that are defined in the Trust Indenture Act of 1939 or the definitions of which in the Securities Act of 1933 are referred to in the Trust Indenture Act of 1939, as amended, including terms defined therein by reference to the Securities Act of 1933, as amended, (except as herein otherwise expressly provided or unless the context otherwise clearly requires), shall have the meanings assigned to such terms in said Trust Indenture Act and in said Securities Act as in force at the date of this Indenture. All accounting terms used herein and not expressly defined shall have the meanings assigned to such terms in accordance with GAAP. The words "herein", "hereof" and "hereunder" and other words of similar import refer to this Indenture as a whole and not to any particular Article, Section or other subdivision. The terms defined in this Article have the meanings assigned to them in this Article and include the plural as well as the singular.</w:t>
      </w:r>
    </w:p>
    <w:p>
      <w:pPr>
        <w:sectPr>
          <w:pgSz w:w="11900" w:h="16838" w:orient="portrait"/>
          <w:cols w:equalWidth="0" w:num="1">
            <w:col w:w="10239"/>
          </w:cols>
          <w:pgMar w:left="220" w:top="792" w:right="1440" w:bottom="1440" w:gutter="0" w:footer="0" w:header="0"/>
        </w:sectPr>
      </w:pPr>
    </w:p>
    <w:bookmarkStart w:id="80" w:name="page81"/>
    <w:bookmarkEnd w:id="80"/>
    <w:p>
      <w:pPr>
        <w:ind w:right="3239" w:firstLine="437"/>
        <w:spacing w:after="0" w:line="255" w:lineRule="auto"/>
        <w:rPr>
          <w:sz w:val="20"/>
          <w:szCs w:val="20"/>
          <w:color w:val="auto"/>
        </w:rPr>
      </w:pPr>
      <w:r>
        <w:rPr>
          <w:rFonts w:ascii="Courier New" w:cs="Courier New" w:eastAsia="Courier New" w:hAnsi="Courier New"/>
          <w:sz w:val="14"/>
          <w:szCs w:val="14"/>
          <w:color w:val="auto"/>
        </w:rPr>
        <w:t>"Authorized Newspaper" means a newspaper in the English language or in an official language of the country of publication, customarily printed on each Business Day, whether or not published on Saturdays, Sundays or holidays, and of general circulation in the place in connection with which the term is used or in the financial community of such place. If, because of temporary suspension of publication or general circulation of any newspaper or for any other reason, it is impossible or impracticable to make any publication of any notice required by this Indenture in the manner herein provided, such publication or other notice in lieu thereof which is made at the written direction of the Issuer by the Trustee shall constitute a sufficient publication of such notice.</w:t>
      </w:r>
    </w:p>
    <w:p>
      <w:pPr>
        <w:spacing w:after="0" w:line="165" w:lineRule="exact"/>
        <w:rPr>
          <w:sz w:val="20"/>
          <w:szCs w:val="20"/>
          <w:color w:val="auto"/>
        </w:rPr>
      </w:pPr>
    </w:p>
    <w:p>
      <w:pPr>
        <w:ind w:right="3399" w:firstLine="437"/>
        <w:spacing w:after="0" w:line="234" w:lineRule="auto"/>
        <w:rPr>
          <w:sz w:val="20"/>
          <w:szCs w:val="20"/>
          <w:color w:val="auto"/>
        </w:rPr>
      </w:pPr>
      <w:r>
        <w:rPr>
          <w:rFonts w:ascii="Courier New" w:cs="Courier New" w:eastAsia="Courier New" w:hAnsi="Courier New"/>
          <w:sz w:val="15"/>
          <w:szCs w:val="15"/>
          <w:color w:val="auto"/>
        </w:rPr>
        <w:t>"Board of Directors" means either the Board of Directors of the Issuer or any committee of such Board duly authorized to act hereunder.</w:t>
      </w:r>
    </w:p>
    <w:p>
      <w:pPr>
        <w:spacing w:after="0" w:line="173"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"Business Day" means, with respect to any Security, a day that in the city (or in all of the cities, if more than one) in which amounts are payable, as specified in the form of such Security, is not a day on which banking institutions are authorized by law or regulation to close.</w:t>
      </w:r>
    </w:p>
    <w:p>
      <w:pPr>
        <w:spacing w:after="0" w:line="175" w:lineRule="exact"/>
        <w:rPr>
          <w:sz w:val="20"/>
          <w:szCs w:val="20"/>
          <w:color w:val="auto"/>
        </w:rPr>
      </w:pPr>
    </w:p>
    <w:p>
      <w:pPr>
        <w:ind w:right="4019" w:firstLine="437"/>
        <w:spacing w:after="0" w:line="234" w:lineRule="auto"/>
        <w:rPr>
          <w:sz w:val="20"/>
          <w:szCs w:val="20"/>
          <w:color w:val="auto"/>
        </w:rPr>
      </w:pPr>
      <w:r>
        <w:rPr>
          <w:rFonts w:ascii="Courier New" w:cs="Courier New" w:eastAsia="Courier New" w:hAnsi="Courier New"/>
          <w:sz w:val="15"/>
          <w:szCs w:val="15"/>
          <w:color w:val="auto"/>
        </w:rPr>
        <w:t>"Cable Guarantee" means the guarantee of the Securities by a Cable Guarantor pursuant to this Indenture.</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"Cable Guarantor" means each of Comcast Cable Communications, Inc., Comcast Cable Communications Holdings, Inc., Comcast Cable Holdings, LLC and Comcast MO Group, Inc., in each case excluding such entities' Subsidiaries and unless and until such Cable Guarantor is released from its Cable Guarantee pursuant to this Indenture.</w:t>
      </w:r>
    </w:p>
    <w:p>
      <w:pPr>
        <w:spacing w:after="0" w:line="174" w:lineRule="exact"/>
        <w:rPr>
          <w:sz w:val="20"/>
          <w:szCs w:val="20"/>
          <w:color w:val="auto"/>
        </w:rPr>
      </w:pPr>
    </w:p>
    <w:p>
      <w:pPr>
        <w:jc w:val="both"/>
        <w:ind w:right="3579" w:firstLine="437"/>
        <w:spacing w:after="0" w:line="236" w:lineRule="auto"/>
        <w:rPr>
          <w:sz w:val="20"/>
          <w:szCs w:val="20"/>
          <w:color w:val="auto"/>
        </w:rPr>
      </w:pPr>
      <w:r>
        <w:rPr>
          <w:rFonts w:ascii="Courier New" w:cs="Courier New" w:eastAsia="Courier New" w:hAnsi="Courier New"/>
          <w:sz w:val="15"/>
          <w:szCs w:val="15"/>
          <w:color w:val="auto"/>
        </w:rPr>
        <w:t>"Capitalized Lease" means, as applied to any Person, any lease of any property (whether real, personal, or mixed) of which the discounted present value of the rental obligations of such Person as lessee, in conformity with GAAP, is required to be capitalized on the balance sheet of such Person; and "Capitalized Lease Obligation" is defined to mean the rental obligations, as aforesaid, under such lease.</w:t>
      </w:r>
    </w:p>
    <w:p>
      <w:pPr>
        <w:spacing w:after="0" w:line="175" w:lineRule="exact"/>
        <w:rPr>
          <w:sz w:val="20"/>
          <w:szCs w:val="20"/>
          <w:color w:val="auto"/>
        </w:rPr>
      </w:pPr>
    </w:p>
    <w:p>
      <w:pPr>
        <w:ind w:right="3399" w:firstLine="437"/>
        <w:spacing w:after="0" w:line="236" w:lineRule="auto"/>
        <w:rPr>
          <w:sz w:val="20"/>
          <w:szCs w:val="20"/>
          <w:color w:val="auto"/>
        </w:rPr>
      </w:pPr>
      <w:r>
        <w:rPr>
          <w:rFonts w:ascii="Courier New" w:cs="Courier New" w:eastAsia="Courier New" w:hAnsi="Courier New"/>
          <w:sz w:val="15"/>
          <w:szCs w:val="15"/>
          <w:color w:val="auto"/>
        </w:rPr>
        <w:t>"Capital Stock" means, with respect to any Person, including the Issuer, any and all shares, interests, participations or other equivalents (however designated, whether voting or non-voting) of such Person's capital stock or other ownership interests, whether now outstanding or issued after the date of this Indenture, including, without limitation, all Common Stock and Preferred Stock.</w:t>
      </w:r>
    </w:p>
    <w:p>
      <w:pPr>
        <w:spacing w:after="0" w:line="175" w:lineRule="exact"/>
        <w:rPr>
          <w:sz w:val="20"/>
          <w:szCs w:val="20"/>
          <w:color w:val="auto"/>
        </w:rPr>
      </w:pPr>
    </w:p>
    <w:p>
      <w:pPr>
        <w:ind w:right="3319" w:firstLine="437"/>
        <w:spacing w:after="0" w:line="234" w:lineRule="auto"/>
        <w:rPr>
          <w:sz w:val="20"/>
          <w:szCs w:val="20"/>
          <w:color w:val="auto"/>
        </w:rPr>
      </w:pPr>
      <w:r>
        <w:rPr>
          <w:rFonts w:ascii="Courier New" w:cs="Courier New" w:eastAsia="Courier New" w:hAnsi="Courier New"/>
          <w:sz w:val="15"/>
          <w:szCs w:val="15"/>
          <w:color w:val="auto"/>
        </w:rPr>
        <w:t>"Class A Common Stock" means the Class A Common Stock, $0.01 par value, of the Issuer.</w:t>
      </w:r>
    </w:p>
    <w:p>
      <w:pPr>
        <w:spacing w:after="0" w:line="173" w:lineRule="exact"/>
        <w:rPr>
          <w:sz w:val="20"/>
          <w:szCs w:val="20"/>
          <w:color w:val="auto"/>
        </w:rPr>
      </w:pPr>
    </w:p>
    <w:p>
      <w:pPr>
        <w:ind w:right="3679" w:firstLine="437"/>
        <w:spacing w:after="0" w:line="234" w:lineRule="auto"/>
        <w:rPr>
          <w:sz w:val="20"/>
          <w:szCs w:val="20"/>
          <w:color w:val="auto"/>
        </w:rPr>
      </w:pPr>
      <w:r>
        <w:rPr>
          <w:rFonts w:ascii="Courier New" w:cs="Courier New" w:eastAsia="Courier New" w:hAnsi="Courier New"/>
          <w:sz w:val="15"/>
          <w:szCs w:val="15"/>
          <w:color w:val="auto"/>
        </w:rPr>
        <w:t>"Class A Special Common Stock" means the Class A Special Common Stock, $0.01 par value, of the Issuer.</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"Closing Price" on any day when used with respect to any class of Capital Stock means (i) if the stock is then listed or admitted to trading on a national securities exchange in the United States, the last reported sale price, regular way, for the stock as reported in the consolidated transaction or other reporting system for securities listed or traded on such exchange, or (ii) if the stock is listed on the National Association of Securities Dealers, Inc. Automated Quotations</w:t>
      </w:r>
    </w:p>
    <w:p>
      <w:pPr>
        <w:spacing w:after="0" w:line="33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39"/>
          </w:cols>
          <w:pgMar w:left="220" w:top="792" w:right="1440" w:bottom="1440" w:gutter="0" w:footer="0" w:header="0"/>
        </w:sectPr>
      </w:pPr>
    </w:p>
    <w:bookmarkStart w:id="81" w:name="page82"/>
    <w:bookmarkEnd w:id="81"/>
    <w:p>
      <w:pPr>
        <w:ind w:right="3499"/>
        <w:spacing w:after="0" w:line="254" w:lineRule="auto"/>
        <w:rPr>
          <w:sz w:val="20"/>
          <w:szCs w:val="20"/>
          <w:color w:val="auto"/>
        </w:rPr>
      </w:pPr>
      <w:r>
        <w:rPr>
          <w:rFonts w:ascii="Courier New" w:cs="Courier New" w:eastAsia="Courier New" w:hAnsi="Courier New"/>
          <w:sz w:val="14"/>
          <w:szCs w:val="14"/>
          <w:color w:val="auto"/>
        </w:rPr>
        <w:t>System National Market System (the "NASDAQ National Market System"), the last reported sale price, regular way, for the stock, as reported on such list, or</w:t>
      </w:r>
    </w:p>
    <w:p>
      <w:pPr>
        <w:spacing w:after="0" w:line="1" w:lineRule="exact"/>
        <w:rPr>
          <w:sz w:val="20"/>
          <w:szCs w:val="20"/>
          <w:color w:val="auto"/>
        </w:rPr>
      </w:pPr>
    </w:p>
    <w:p>
      <w:pPr>
        <w:ind w:right="3239" w:firstLine="10"/>
        <w:spacing w:after="0" w:line="236" w:lineRule="auto"/>
        <w:tabs>
          <w:tab w:leader="none" w:pos="525" w:val="left"/>
        </w:tabs>
        <w:numPr>
          <w:ilvl w:val="0"/>
          <w:numId w:val="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stock is not so admitted for trading on any national securities exchange or the NASDAQ National Market System, the average of the last reported closing bid and asked prices reported by the National Association of Securities Dealers, Inc. Automated Quotations System as furnished by any member in good standing of the National Association of Securities Dealers, Inc., selected from time to time by the Issuer for that purpose or as quoted by the National Quotation Bureau Incorporated. In the event that no such quotation is available for any day, the Board of Directors shall be entitled to determine in good faith the current market price on the basis of such quotations as it considers appropriate.</w:t>
      </w:r>
    </w:p>
    <w:p>
      <w:pPr>
        <w:spacing w:after="0" w:line="179" w:lineRule="exact"/>
        <w:rPr>
          <w:sz w:val="20"/>
          <w:szCs w:val="20"/>
          <w:color w:val="auto"/>
        </w:rPr>
      </w:pPr>
    </w:p>
    <w:p>
      <w:pPr>
        <w:ind w:right="3319" w:firstLine="437"/>
        <w:spacing w:after="0" w:line="256" w:lineRule="auto"/>
        <w:rPr>
          <w:sz w:val="20"/>
          <w:szCs w:val="20"/>
          <w:color w:val="auto"/>
        </w:rPr>
      </w:pPr>
      <w:r>
        <w:rPr>
          <w:rFonts w:ascii="Courier New" w:cs="Courier New" w:eastAsia="Courier New" w:hAnsi="Courier New"/>
          <w:sz w:val="14"/>
          <w:szCs w:val="14"/>
          <w:color w:val="auto"/>
        </w:rPr>
        <w:t>"Commission" means the Securities and Exchange Commission, as from time to time constituted, created under the Securities Exchange Act of 1934, or if at any time after the execution and delivery of this Indenture such Commission is not existing and performing the duties now assigned to it under the Trust Indenture Act, then the body performing such duties on such date.</w:t>
      </w:r>
    </w:p>
    <w:p>
      <w:pPr>
        <w:spacing w:after="0" w:line="163"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"Common Stock" means, with respect to any Person, any and all shares, interests, participations or other equivalents (however designated, whether voting or non-voting) of such Person's common stock, whether now outstanding or issued after the date of this Indenture, including, without limitation, all series and classes of such common stock.</w:t>
      </w:r>
    </w:p>
    <w:p>
      <w:pPr>
        <w:spacing w:after="0" w:line="174"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"Corporate Trust Office" means the office of the Trustee at which the corporate trust business of the Trustee shall, at any particular time, be principally administered, which office is, at the date as of which this Indenture is dated, located at 101 Barclay Street, Floor 8W, New York, NY 10286, Attention: Corporate Trust Administration.</w:t>
      </w:r>
    </w:p>
    <w:p>
      <w:pPr>
        <w:spacing w:after="0" w:line="174"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"Currency Agreement" means any foreign exchange contract, currency swap agreement, or other similar agreement or arrangement designed to protect against the fluctuation in currency values.</w:t>
      </w:r>
    </w:p>
    <w:p>
      <w:pPr>
        <w:spacing w:after="0" w:line="174"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"Default" means any Event of Default as defined in Section 4.01 and any event that is, or after notice or passage of time or both would be, an Event of Default.</w:t>
      </w:r>
    </w:p>
    <w:p>
      <w:pPr>
        <w:spacing w:after="0" w:line="174"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"Depositary" means, with respect to the Securities of any series issuable or issued in the form of one or more Registered Global Securities, the Person designated as Depositary by the Issuer pursuant to Section 2.03 until a successor Depositary shall have become such pursuant to the applicable provisions of this Indenture, and thereafter "Depositary" shall mean or include each Person who is then a Depositary hereunder, and if at any time there is more than one such Person, "Depositary" as used with respect to the Securities of any such series shall mean the Depositary with respect to the Registered Global Securities of that series.</w:t>
      </w:r>
    </w:p>
    <w:p>
      <w:pPr>
        <w:spacing w:after="0" w:line="178" w:lineRule="exact"/>
        <w:rPr>
          <w:sz w:val="20"/>
          <w:szCs w:val="20"/>
          <w:color w:val="auto"/>
        </w:rPr>
      </w:pPr>
    </w:p>
    <w:p>
      <w:pPr>
        <w:ind w:right="3839" w:firstLine="437"/>
        <w:spacing w:after="0" w:line="234" w:lineRule="auto"/>
        <w:rPr>
          <w:sz w:val="20"/>
          <w:szCs w:val="20"/>
          <w:color w:val="auto"/>
        </w:rPr>
      </w:pPr>
      <w:r>
        <w:rPr>
          <w:rFonts w:ascii="Courier New" w:cs="Courier New" w:eastAsia="Courier New" w:hAnsi="Courier New"/>
          <w:sz w:val="15"/>
          <w:szCs w:val="15"/>
          <w:color w:val="auto"/>
        </w:rPr>
        <w:t>"Event of Default" means any event or condition specified as such in Section 4.01.</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"GAAP" means generally accepted accounting principles in the United States of America as in effect as of the date of determination, including, without limitation, those set forth in the opinions and pronouncements of the Accounting Principles Board of the American Institute of Certified Public Accountants and statements and pronouncements of the Financial Accounting</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39"/>
          </w:cols>
          <w:pgMar w:left="220" w:top="792" w:right="1440" w:bottom="1440" w:gutter="0" w:footer="0" w:header="0"/>
        </w:sectPr>
      </w:pPr>
    </w:p>
    <w:bookmarkStart w:id="82" w:name="page83"/>
    <w:bookmarkEnd w:id="82"/>
    <w:p>
      <w:pPr>
        <w:jc w:val="both"/>
        <w:ind w:right="3239"/>
        <w:spacing w:after="0" w:line="235" w:lineRule="auto"/>
        <w:rPr>
          <w:sz w:val="20"/>
          <w:szCs w:val="20"/>
          <w:color w:val="auto"/>
        </w:rPr>
      </w:pPr>
      <w:r>
        <w:rPr>
          <w:rFonts w:ascii="Courier New" w:cs="Courier New" w:eastAsia="Courier New" w:hAnsi="Courier New"/>
          <w:sz w:val="15"/>
          <w:szCs w:val="15"/>
          <w:color w:val="auto"/>
        </w:rPr>
        <w:t>Standards Board or in such other statements by such other entity as approved by a significant segment of the accounting profession. All ratios and computations contained in this Indenture shall be computed in conformity with GAAP applied on a consistent basis.</w:t>
      </w:r>
    </w:p>
    <w:p>
      <w:pPr>
        <w:spacing w:after="0" w:line="175"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"Guarantee" means any obligation, contingent or otherwise, of any Person directly or indirectly guaranteeing any Indebtedness or other obligation of any other Person and, without limiting the generality of the foregoing, any obligation, direct or indirect, contingent or otherwise, of such Person:</w:t>
      </w:r>
    </w:p>
    <w:p>
      <w:pPr>
        <w:spacing w:after="0" w:line="175" w:lineRule="exact"/>
        <w:rPr>
          <w:sz w:val="20"/>
          <w:szCs w:val="20"/>
          <w:color w:val="auto"/>
        </w:rPr>
      </w:pPr>
    </w:p>
    <w:p>
      <w:pPr>
        <w:ind w:right="3319" w:firstLine="447"/>
        <w:spacing w:after="0" w:line="236" w:lineRule="auto"/>
        <w:tabs>
          <w:tab w:leader="none" w:pos="787" w:val="left"/>
        </w:tabs>
        <w:numPr>
          <w:ilvl w:val="0"/>
          <w:numId w:val="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purchase or pay (or advance or supply funds for the purchase or payment of) such Indebtedness or other obligation of such other Person (whether arising by virtue of partnership arrangements, or by agreement to keep-well, to purchase assets, goods, securities, or services, to take-or-pay, or to maintain financial statement conditions or otherwise); or</w:t>
      </w:r>
    </w:p>
    <w:p>
      <w:pPr>
        <w:spacing w:after="0" w:line="173" w:lineRule="exact"/>
        <w:rPr>
          <w:rFonts w:ascii="Courier New" w:cs="Courier New" w:eastAsia="Courier New" w:hAnsi="Courier New"/>
          <w:sz w:val="15"/>
          <w:szCs w:val="15"/>
          <w:color w:val="auto"/>
        </w:rPr>
      </w:pPr>
    </w:p>
    <w:p>
      <w:pPr>
        <w:ind w:right="3399" w:firstLine="447"/>
        <w:spacing w:after="0" w:line="258" w:lineRule="auto"/>
        <w:tabs>
          <w:tab w:leader="none" w:pos="787" w:val="left"/>
        </w:tabs>
        <w:numPr>
          <w:ilvl w:val="0"/>
          <w:numId w:val="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entered into for purposes of assuring in any other manner the obligee of such Indebtedness or other obligation of the payment thereof or to protect such obligee against loss in respect thereof (in whole or in part);</w:t>
      </w:r>
    </w:p>
    <w:p>
      <w:pPr>
        <w:spacing w:after="0" w:line="161" w:lineRule="exact"/>
        <w:rPr>
          <w:sz w:val="20"/>
          <w:szCs w:val="20"/>
          <w:color w:val="auto"/>
        </w:rPr>
      </w:pPr>
    </w:p>
    <w:p>
      <w:pPr>
        <w:ind w:right="3399" w:firstLine="437"/>
        <w:spacing w:after="0" w:line="235" w:lineRule="auto"/>
        <w:rPr>
          <w:sz w:val="20"/>
          <w:szCs w:val="20"/>
          <w:color w:val="auto"/>
        </w:rPr>
      </w:pPr>
      <w:r>
        <w:rPr>
          <w:rFonts w:ascii="Courier New" w:cs="Courier New" w:eastAsia="Courier New" w:hAnsi="Courier New"/>
          <w:sz w:val="15"/>
          <w:szCs w:val="15"/>
          <w:color w:val="auto"/>
        </w:rPr>
        <w:t>Provided that the term "Guarantee" shall not include endorsements for collection or deposit in the ordinary course of business. The term "Guarantee" used as a verb has a corresponding meaning.</w:t>
      </w:r>
    </w:p>
    <w:p>
      <w:pPr>
        <w:spacing w:after="0" w:line="174" w:lineRule="exact"/>
        <w:rPr>
          <w:sz w:val="20"/>
          <w:szCs w:val="20"/>
          <w:color w:val="auto"/>
        </w:rPr>
      </w:pPr>
    </w:p>
    <w:p>
      <w:pPr>
        <w:ind w:right="3399" w:firstLine="437"/>
        <w:spacing w:after="0" w:line="234" w:lineRule="auto"/>
        <w:rPr>
          <w:sz w:val="20"/>
          <w:szCs w:val="20"/>
          <w:color w:val="auto"/>
        </w:rPr>
      </w:pPr>
      <w:r>
        <w:rPr>
          <w:rFonts w:ascii="Courier New" w:cs="Courier New" w:eastAsia="Courier New" w:hAnsi="Courier New"/>
          <w:sz w:val="15"/>
          <w:szCs w:val="15"/>
          <w:color w:val="auto"/>
        </w:rPr>
        <w:t>"Holder", "holder of Securities", "Securityholder" or other similar terms mean the registered holder of any Security.</w:t>
      </w:r>
    </w:p>
    <w:p>
      <w:pPr>
        <w:spacing w:after="0" w:line="173" w:lineRule="exact"/>
        <w:rPr>
          <w:sz w:val="20"/>
          <w:szCs w:val="20"/>
          <w:color w:val="auto"/>
        </w:rPr>
      </w:pPr>
    </w:p>
    <w:p>
      <w:pPr>
        <w:ind w:right="4279" w:firstLine="437"/>
        <w:spacing w:after="0" w:line="234" w:lineRule="auto"/>
        <w:rPr>
          <w:sz w:val="20"/>
          <w:szCs w:val="20"/>
          <w:color w:val="auto"/>
        </w:rPr>
      </w:pPr>
      <w:r>
        <w:rPr>
          <w:rFonts w:ascii="Courier New" w:cs="Courier New" w:eastAsia="Courier New" w:hAnsi="Courier New"/>
          <w:sz w:val="15"/>
          <w:szCs w:val="15"/>
          <w:color w:val="auto"/>
        </w:rPr>
        <w:t>"Indebtedness" means, with respect to any Person at any date of determination (without duplication):</w:t>
      </w:r>
    </w:p>
    <w:p>
      <w:pPr>
        <w:spacing w:after="0" w:line="167" w:lineRule="exact"/>
        <w:rPr>
          <w:sz w:val="20"/>
          <w:szCs w:val="20"/>
          <w:color w:val="auto"/>
        </w:rPr>
      </w:pPr>
    </w:p>
    <w:p>
      <w:pPr>
        <w:ind w:left="800" w:hanging="353"/>
        <w:spacing w:after="0"/>
        <w:tabs>
          <w:tab w:leader="none" w:pos="800" w:val="left"/>
        </w:tabs>
        <w:numPr>
          <w:ilvl w:val="0"/>
          <w:numId w:val="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indebtedness of such Person for borrowed money;</w:t>
      </w:r>
    </w:p>
    <w:p>
      <w:pPr>
        <w:spacing w:after="0" w:line="172" w:lineRule="exact"/>
        <w:rPr>
          <w:rFonts w:ascii="Courier New" w:cs="Courier New" w:eastAsia="Courier New" w:hAnsi="Courier New"/>
          <w:sz w:val="15"/>
          <w:szCs w:val="15"/>
          <w:color w:val="auto"/>
        </w:rPr>
      </w:pPr>
    </w:p>
    <w:p>
      <w:pPr>
        <w:ind w:right="3319" w:firstLine="447"/>
        <w:spacing w:after="0" w:line="235" w:lineRule="auto"/>
        <w:tabs>
          <w:tab w:leader="none" w:pos="787" w:val="left"/>
        </w:tabs>
        <w:numPr>
          <w:ilvl w:val="0"/>
          <w:numId w:val="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obligations of such Person evidenced by bonds, debentures, notes, or other similar instruments, in each case, for value received or settlement of claims;</w:t>
      </w:r>
    </w:p>
    <w:p>
      <w:pPr>
        <w:spacing w:after="0" w:line="173" w:lineRule="exact"/>
        <w:rPr>
          <w:rFonts w:ascii="Courier New" w:cs="Courier New" w:eastAsia="Courier New" w:hAnsi="Courier New"/>
          <w:sz w:val="15"/>
          <w:szCs w:val="15"/>
          <w:color w:val="auto"/>
        </w:rPr>
      </w:pPr>
    </w:p>
    <w:p>
      <w:pPr>
        <w:ind w:right="3239" w:firstLine="447"/>
        <w:spacing w:after="0" w:line="261" w:lineRule="auto"/>
        <w:tabs>
          <w:tab w:leader="none" w:pos="787" w:val="left"/>
        </w:tabs>
        <w:numPr>
          <w:ilvl w:val="0"/>
          <w:numId w:val="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obligations of such Person in respect of letters of credit or other similar instruments (including reimbursement obligations with respect thereto);</w:t>
      </w:r>
    </w:p>
    <w:p>
      <w:pPr>
        <w:spacing w:after="0" w:line="159" w:lineRule="exact"/>
        <w:rPr>
          <w:rFonts w:ascii="Courier New" w:cs="Courier New" w:eastAsia="Courier New" w:hAnsi="Courier New"/>
          <w:sz w:val="14"/>
          <w:szCs w:val="14"/>
          <w:color w:val="auto"/>
        </w:rPr>
      </w:pPr>
    </w:p>
    <w:p>
      <w:pPr>
        <w:ind w:right="3319" w:firstLine="447"/>
        <w:spacing w:after="0" w:line="235" w:lineRule="auto"/>
        <w:tabs>
          <w:tab w:leader="none" w:pos="787" w:val="left"/>
        </w:tabs>
        <w:numPr>
          <w:ilvl w:val="0"/>
          <w:numId w:val="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obligations of such Person to pay the deferred and unpaid purchase price of property or services (but excluding trade accounts payable or accrued liabilities arising in the ordinary course of business);</w:t>
      </w:r>
    </w:p>
    <w:p>
      <w:pPr>
        <w:spacing w:after="0" w:line="167" w:lineRule="exact"/>
        <w:rPr>
          <w:rFonts w:ascii="Courier New" w:cs="Courier New" w:eastAsia="Courier New" w:hAnsi="Courier New"/>
          <w:sz w:val="15"/>
          <w:szCs w:val="15"/>
          <w:color w:val="auto"/>
        </w:rPr>
      </w:pPr>
    </w:p>
    <w:p>
      <w:pPr>
        <w:ind w:left="800" w:hanging="353"/>
        <w:spacing w:after="0"/>
        <w:tabs>
          <w:tab w:leader="none" w:pos="800" w:val="left"/>
        </w:tabs>
        <w:numPr>
          <w:ilvl w:val="0"/>
          <w:numId w:val="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obligations of such Person as lessee under Capitalized Leases;</w:t>
      </w:r>
    </w:p>
    <w:p>
      <w:pPr>
        <w:spacing w:after="0" w:line="172" w:lineRule="exact"/>
        <w:rPr>
          <w:rFonts w:ascii="Courier New" w:cs="Courier New" w:eastAsia="Courier New" w:hAnsi="Courier New"/>
          <w:sz w:val="15"/>
          <w:szCs w:val="15"/>
          <w:color w:val="auto"/>
        </w:rPr>
      </w:pPr>
    </w:p>
    <w:p>
      <w:pPr>
        <w:ind w:right="3579" w:firstLine="447"/>
        <w:spacing w:after="0" w:line="258" w:lineRule="auto"/>
        <w:tabs>
          <w:tab w:leader="none" w:pos="787" w:val="left"/>
        </w:tabs>
        <w:numPr>
          <w:ilvl w:val="0"/>
          <w:numId w:val="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Indebtedness of other Persons secured by a Lien on any asset of such Person, whether or not such Indebtedness is assumed by such Person; provided that the amount of such Indebtedness shall be the lesser of:</w:t>
      </w:r>
    </w:p>
    <w:p>
      <w:pPr>
        <w:spacing w:after="0" w:line="161" w:lineRule="exact"/>
        <w:rPr>
          <w:rFonts w:ascii="Courier New" w:cs="Courier New" w:eastAsia="Courier New" w:hAnsi="Courier New"/>
          <w:sz w:val="14"/>
          <w:szCs w:val="14"/>
          <w:color w:val="auto"/>
        </w:rPr>
      </w:pPr>
    </w:p>
    <w:p>
      <w:pPr>
        <w:ind w:left="1240" w:hanging="356"/>
        <w:spacing w:after="0"/>
        <w:tabs>
          <w:tab w:leader="none" w:pos="1240" w:val="left"/>
        </w:tabs>
        <w:numPr>
          <w:ilvl w:val="1"/>
          <w:numId w:val="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fair market value of such asset at such date of determination;</w:t>
      </w:r>
    </w:p>
    <w:p>
      <w:pPr>
        <w:spacing w:after="0" w:line="4" w:lineRule="exact"/>
        <w:rPr>
          <w:rFonts w:ascii="Courier New" w:cs="Courier New" w:eastAsia="Courier New" w:hAnsi="Courier New"/>
          <w:sz w:val="14"/>
          <w:szCs w:val="14"/>
          <w:color w:val="auto"/>
        </w:rPr>
      </w:pPr>
    </w:p>
    <w:p>
      <w:pPr>
        <w:ind w:left="44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and</w:t>
      </w:r>
    </w:p>
    <w:p>
      <w:pPr>
        <w:spacing w:after="0" w:line="166" w:lineRule="exact"/>
        <w:rPr>
          <w:rFonts w:ascii="Courier New" w:cs="Courier New" w:eastAsia="Courier New" w:hAnsi="Courier New"/>
          <w:sz w:val="14"/>
          <w:szCs w:val="14"/>
          <w:color w:val="auto"/>
        </w:rPr>
      </w:pPr>
    </w:p>
    <w:p>
      <w:pPr>
        <w:ind w:left="1320" w:hanging="436"/>
        <w:spacing w:after="0"/>
        <w:tabs>
          <w:tab w:leader="none" w:pos="1320" w:val="left"/>
        </w:tabs>
        <w:numPr>
          <w:ilvl w:val="1"/>
          <w:numId w:val="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amount of such Indebtedness;</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39"/>
          </w:cols>
          <w:pgMar w:left="220" w:top="792" w:right="1440" w:bottom="1440" w:gutter="0" w:footer="0" w:header="0"/>
        </w:sectPr>
      </w:pPr>
    </w:p>
    <w:bookmarkStart w:id="83" w:name="page84"/>
    <w:bookmarkEnd w:id="83"/>
    <w:p>
      <w:pPr>
        <w:ind w:right="3679" w:firstLine="447"/>
        <w:spacing w:after="0" w:line="234" w:lineRule="auto"/>
        <w:tabs>
          <w:tab w:leader="none" w:pos="787" w:val="left"/>
        </w:tabs>
        <w:numPr>
          <w:ilvl w:val="0"/>
          <w:numId w:val="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Indebtedness of other Persons to the extent Guaranteed by such Person; and</w:t>
      </w:r>
    </w:p>
    <w:p>
      <w:pPr>
        <w:spacing w:after="0" w:line="173" w:lineRule="exact"/>
        <w:rPr>
          <w:rFonts w:ascii="Courier New" w:cs="Courier New" w:eastAsia="Courier New" w:hAnsi="Courier New"/>
          <w:sz w:val="15"/>
          <w:szCs w:val="15"/>
          <w:color w:val="auto"/>
        </w:rPr>
      </w:pPr>
    </w:p>
    <w:p>
      <w:pPr>
        <w:ind w:right="3499" w:firstLine="447"/>
        <w:spacing w:after="0" w:line="234" w:lineRule="auto"/>
        <w:tabs>
          <w:tab w:leader="none" w:pos="787" w:val="left"/>
        </w:tabs>
        <w:numPr>
          <w:ilvl w:val="0"/>
          <w:numId w:val="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the extent not otherwise included in this definition, obligations under Currency Agreements and Interest Rate Agreements.</w:t>
      </w:r>
    </w:p>
    <w:p>
      <w:pPr>
        <w:spacing w:after="0" w:line="173" w:lineRule="exact"/>
        <w:rPr>
          <w:sz w:val="20"/>
          <w:szCs w:val="20"/>
          <w:color w:val="auto"/>
        </w:rPr>
      </w:pPr>
    </w:p>
    <w:p>
      <w:pPr>
        <w:ind w:right="3239" w:firstLine="437"/>
        <w:spacing w:after="0" w:line="258" w:lineRule="auto"/>
        <w:rPr>
          <w:sz w:val="20"/>
          <w:szCs w:val="20"/>
          <w:color w:val="auto"/>
        </w:rPr>
      </w:pPr>
      <w:r>
        <w:rPr>
          <w:rFonts w:ascii="Courier New" w:cs="Courier New" w:eastAsia="Courier New" w:hAnsi="Courier New"/>
          <w:sz w:val="14"/>
          <w:szCs w:val="14"/>
          <w:color w:val="auto"/>
        </w:rPr>
        <w:t>Notwithstanding the foregoing, in no event shall the term "Indebtedness" be deemed to include letters of credit or bonds that secure performance or surety bonds or similar instruments that are issued in the ordinary course of business.</w:t>
      </w:r>
    </w:p>
    <w:p>
      <w:pPr>
        <w:spacing w:after="0" w:line="161" w:lineRule="exact"/>
        <w:rPr>
          <w:sz w:val="20"/>
          <w:szCs w:val="20"/>
          <w:color w:val="auto"/>
        </w:rPr>
      </w:pPr>
    </w:p>
    <w:p>
      <w:pPr>
        <w:ind w:right="3399" w:firstLine="437"/>
        <w:spacing w:after="0" w:line="256" w:lineRule="auto"/>
        <w:rPr>
          <w:sz w:val="20"/>
          <w:szCs w:val="20"/>
          <w:color w:val="auto"/>
        </w:rPr>
      </w:pPr>
      <w:r>
        <w:rPr>
          <w:rFonts w:ascii="Courier New" w:cs="Courier New" w:eastAsia="Courier New" w:hAnsi="Courier New"/>
          <w:sz w:val="14"/>
          <w:szCs w:val="14"/>
          <w:color w:val="auto"/>
        </w:rPr>
        <w:t>The amount of Indebtedness of any Person at any date shall be the outstanding balance at such date of all unconditional obligations as described above and, with respect to contingent obligations, the maximum liability upon the occurrence of the contingency giving rise to the obligation; provided:</w:t>
      </w:r>
    </w:p>
    <w:p>
      <w:pPr>
        <w:spacing w:after="0" w:line="164" w:lineRule="exact"/>
        <w:rPr>
          <w:sz w:val="20"/>
          <w:szCs w:val="20"/>
          <w:color w:val="auto"/>
        </w:rPr>
      </w:pPr>
    </w:p>
    <w:p>
      <w:pPr>
        <w:ind w:right="3239" w:firstLine="447"/>
        <w:spacing w:after="0" w:line="235" w:lineRule="auto"/>
        <w:tabs>
          <w:tab w:leader="none" w:pos="787" w:val="left"/>
        </w:tabs>
        <w:numPr>
          <w:ilvl w:val="0"/>
          <w:numId w:val="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that the amount outstanding at any time of any Indebtedness issued with original issue discount is the face amount of such Indebtedness less the remaining unamortized portion of the original issue discount of such Indebtedness at such time as determined in conformity with GAAP; and</w:t>
      </w:r>
    </w:p>
    <w:p>
      <w:pPr>
        <w:spacing w:after="0" w:line="175" w:lineRule="exact"/>
        <w:rPr>
          <w:rFonts w:ascii="Courier New" w:cs="Courier New" w:eastAsia="Courier New" w:hAnsi="Courier New"/>
          <w:sz w:val="15"/>
          <w:szCs w:val="15"/>
          <w:color w:val="auto"/>
        </w:rPr>
      </w:pPr>
    </w:p>
    <w:p>
      <w:pPr>
        <w:ind w:right="3399" w:firstLine="447"/>
        <w:spacing w:after="0" w:line="234" w:lineRule="auto"/>
        <w:tabs>
          <w:tab w:leader="none" w:pos="787" w:val="left"/>
        </w:tabs>
        <w:numPr>
          <w:ilvl w:val="0"/>
          <w:numId w:val="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that Indebtedness shall not include any liability for federal, state, local, or other taxes.</w:t>
      </w:r>
    </w:p>
    <w:p>
      <w:pPr>
        <w:spacing w:after="0" w:line="173" w:lineRule="exact"/>
        <w:rPr>
          <w:sz w:val="20"/>
          <w:szCs w:val="20"/>
          <w:color w:val="auto"/>
        </w:rPr>
      </w:pPr>
    </w:p>
    <w:p>
      <w:pPr>
        <w:jc w:val="both"/>
        <w:ind w:right="3319" w:firstLine="437"/>
        <w:spacing w:after="0" w:line="235" w:lineRule="auto"/>
        <w:rPr>
          <w:sz w:val="20"/>
          <w:szCs w:val="20"/>
          <w:color w:val="auto"/>
        </w:rPr>
      </w:pPr>
      <w:r>
        <w:rPr>
          <w:rFonts w:ascii="Courier New" w:cs="Courier New" w:eastAsia="Courier New" w:hAnsi="Courier New"/>
          <w:sz w:val="15"/>
          <w:szCs w:val="15"/>
          <w:color w:val="auto"/>
        </w:rPr>
        <w:t>"Indenture" means this instrument as originally executed and delivered or, if amended or supplemented as herein provided, as so amended or supplemented or both, and shall include the forms and terms of particular series of Securities established as contemplated hereunder.</w:t>
      </w:r>
    </w:p>
    <w:p>
      <w:pPr>
        <w:spacing w:after="0" w:line="175" w:lineRule="exact"/>
        <w:rPr>
          <w:sz w:val="20"/>
          <w:szCs w:val="20"/>
          <w:color w:val="auto"/>
        </w:rPr>
      </w:pPr>
    </w:p>
    <w:p>
      <w:pPr>
        <w:ind w:right="4199" w:firstLine="437"/>
        <w:spacing w:after="0" w:line="234" w:lineRule="auto"/>
        <w:rPr>
          <w:sz w:val="20"/>
          <w:szCs w:val="20"/>
          <w:color w:val="auto"/>
        </w:rPr>
      </w:pPr>
      <w:r>
        <w:rPr>
          <w:rFonts w:ascii="Courier New" w:cs="Courier New" w:eastAsia="Courier New" w:hAnsi="Courier New"/>
          <w:sz w:val="15"/>
          <w:szCs w:val="15"/>
          <w:color w:val="auto"/>
        </w:rPr>
        <w:t>"Interest" means, when used with respect to non-interest bearing Securities, interest payable after maturity.</w:t>
      </w:r>
    </w:p>
    <w:p>
      <w:pPr>
        <w:spacing w:after="0" w:line="173"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"Interest Rate Agreements" means any obligations of any Person pursuant to any interest rate swaps, caps, collars, and similar arrangements providing protection against fluctuations in interest rates. For purposes of the Indenture, the amount of such obligations shall be the amount determined in respect thereof as of the end of the then most recently ended fiscal quarter of such Person, based on the assumption that such obligation had terminated at the end of such fiscal quarter, and in making such determination, if any agreement relating to such obligation provides for the netting of amounts payable by and to such Person thereunder or if any such agreement provides for the simultaneous payment of amounts by and to such Person, then in each such case, the amount of such obligations shall be the net amount so determined, plus any premium due upon default by such Person.</w:t>
      </w:r>
    </w:p>
    <w:p>
      <w:pPr>
        <w:spacing w:after="0" w:line="173" w:lineRule="exact"/>
        <w:rPr>
          <w:sz w:val="20"/>
          <w:szCs w:val="20"/>
          <w:color w:val="auto"/>
        </w:rPr>
      </w:pPr>
    </w:p>
    <w:p>
      <w:pPr>
        <w:jc w:val="both"/>
        <w:ind w:right="4019" w:firstLine="437"/>
        <w:spacing w:after="0" w:line="235" w:lineRule="auto"/>
        <w:rPr>
          <w:sz w:val="20"/>
          <w:szCs w:val="20"/>
          <w:color w:val="auto"/>
        </w:rPr>
      </w:pPr>
      <w:r>
        <w:rPr>
          <w:rFonts w:ascii="Courier New" w:cs="Courier New" w:eastAsia="Courier New" w:hAnsi="Courier New"/>
          <w:sz w:val="15"/>
          <w:szCs w:val="15"/>
          <w:color w:val="auto"/>
        </w:rPr>
        <w:t>"Issuer" means (except as otherwise provided in Article 5) Comcast Corporation, a Pennsylvania corporation, and, subject to Article 8, its successors and assigns.</w:t>
      </w:r>
    </w:p>
    <w:p>
      <w:pPr>
        <w:spacing w:after="0" w:line="174" w:lineRule="exact"/>
        <w:rPr>
          <w:sz w:val="20"/>
          <w:szCs w:val="20"/>
          <w:color w:val="auto"/>
        </w:rPr>
      </w:pPr>
    </w:p>
    <w:p>
      <w:pPr>
        <w:ind w:right="3239" w:firstLine="437"/>
        <w:spacing w:after="0" w:line="256" w:lineRule="auto"/>
        <w:rPr>
          <w:sz w:val="20"/>
          <w:szCs w:val="20"/>
          <w:color w:val="auto"/>
        </w:rPr>
      </w:pPr>
      <w:r>
        <w:rPr>
          <w:rFonts w:ascii="Courier New" w:cs="Courier New" w:eastAsia="Courier New" w:hAnsi="Courier New"/>
          <w:sz w:val="14"/>
          <w:szCs w:val="14"/>
          <w:color w:val="auto"/>
        </w:rPr>
        <w:t>"Lien" means, with respect to any asset, any mortgage, lien, pledge, charge, security interest or encumbrance of any kind, or any other type of preferential arrangement that has the practical effect of creating a security interest, in respect of such asset. For the purposes of this Indenture, the Issuer or any Cable Guarantor shall be deemed to own subject to a Lien any asset</w:t>
      </w:r>
    </w:p>
    <w:p>
      <w:pPr>
        <w:spacing w:after="0" w:line="32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39"/>
          </w:cols>
          <w:pgMar w:left="220" w:top="792" w:right="1440" w:bottom="1440" w:gutter="0" w:footer="0" w:header="0"/>
        </w:sectPr>
      </w:pPr>
    </w:p>
    <w:bookmarkStart w:id="84" w:name="page85"/>
    <w:bookmarkEnd w:id="84"/>
    <w:p>
      <w:pPr>
        <w:jc w:val="both"/>
        <w:ind w:right="3579"/>
        <w:spacing w:after="0" w:line="235" w:lineRule="auto"/>
        <w:rPr>
          <w:sz w:val="20"/>
          <w:szCs w:val="20"/>
          <w:color w:val="auto"/>
        </w:rPr>
      </w:pPr>
      <w:r>
        <w:rPr>
          <w:rFonts w:ascii="Courier New" w:cs="Courier New" w:eastAsia="Courier New" w:hAnsi="Courier New"/>
          <w:sz w:val="15"/>
          <w:szCs w:val="15"/>
          <w:color w:val="auto"/>
        </w:rPr>
        <w:t>that it has acquired or holds subject to the interest of a vendor or lessor under any conditional sale agreement, capital lease or other title retention agreement relating to such asset.</w:t>
      </w:r>
    </w:p>
    <w:p>
      <w:pPr>
        <w:spacing w:after="0" w:line="174" w:lineRule="exact"/>
        <w:rPr>
          <w:sz w:val="20"/>
          <w:szCs w:val="20"/>
          <w:color w:val="auto"/>
        </w:rPr>
      </w:pPr>
    </w:p>
    <w:p>
      <w:pPr>
        <w:ind w:right="3399" w:firstLine="437"/>
        <w:spacing w:after="0" w:line="235" w:lineRule="auto"/>
        <w:rPr>
          <w:sz w:val="20"/>
          <w:szCs w:val="20"/>
          <w:color w:val="auto"/>
        </w:rPr>
      </w:pPr>
      <w:r>
        <w:rPr>
          <w:rFonts w:ascii="Courier New" w:cs="Courier New" w:eastAsia="Courier New" w:hAnsi="Courier New"/>
          <w:sz w:val="15"/>
          <w:szCs w:val="15"/>
          <w:color w:val="auto"/>
        </w:rPr>
        <w:t>"Obligor" means each of the Issuer and each Cable Guarantor, in each case excluding such entities' Subsidiaries (other than the Issuer and the Cable Guarantors).</w:t>
      </w:r>
    </w:p>
    <w:p>
      <w:pPr>
        <w:spacing w:after="0" w:line="174" w:lineRule="exact"/>
        <w:rPr>
          <w:sz w:val="20"/>
          <w:szCs w:val="20"/>
          <w:color w:val="auto"/>
        </w:rPr>
      </w:pPr>
    </w:p>
    <w:p>
      <w:pPr>
        <w:ind w:right="3319" w:firstLine="437"/>
        <w:spacing w:after="0" w:line="256" w:lineRule="auto"/>
        <w:rPr>
          <w:sz w:val="20"/>
          <w:szCs w:val="20"/>
          <w:color w:val="auto"/>
        </w:rPr>
      </w:pPr>
      <w:r>
        <w:rPr>
          <w:rFonts w:ascii="Courier New" w:cs="Courier New" w:eastAsia="Courier New" w:hAnsi="Courier New"/>
          <w:sz w:val="14"/>
          <w:szCs w:val="14"/>
          <w:color w:val="auto"/>
        </w:rPr>
        <w:t>"Officers' Certificate" means a certificate signed by the chairman of the Board of Directors or the president or any vice president and by the treasurer or the secretary or any assistant secretary of the Issuer and delivered to the Trustee. Each such certificate shall comply with Section 314 of the Trust Indenture Act of 1939 and include the statements provided for in Section 10.05.</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200" w:type="dxa"/>
            <w:vAlign w:val="bottom"/>
            <w:gridSpan w:val="3"/>
          </w:tcPr>
          <w:p>
            <w:pPr>
              <w:ind w:left="440"/>
              <w:spacing w:after="0"/>
              <w:rPr>
                <w:sz w:val="20"/>
                <w:szCs w:val="20"/>
                <w:color w:val="auto"/>
              </w:rPr>
            </w:pPr>
            <w:r>
              <w:rPr>
                <w:rFonts w:ascii="Courier New" w:cs="Courier New" w:eastAsia="Courier New" w:hAnsi="Courier New"/>
                <w:sz w:val="15"/>
                <w:szCs w:val="15"/>
                <w:color w:val="auto"/>
              </w:rPr>
              <w:t>"Opinion</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w w:val="98"/>
              </w:rPr>
              <w:t>of Counsel"</w:t>
            </w:r>
          </w:p>
        </w:tc>
        <w:tc>
          <w:tcPr>
            <w:tcW w:w="3360" w:type="dxa"/>
            <w:vAlign w:val="bottom"/>
          </w:tcPr>
          <w:p>
            <w:pPr>
              <w:ind w:left="40"/>
              <w:spacing w:after="0"/>
              <w:rPr>
                <w:sz w:val="20"/>
                <w:szCs w:val="20"/>
                <w:color w:val="auto"/>
              </w:rPr>
            </w:pPr>
            <w:r>
              <w:rPr>
                <w:rFonts w:ascii="Courier New" w:cs="Courier New" w:eastAsia="Courier New" w:hAnsi="Courier New"/>
                <w:sz w:val="15"/>
                <w:szCs w:val="15"/>
                <w:color w:val="auto"/>
                <w:w w:val="99"/>
              </w:rPr>
              <w:t>means an opinion in writing signed by</w:t>
            </w:r>
          </w:p>
        </w:tc>
        <w:tc>
          <w:tcPr>
            <w:tcW w:w="1400" w:type="dxa"/>
            <w:vAlign w:val="bottom"/>
          </w:tcPr>
          <w:p>
            <w:pPr>
              <w:spacing w:after="0"/>
              <w:rPr>
                <w:sz w:val="20"/>
                <w:szCs w:val="20"/>
                <w:color w:val="auto"/>
              </w:rPr>
            </w:pPr>
            <w:r>
              <w:rPr>
                <w:rFonts w:ascii="Courier New" w:cs="Courier New" w:eastAsia="Courier New" w:hAnsi="Courier New"/>
                <w:sz w:val="15"/>
                <w:szCs w:val="15"/>
                <w:color w:val="auto"/>
              </w:rPr>
              <w:t>legal counsel</w:t>
            </w:r>
          </w:p>
        </w:tc>
      </w:tr>
      <w:tr>
        <w:trPr>
          <w:trHeight w:val="168"/>
        </w:trPr>
        <w:tc>
          <w:tcPr>
            <w:tcW w:w="2240" w:type="dxa"/>
            <w:vAlign w:val="bottom"/>
            <w:gridSpan w:val="4"/>
          </w:tcPr>
          <w:p>
            <w:pPr>
              <w:spacing w:after="0" w:line="168" w:lineRule="exact"/>
              <w:rPr>
                <w:sz w:val="20"/>
                <w:szCs w:val="20"/>
                <w:color w:val="auto"/>
              </w:rPr>
            </w:pPr>
            <w:r>
              <w:rPr>
                <w:rFonts w:ascii="Courier New" w:cs="Courier New" w:eastAsia="Courier New" w:hAnsi="Courier New"/>
                <w:sz w:val="15"/>
                <w:szCs w:val="15"/>
                <w:color w:val="auto"/>
                <w:w w:val="98"/>
              </w:rPr>
              <w:t>who may be an employee of</w:t>
            </w:r>
          </w:p>
        </w:tc>
        <w:tc>
          <w:tcPr>
            <w:tcW w:w="33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6"/>
              </w:rPr>
              <w:t>or counsel to the Issuer and who shall</w:t>
            </w:r>
          </w:p>
        </w:tc>
        <w:tc>
          <w:tcPr>
            <w:tcW w:w="14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4"/>
              </w:rPr>
              <w:t>be satisfactory</w:t>
            </w:r>
          </w:p>
        </w:tc>
      </w:tr>
      <w:tr>
        <w:trPr>
          <w:trHeight w:val="168"/>
        </w:trPr>
        <w:tc>
          <w:tcPr>
            <w:tcW w:w="580" w:type="dxa"/>
            <w:vAlign w:val="bottom"/>
          </w:tcPr>
          <w:p>
            <w:pPr>
              <w:spacing w:after="0" w:line="168" w:lineRule="exact"/>
              <w:rPr>
                <w:sz w:val="20"/>
                <w:szCs w:val="20"/>
                <w:color w:val="auto"/>
              </w:rPr>
            </w:pPr>
            <w:r>
              <w:rPr>
                <w:rFonts w:ascii="Courier New" w:cs="Courier New" w:eastAsia="Courier New" w:hAnsi="Courier New"/>
                <w:sz w:val="15"/>
                <w:szCs w:val="15"/>
                <w:color w:val="auto"/>
              </w:rPr>
              <w:t>to the</w:t>
            </w:r>
          </w:p>
        </w:tc>
        <w:tc>
          <w:tcPr>
            <w:tcW w:w="166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w w:val="98"/>
              </w:rPr>
              <w:t>Trustee. Each such</w:t>
            </w:r>
          </w:p>
        </w:tc>
        <w:tc>
          <w:tcPr>
            <w:tcW w:w="33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9"/>
              </w:rPr>
              <w:t>opinion shall comply with Section 314</w:t>
            </w:r>
          </w:p>
        </w:tc>
        <w:tc>
          <w:tcPr>
            <w:tcW w:w="1400" w:type="dxa"/>
            <w:vAlign w:val="bottom"/>
          </w:tcPr>
          <w:p>
            <w:pPr>
              <w:spacing w:after="0" w:line="168" w:lineRule="exact"/>
              <w:rPr>
                <w:sz w:val="20"/>
                <w:szCs w:val="20"/>
                <w:color w:val="auto"/>
              </w:rPr>
            </w:pPr>
            <w:r>
              <w:rPr>
                <w:rFonts w:ascii="Courier New" w:cs="Courier New" w:eastAsia="Courier New" w:hAnsi="Courier New"/>
                <w:sz w:val="15"/>
                <w:szCs w:val="15"/>
                <w:color w:val="auto"/>
              </w:rPr>
              <w:t>of the Trust</w:t>
            </w:r>
          </w:p>
        </w:tc>
      </w:tr>
      <w:tr>
        <w:trPr>
          <w:trHeight w:val="168"/>
        </w:trPr>
        <w:tc>
          <w:tcPr>
            <w:tcW w:w="8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Indenture</w:t>
            </w:r>
          </w:p>
        </w:tc>
        <w:tc>
          <w:tcPr>
            <w:tcW w:w="14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9"/>
              </w:rPr>
              <w:t>Act of 1939 and</w:t>
            </w:r>
          </w:p>
        </w:tc>
        <w:tc>
          <w:tcPr>
            <w:tcW w:w="33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6"/>
              </w:rPr>
              <w:t>include the statements provided for in</w:t>
            </w:r>
          </w:p>
        </w:tc>
        <w:tc>
          <w:tcPr>
            <w:tcW w:w="14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Section 10.05,</w:t>
            </w:r>
          </w:p>
        </w:tc>
      </w:tr>
      <w:tr>
        <w:trPr>
          <w:trHeight w:val="168"/>
        </w:trPr>
        <w:tc>
          <w:tcPr>
            <w:tcW w:w="580" w:type="dxa"/>
            <w:vAlign w:val="bottom"/>
          </w:tcPr>
          <w:p>
            <w:pPr>
              <w:spacing w:after="0" w:line="168" w:lineRule="exact"/>
              <w:rPr>
                <w:sz w:val="20"/>
                <w:szCs w:val="20"/>
                <w:color w:val="auto"/>
              </w:rPr>
            </w:pPr>
            <w:r>
              <w:rPr>
                <w:rFonts w:ascii="Courier New" w:cs="Courier New" w:eastAsia="Courier New" w:hAnsi="Courier New"/>
                <w:sz w:val="15"/>
                <w:szCs w:val="15"/>
                <w:color w:val="auto"/>
              </w:rPr>
              <w:t>if and</w:t>
            </w:r>
          </w:p>
        </w:tc>
        <w:tc>
          <w:tcPr>
            <w:tcW w:w="2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to</w:t>
            </w:r>
          </w:p>
        </w:tc>
        <w:tc>
          <w:tcPr>
            <w:tcW w:w="4760" w:type="dxa"/>
            <w:vAlign w:val="bottom"/>
            <w:gridSpan w:val="3"/>
          </w:tcPr>
          <w:p>
            <w:pPr>
              <w:ind w:left="40"/>
              <w:spacing w:after="0" w:line="168" w:lineRule="exact"/>
              <w:rPr>
                <w:sz w:val="20"/>
                <w:szCs w:val="20"/>
                <w:color w:val="auto"/>
              </w:rPr>
            </w:pPr>
            <w:r>
              <w:rPr>
                <w:rFonts w:ascii="Courier New" w:cs="Courier New" w:eastAsia="Courier New" w:hAnsi="Courier New"/>
                <w:sz w:val="15"/>
                <w:szCs w:val="15"/>
                <w:color w:val="auto"/>
              </w:rPr>
              <w:t>the extent required hereby.</w:t>
            </w:r>
          </w:p>
        </w:tc>
        <w:tc>
          <w:tcPr>
            <w:tcW w:w="1400" w:type="dxa"/>
            <w:vAlign w:val="bottom"/>
          </w:tcPr>
          <w:p>
            <w:pPr>
              <w:spacing w:after="0"/>
              <w:rPr>
                <w:sz w:val="14"/>
                <w:szCs w:val="14"/>
                <w:color w:val="auto"/>
              </w:rPr>
            </w:pPr>
          </w:p>
        </w:tc>
      </w:tr>
    </w:tbl>
    <w:p>
      <w:pPr>
        <w:spacing w:after="0" w:line="173"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"Original issue date" of any Security (or portion thereof) means the earlier of (a) the date of such Security or (b) the date of any Security (or portion thereof) for which such Security was issued (directly or indirectly) on registration of transfer, exchange or substitution.</w:t>
      </w:r>
    </w:p>
    <w:p>
      <w:pPr>
        <w:spacing w:after="0" w:line="175" w:lineRule="exact"/>
        <w:rPr>
          <w:sz w:val="20"/>
          <w:szCs w:val="20"/>
          <w:color w:val="auto"/>
        </w:rPr>
      </w:pPr>
    </w:p>
    <w:p>
      <w:pPr>
        <w:ind w:right="3319" w:firstLine="437"/>
        <w:spacing w:after="0" w:line="258" w:lineRule="auto"/>
        <w:rPr>
          <w:sz w:val="20"/>
          <w:szCs w:val="20"/>
          <w:color w:val="auto"/>
        </w:rPr>
      </w:pPr>
      <w:r>
        <w:rPr>
          <w:rFonts w:ascii="Courier New" w:cs="Courier New" w:eastAsia="Courier New" w:hAnsi="Courier New"/>
          <w:sz w:val="14"/>
          <w:szCs w:val="14"/>
          <w:color w:val="auto"/>
        </w:rPr>
        <w:t>"Original Issue Discount Security" means any Security that provides for an amount less than the principal amount thereof to be due and payable upon a declaration of acceleration of the maturity thereof pursuant to Section 4.01.</w:t>
      </w:r>
    </w:p>
    <w:p>
      <w:pPr>
        <w:spacing w:after="0" w:line="161" w:lineRule="exact"/>
        <w:rPr>
          <w:sz w:val="20"/>
          <w:szCs w:val="20"/>
          <w:color w:val="auto"/>
        </w:rPr>
      </w:pPr>
    </w:p>
    <w:p>
      <w:pPr>
        <w:ind w:right="3319" w:firstLine="437"/>
        <w:spacing w:after="0" w:line="258" w:lineRule="auto"/>
        <w:rPr>
          <w:sz w:val="20"/>
          <w:szCs w:val="20"/>
          <w:color w:val="auto"/>
        </w:rPr>
      </w:pPr>
      <w:r>
        <w:rPr>
          <w:rFonts w:ascii="Courier New" w:cs="Courier New" w:eastAsia="Courier New" w:hAnsi="Courier New"/>
          <w:sz w:val="14"/>
          <w:szCs w:val="14"/>
          <w:color w:val="auto"/>
        </w:rPr>
        <w:t>"Outstanding", when used with reference to Securities, shall, subject to the provisions of Section 6.04, mean, as of any particular time, all Securities authenticated and delivered by the Trustee under this Indenture, except:</w:t>
      </w:r>
    </w:p>
    <w:p>
      <w:pPr>
        <w:spacing w:after="0" w:line="161" w:lineRule="exact"/>
        <w:rPr>
          <w:sz w:val="20"/>
          <w:szCs w:val="20"/>
          <w:color w:val="auto"/>
        </w:rPr>
      </w:pPr>
    </w:p>
    <w:p>
      <w:pPr>
        <w:ind w:right="3679" w:firstLine="447"/>
        <w:spacing w:after="0" w:line="234" w:lineRule="auto"/>
        <w:tabs>
          <w:tab w:leader="none" w:pos="787" w:val="left"/>
        </w:tabs>
        <w:numPr>
          <w:ilvl w:val="0"/>
          <w:numId w:val="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Securities theretofore canceled by the Trustee or delivered to the Trustee for cancellation;</w:t>
      </w:r>
    </w:p>
    <w:p>
      <w:pPr>
        <w:spacing w:after="0" w:line="173" w:lineRule="exact"/>
        <w:rPr>
          <w:rFonts w:ascii="Courier New" w:cs="Courier New" w:eastAsia="Courier New" w:hAnsi="Courier New"/>
          <w:sz w:val="15"/>
          <w:szCs w:val="15"/>
          <w:color w:val="auto"/>
        </w:rPr>
      </w:pPr>
    </w:p>
    <w:p>
      <w:pPr>
        <w:ind w:right="3239" w:firstLine="447"/>
        <w:spacing w:after="0" w:line="236" w:lineRule="auto"/>
        <w:tabs>
          <w:tab w:leader="none" w:pos="787" w:val="left"/>
        </w:tabs>
        <w:numPr>
          <w:ilvl w:val="0"/>
          <w:numId w:val="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Securities, or portions thereof, for the payment or redemption of which moneys in the necessary amount shall have been deposited in trust with the Trustee or with any paying agent (other than the Issuer) or shall have been set aside, segregated and held in trust by the Issuer for the holders of such Securities (if the Issuer shall act as its own paying agent), provided that if such Securities, or portions thereof, are to be redeemed prior to the maturity thereof, notice of such redemption shall have been given as herein provided, or provision satisfactory to the Trustee shall have been made for giving such notice; and</w:t>
      </w:r>
    </w:p>
    <w:p>
      <w:pPr>
        <w:spacing w:after="0" w:line="178" w:lineRule="exact"/>
        <w:rPr>
          <w:rFonts w:ascii="Courier New" w:cs="Courier New" w:eastAsia="Courier New" w:hAnsi="Courier New"/>
          <w:sz w:val="15"/>
          <w:szCs w:val="15"/>
          <w:color w:val="auto"/>
        </w:rPr>
      </w:pPr>
    </w:p>
    <w:p>
      <w:pPr>
        <w:ind w:right="3319" w:firstLine="447"/>
        <w:spacing w:after="0" w:line="236" w:lineRule="auto"/>
        <w:tabs>
          <w:tab w:leader="none" w:pos="787" w:val="left"/>
        </w:tabs>
        <w:numPr>
          <w:ilvl w:val="0"/>
          <w:numId w:val="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Securities in substitution for which other Securities shall have been authenticated and delivered, or which shall have been paid, pursuant to the terms of Section 2.09 (except with respect to any such Security as to which proof satisfactory to the Trustee is presented that such Security is held by a person in whose hands such Security is a legal, valid and binding obligation of the Issuer).</w:t>
      </w:r>
    </w:p>
    <w:p>
      <w:pPr>
        <w:spacing w:after="0" w:line="175" w:lineRule="exact"/>
        <w:rPr>
          <w:sz w:val="20"/>
          <w:szCs w:val="20"/>
          <w:color w:val="auto"/>
        </w:rPr>
      </w:pPr>
    </w:p>
    <w:p>
      <w:pPr>
        <w:jc w:val="both"/>
        <w:ind w:right="3579" w:firstLine="437"/>
        <w:spacing w:after="0" w:line="235" w:lineRule="auto"/>
        <w:rPr>
          <w:sz w:val="20"/>
          <w:szCs w:val="20"/>
          <w:color w:val="auto"/>
        </w:rPr>
      </w:pPr>
      <w:r>
        <w:rPr>
          <w:rFonts w:ascii="Courier New" w:cs="Courier New" w:eastAsia="Courier New" w:hAnsi="Courier New"/>
          <w:sz w:val="15"/>
          <w:szCs w:val="15"/>
          <w:color w:val="auto"/>
        </w:rPr>
        <w:t>In determining whether the holders of the requisite principal amount of Outstanding Securities of any or all series have given any request, demand, authorization, direction, notice,</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39"/>
          </w:cols>
          <w:pgMar w:left="220" w:top="792" w:right="1440" w:bottom="1440" w:gutter="0" w:footer="0" w:header="0"/>
        </w:sectPr>
      </w:pPr>
    </w:p>
    <w:bookmarkStart w:id="85" w:name="page86"/>
    <w:bookmarkEnd w:id="85"/>
    <w:p>
      <w:pPr>
        <w:ind w:right="3319"/>
        <w:spacing w:after="0" w:line="236" w:lineRule="auto"/>
        <w:rPr>
          <w:sz w:val="20"/>
          <w:szCs w:val="20"/>
          <w:color w:val="auto"/>
        </w:rPr>
      </w:pPr>
      <w:r>
        <w:rPr>
          <w:rFonts w:ascii="Courier New" w:cs="Courier New" w:eastAsia="Courier New" w:hAnsi="Courier New"/>
          <w:sz w:val="15"/>
          <w:szCs w:val="15"/>
          <w:color w:val="auto"/>
        </w:rPr>
        <w:t>consent or waiver hereunder, the principal amount of an Original Issue Discount Security that shall be deemed to be Outstanding for such purposes shall be the amount of the principal thereof that would be due and payable as of the date of such determination upon a declaration of acceleration of the maturity thereof pursuant to Section 4.01.</w:t>
      </w:r>
    </w:p>
    <w:p>
      <w:pPr>
        <w:spacing w:after="0" w:line="174"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"Permitted Liens" means (a) any Lien on any asset incurred prior to the date of this Indenture; (b) any Lien on any assets acquired after the date of this Indenture (including by way of merger or consolidation) by the Issuer or any Cable Guarantor, which Lien is created, incurred or assumed contemporaneously with such acquisition, or within 270 days thereafter, to secure or provide for the payment or financing of any part of the purchase price thereof, or any Lien upon any assets acquired after the date of this Indenture existing at the time of such acquisition (whether or not assumed by the Issuer or any Cable Guarantor), provided that any such Lien shall attach only to the assets so acquired; (c) any Lien on any assets in favor of the Issuer or any Cable Guarantor; (d) any Lien on assets incurred in connection with the issuance of tax-exempt governmental obligations (including, without limitation, industrial revenue bonds and similar financing); (e) any Lien granted by any Cable Guarantor on assets to the extent limitations on the incurrence of such Liens are prohibited by any agreement to which such Cable Guarantor is subject as of the date of this Indenture; and (f) any renewal of or substitution for any Lien permitted by any of the preceding clauses, including any Lien securing reborrowing of amounts previously secured within 270 days of the repayment thereof, provided that no such renewal or substitution shall extend to any assets other than the assets covered by the Lien being renewed or substituted.</w:t>
      </w:r>
    </w:p>
    <w:p>
      <w:pPr>
        <w:spacing w:after="0" w:line="343" w:lineRule="exact"/>
        <w:rPr>
          <w:sz w:val="20"/>
          <w:szCs w:val="20"/>
          <w:color w:val="auto"/>
        </w:rPr>
      </w:pPr>
    </w:p>
    <w:p>
      <w:pPr>
        <w:jc w:val="both"/>
        <w:ind w:right="3239" w:firstLine="437"/>
        <w:spacing w:after="0" w:line="235" w:lineRule="auto"/>
        <w:rPr>
          <w:sz w:val="20"/>
          <w:szCs w:val="20"/>
          <w:color w:val="auto"/>
        </w:rPr>
      </w:pPr>
      <w:r>
        <w:rPr>
          <w:rFonts w:ascii="Courier New" w:cs="Courier New" w:eastAsia="Courier New" w:hAnsi="Courier New"/>
          <w:sz w:val="15"/>
          <w:szCs w:val="15"/>
          <w:color w:val="auto"/>
        </w:rPr>
        <w:t>"Person" means any individual, corporation, partnership, limited liability company, joint venture, association, joint stock company, trust, unincorporated organization or government or any agency or political subdivision thereof or any other entity.</w:t>
      </w:r>
    </w:p>
    <w:p>
      <w:pPr>
        <w:spacing w:after="0" w:line="175" w:lineRule="exact"/>
        <w:rPr>
          <w:sz w:val="20"/>
          <w:szCs w:val="20"/>
          <w:color w:val="auto"/>
        </w:rPr>
      </w:pPr>
    </w:p>
    <w:p>
      <w:pPr>
        <w:ind w:right="3499" w:firstLine="437"/>
        <w:spacing w:after="0" w:line="256" w:lineRule="auto"/>
        <w:rPr>
          <w:sz w:val="20"/>
          <w:szCs w:val="20"/>
          <w:color w:val="auto"/>
        </w:rPr>
      </w:pPr>
      <w:r>
        <w:rPr>
          <w:rFonts w:ascii="Courier New" w:cs="Courier New" w:eastAsia="Courier New" w:hAnsi="Courier New"/>
          <w:sz w:val="14"/>
          <w:szCs w:val="14"/>
          <w:color w:val="auto"/>
        </w:rPr>
        <w:t>"Preferred Stock" means, with respect to any Person, any and all shares, interests, participations or other equivalents (however designated, whether voting or non-voting) of such Person's preferred or preference stock, whether now outstanding or issued after the date of the Indenture, including, without limitation, all series and classes of such preferred or preference stock.</w:t>
      </w:r>
    </w:p>
    <w:p>
      <w:pPr>
        <w:spacing w:after="0" w:line="163" w:lineRule="exact"/>
        <w:rPr>
          <w:sz w:val="20"/>
          <w:szCs w:val="20"/>
          <w:color w:val="auto"/>
        </w:rPr>
      </w:pPr>
    </w:p>
    <w:p>
      <w:pPr>
        <w:ind w:right="3319" w:firstLine="437"/>
        <w:spacing w:after="0" w:line="261" w:lineRule="auto"/>
        <w:rPr>
          <w:sz w:val="20"/>
          <w:szCs w:val="20"/>
          <w:color w:val="auto"/>
        </w:rPr>
      </w:pPr>
      <w:r>
        <w:rPr>
          <w:rFonts w:ascii="Courier New" w:cs="Courier New" w:eastAsia="Courier New" w:hAnsi="Courier New"/>
          <w:sz w:val="14"/>
          <w:szCs w:val="14"/>
          <w:color w:val="auto"/>
        </w:rPr>
        <w:t>"Principal" whenever used with reference to the Securities or any Security or any portion thereof, shall be deemed to include "and premium, if any".</w:t>
      </w:r>
    </w:p>
    <w:p>
      <w:pPr>
        <w:spacing w:after="0" w:line="160" w:lineRule="exact"/>
        <w:rPr>
          <w:sz w:val="20"/>
          <w:szCs w:val="20"/>
          <w:color w:val="auto"/>
        </w:rPr>
      </w:pPr>
    </w:p>
    <w:p>
      <w:pPr>
        <w:ind w:right="3239" w:firstLine="437"/>
        <w:spacing w:after="0" w:line="258" w:lineRule="auto"/>
        <w:rPr>
          <w:sz w:val="20"/>
          <w:szCs w:val="20"/>
          <w:color w:val="auto"/>
        </w:rPr>
      </w:pPr>
      <w:r>
        <w:rPr>
          <w:rFonts w:ascii="Courier New" w:cs="Courier New" w:eastAsia="Courier New" w:hAnsi="Courier New"/>
          <w:sz w:val="14"/>
          <w:szCs w:val="14"/>
          <w:color w:val="auto"/>
        </w:rPr>
        <w:t>"Registered Global Security" means a Security evidencing all or a part of a series of Registered Securities, issued to the Depositary for such series in accordance with Section 2.04, and bearing the legend prescribed in Section 2.04.</w:t>
      </w:r>
    </w:p>
    <w:p>
      <w:pPr>
        <w:spacing w:after="0" w:line="161" w:lineRule="exact"/>
        <w:rPr>
          <w:sz w:val="20"/>
          <w:szCs w:val="20"/>
          <w:color w:val="auto"/>
        </w:rPr>
      </w:pPr>
    </w:p>
    <w:p>
      <w:pPr>
        <w:ind w:right="3939" w:firstLine="437"/>
        <w:spacing w:after="0" w:line="234" w:lineRule="auto"/>
        <w:rPr>
          <w:sz w:val="20"/>
          <w:szCs w:val="20"/>
          <w:color w:val="auto"/>
        </w:rPr>
      </w:pPr>
      <w:r>
        <w:rPr>
          <w:rFonts w:ascii="Courier New" w:cs="Courier New" w:eastAsia="Courier New" w:hAnsi="Courier New"/>
          <w:sz w:val="15"/>
          <w:szCs w:val="15"/>
          <w:color w:val="auto"/>
        </w:rPr>
        <w:t>"Registered Security" means any Security registered on the register maintained by the Issuer pursuant to Section 2.08.</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"Responsible Officer" when used with respect to the Trustee means any officer within the corporate trust department of the Trustee, including any vice president, assistant vice president, assistant secretary, assistant treasurer, trust officer or any other officer of the Trustee who customarily performs functions similar to those performed by the Persons who at the time shall be such officers, respectively, or to whom any corporate trust matter is referred because of such</w:t>
      </w:r>
    </w:p>
    <w:p>
      <w:pPr>
        <w:spacing w:after="0" w:line="33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39"/>
          </w:cols>
          <w:pgMar w:left="220" w:top="792" w:right="1440" w:bottom="1440" w:gutter="0" w:footer="0" w:header="0"/>
        </w:sectPr>
      </w:pPr>
    </w:p>
    <w:bookmarkStart w:id="86" w:name="page87"/>
    <w:bookmarkEnd w:id="86"/>
    <w:p>
      <w:pPr>
        <w:ind w:right="3319"/>
        <w:spacing w:after="0" w:line="234" w:lineRule="auto"/>
        <w:rPr>
          <w:sz w:val="20"/>
          <w:szCs w:val="20"/>
          <w:color w:val="auto"/>
        </w:rPr>
      </w:pPr>
      <w:r>
        <w:rPr>
          <w:rFonts w:ascii="Courier New" w:cs="Courier New" w:eastAsia="Courier New" w:hAnsi="Courier New"/>
          <w:sz w:val="15"/>
          <w:szCs w:val="15"/>
          <w:color w:val="auto"/>
        </w:rPr>
        <w:t>person's knowledge of and familiarity with the particular subject and who shall have direct responsibility for the administration of this Indenture.</w:t>
      </w:r>
    </w:p>
    <w:p>
      <w:pPr>
        <w:spacing w:after="0" w:line="173"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"Sale and Leaseback Transaction" means any direct or indirect arrangement with any Person or to which any such Person is a party, providing for the leasing to the Issuer or a Cable Guarantor of any property, whether owned by the Issuer or such Cable Guarantor at the date of the original issuance of any series of Securities or later acquired, which has been or is to be sold or transferred by the Issuer or such Cable Guarantor to such Person or to any other Person by whom funds have been or are to be advanced on the security of such property. Notwithstanding the foregoing no arrangement shall be deemed a "Sale and Leaseback Transaction" if (a) the lease is for a period of not in excess of three years, including renewal of rights; (b) the lease secures or relates to industrial revenue or similar financing; (c) the transaction is solely between the Issuer and a Cable Guarantor or between or among Cable Guarantors; or (d) the Issuer or such Cable Guarantor, within 270 days after the sale is completed, applies an amount equal to or greater than (i) the net proceeds of the sale of the assets or part thereof leased or (ii) the fair market value of the assets or part thereof leased (as determined in good faith by Board of Directors) either to (A) the retirement (or open market purchase) of Securities, other long-term Indebtedness of the Issuer ranking on a parity with or senior to each series of Securities or long-term Indebtedness of a Cable Guarantor; or (B) the purchase by the Issuer or any Cable Guarantor of other property, plant or equipment related to the business of the Issuer or any Cable Guarantor having a value at least equal to the value of the assets or part thereof leased.</w:t>
      </w:r>
    </w:p>
    <w:p>
      <w:pPr>
        <w:spacing w:after="0" w:line="176" w:lineRule="exact"/>
        <w:rPr>
          <w:sz w:val="20"/>
          <w:szCs w:val="20"/>
          <w:color w:val="auto"/>
        </w:rPr>
      </w:pPr>
    </w:p>
    <w:p>
      <w:pPr>
        <w:jc w:val="both"/>
        <w:ind w:right="3319" w:firstLine="437"/>
        <w:spacing w:after="0" w:line="235" w:lineRule="auto"/>
        <w:rPr>
          <w:sz w:val="20"/>
          <w:szCs w:val="20"/>
          <w:color w:val="auto"/>
        </w:rPr>
      </w:pPr>
      <w:r>
        <w:rPr>
          <w:rFonts w:ascii="Courier New" w:cs="Courier New" w:eastAsia="Courier New" w:hAnsi="Courier New"/>
          <w:sz w:val="15"/>
          <w:szCs w:val="15"/>
          <w:color w:val="auto"/>
        </w:rPr>
        <w:t>"Security" or "Securities" has the meaning stated in the first recital of this Indenture, or, as the case may be, Securities that have been authenticated and delivered under this Indenture.</w:t>
      </w:r>
    </w:p>
    <w:p>
      <w:pPr>
        <w:spacing w:after="0" w:line="174" w:lineRule="exact"/>
        <w:rPr>
          <w:sz w:val="20"/>
          <w:szCs w:val="20"/>
          <w:color w:val="auto"/>
        </w:rPr>
      </w:pPr>
    </w:p>
    <w:p>
      <w:pPr>
        <w:ind w:right="3499" w:firstLine="437"/>
        <w:spacing w:after="0" w:line="256" w:lineRule="auto"/>
        <w:rPr>
          <w:sz w:val="20"/>
          <w:szCs w:val="20"/>
          <w:color w:val="auto"/>
        </w:rPr>
      </w:pPr>
      <w:r>
        <w:rPr>
          <w:rFonts w:ascii="Courier New" w:cs="Courier New" w:eastAsia="Courier New" w:hAnsi="Courier New"/>
          <w:sz w:val="14"/>
          <w:szCs w:val="14"/>
          <w:color w:val="auto"/>
        </w:rPr>
        <w:t>"Subsidiary" means, with respect to any Person, any corporation, association or other business entity of which more than 50% of all votes represented by all classes of outstanding Voting Stock is owned, directly or indirectly, by such Person and one or more other Subsidiaries of such Person.</w:t>
      </w:r>
    </w:p>
    <w:p>
      <w:pPr>
        <w:spacing w:after="0" w:line="164" w:lineRule="exact"/>
        <w:rPr>
          <w:sz w:val="20"/>
          <w:szCs w:val="20"/>
          <w:color w:val="auto"/>
        </w:rPr>
      </w:pPr>
    </w:p>
    <w:p>
      <w:pPr>
        <w:ind w:right="3399" w:firstLine="437"/>
        <w:spacing w:after="0" w:line="235" w:lineRule="auto"/>
        <w:rPr>
          <w:sz w:val="20"/>
          <w:szCs w:val="20"/>
          <w:color w:val="auto"/>
        </w:rPr>
      </w:pPr>
      <w:r>
        <w:rPr>
          <w:rFonts w:ascii="Courier New" w:cs="Courier New" w:eastAsia="Courier New" w:hAnsi="Courier New"/>
          <w:sz w:val="15"/>
          <w:szCs w:val="15"/>
          <w:color w:val="auto"/>
        </w:rPr>
        <w:t>"Trustee" means the Person identified as "Trustee" in the first paragraph hereof and, subject to the provisions of Article 5, shall also include any successor trustee.</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"Trust Indenture Act of 1939" (except as otherwise provided in Sections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7.01 and 7.02) means the Trust Indenture Act of 1939 as in force at the date as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 which this Indenture was originally executed.</w:t>
      </w:r>
    </w:p>
    <w:p>
      <w:pPr>
        <w:spacing w:after="0" w:line="173" w:lineRule="exact"/>
        <w:rPr>
          <w:sz w:val="20"/>
          <w:szCs w:val="20"/>
          <w:color w:val="auto"/>
        </w:rPr>
      </w:pPr>
    </w:p>
    <w:p>
      <w:pPr>
        <w:ind w:right="3499" w:firstLine="437"/>
        <w:spacing w:after="0" w:line="234" w:lineRule="auto"/>
        <w:rPr>
          <w:sz w:val="20"/>
          <w:szCs w:val="20"/>
          <w:color w:val="auto"/>
        </w:rPr>
      </w:pPr>
      <w:r>
        <w:rPr>
          <w:rFonts w:ascii="Courier New" w:cs="Courier New" w:eastAsia="Courier New" w:hAnsi="Courier New"/>
          <w:sz w:val="15"/>
          <w:szCs w:val="15"/>
          <w:color w:val="auto"/>
        </w:rPr>
        <w:t>"UCC" means the Uniform Commercial Code, as in effect in each applicable jurisdiction.</w:t>
      </w:r>
    </w:p>
    <w:p>
      <w:pPr>
        <w:spacing w:after="0" w:line="173" w:lineRule="exact"/>
        <w:rPr>
          <w:sz w:val="20"/>
          <w:szCs w:val="20"/>
          <w:color w:val="auto"/>
        </w:rPr>
      </w:pPr>
    </w:p>
    <w:p>
      <w:pPr>
        <w:ind w:right="4019" w:firstLine="437"/>
        <w:spacing w:after="0" w:line="234" w:lineRule="auto"/>
        <w:rPr>
          <w:sz w:val="20"/>
          <w:szCs w:val="20"/>
          <w:color w:val="auto"/>
        </w:rPr>
      </w:pPr>
      <w:r>
        <w:rPr>
          <w:rFonts w:ascii="Courier New" w:cs="Courier New" w:eastAsia="Courier New" w:hAnsi="Courier New"/>
          <w:sz w:val="15"/>
          <w:szCs w:val="15"/>
          <w:color w:val="auto"/>
        </w:rPr>
        <w:t>"Unregistered Security" means any Security other than a Registered Security.</w:t>
      </w:r>
    </w:p>
    <w:p>
      <w:pPr>
        <w:spacing w:after="0" w:line="173"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"U.S. Government Obligations" means securities that are (i) direct obligations of the United States of America for the payment of which its full faith and credit is pledged or (ii) obligations of an agency of instrumentality of the United States of America the payment of which is unconditionally guaranteed as a full faith and credit obligation by the United States of America, and shall also include a depository receipt issued by a bank or trust company as custodian with respect to any such U.S. Government Obligation or a specific payment of interest on or principal of any such U.S. Government Obligation held by such custodian for the account</w:t>
      </w:r>
    </w:p>
    <w:p>
      <w:pPr>
        <w:spacing w:after="0" w:line="34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39"/>
          </w:cols>
          <w:pgMar w:left="220" w:top="792" w:right="1440" w:bottom="1440" w:gutter="0" w:footer="0" w:header="0"/>
        </w:sectPr>
      </w:pPr>
    </w:p>
    <w:bookmarkStart w:id="87" w:name="page88"/>
    <w:bookmarkEnd w:id="87"/>
    <w:p>
      <w:pPr>
        <w:ind w:right="3239"/>
        <w:spacing w:after="0" w:line="236" w:lineRule="auto"/>
        <w:rPr>
          <w:sz w:val="20"/>
          <w:szCs w:val="20"/>
          <w:color w:val="auto"/>
        </w:rPr>
      </w:pPr>
      <w:r>
        <w:rPr>
          <w:rFonts w:ascii="Courier New" w:cs="Courier New" w:eastAsia="Courier New" w:hAnsi="Courier New"/>
          <w:sz w:val="15"/>
          <w:szCs w:val="15"/>
          <w:color w:val="auto"/>
        </w:rPr>
        <w:t>of the holder of a depository receipt; provided that (except as required by law) such custodian is not authorized to make any deduction from the amount payable to the holder of such depository receipt from any amount received by the custodian in respect of the U.S. Government Obligation or the specific payment of interest on or principal of the U.S. Government Obligation evidenced by such depository receipt. "Voting Stock" means with respect to any Person, Capital Stock of any class or kind ordinarily having the power to vote for the election of directors, managers or other voting members of the governing body of such Person.</w:t>
      </w:r>
    </w:p>
    <w:p>
      <w:pPr>
        <w:spacing w:after="0" w:line="178"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"vice president" when used with respect to the Issuer or the Trustee, means any vice president, whether or not designated by a number or a word or words added before or after the title of "vice president".</w:t>
      </w:r>
    </w:p>
    <w:p>
      <w:pPr>
        <w:spacing w:after="0" w:line="174"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"Wholly-Owned" is defined to mean, with respect to any Subsidiary of any person, such Subsidiary if all of the outstanding common stock or other similar equity ownership interests (but not including preferred stock) in such Subsidiary (other than any director's qualifying shares or investments by foreign nationals mandated by applicable law) is owned directly or indirectly by such person.</w:t>
      </w:r>
    </w:p>
    <w:p>
      <w:pPr>
        <w:spacing w:after="0" w:line="175"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"Yield to Maturity" means the yield to maturity on a series of securities, calculated at the time of issuance of such series, or, if applicable, at the most recent redetermination of interest on such series, and calculated in accordance with accepted financial practice.</w:t>
      </w:r>
    </w:p>
    <w:p>
      <w:pPr>
        <w:spacing w:after="0" w:line="337"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Article 2</w:t>
      </w:r>
    </w:p>
    <w:p>
      <w:pPr>
        <w:ind w:left="3080"/>
        <w:spacing w:after="0" w:line="237" w:lineRule="auto"/>
        <w:rPr>
          <w:sz w:val="20"/>
          <w:szCs w:val="20"/>
          <w:color w:val="auto"/>
        </w:rPr>
      </w:pPr>
      <w:r>
        <w:rPr>
          <w:rFonts w:ascii="Courier New" w:cs="Courier New" w:eastAsia="Courier New" w:hAnsi="Courier New"/>
          <w:sz w:val="15"/>
          <w:szCs w:val="15"/>
          <w:color w:val="auto"/>
        </w:rPr>
        <w:t>SECURITIES</w:t>
      </w:r>
    </w:p>
    <w:p>
      <w:pPr>
        <w:spacing w:after="0" w:line="173"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Section 2.01. Forms Generally. The Securities of each series shall be substantially in such form (not inconsistent with this Indenture) as shall be established by or pursuant to a resolution of the Board of Directors or in one or more indentures supplemental hereto, in each case with such appropriate insertions, omissions, substitutions and other variations as are required or permitted by this Indenture and may have imprinted or otherwise reproduced thereon such legend or legends, not inconsistent with the provisions of this Indenture, as may be required to comply with any law or with any rules or regulations pursuant thereto, or with any rules of any securities exchange or to conform to general usage, all as may be determined by the officers executing such Securities, as evidenced by their execution of the Securities. The Issuer shall furnish any such legends to the Trustee in writing.</w:t>
      </w:r>
    </w:p>
    <w:p>
      <w:pPr>
        <w:spacing w:after="0" w:line="333" w:lineRule="exact"/>
        <w:rPr>
          <w:sz w:val="20"/>
          <w:szCs w:val="20"/>
          <w:color w:val="auto"/>
        </w:rPr>
      </w:pPr>
    </w:p>
    <w:p>
      <w:pPr>
        <w:ind w:right="3239" w:firstLine="787"/>
        <w:spacing w:after="0" w:line="235" w:lineRule="auto"/>
        <w:rPr>
          <w:sz w:val="20"/>
          <w:szCs w:val="20"/>
          <w:color w:val="auto"/>
        </w:rPr>
      </w:pPr>
      <w:r>
        <w:rPr>
          <w:rFonts w:ascii="Courier New" w:cs="Courier New" w:eastAsia="Courier New" w:hAnsi="Courier New"/>
          <w:sz w:val="15"/>
          <w:szCs w:val="15"/>
          <w:color w:val="auto"/>
        </w:rPr>
        <w:t>The definitive Securities shall be printed, lithographed or engraved on steel engraved borders or may be produced in any other manner, all as determined by the officers executing such Securities, as evidenced by their execution of such Securities.</w:t>
      </w:r>
    </w:p>
    <w:p>
      <w:pPr>
        <w:spacing w:after="0" w:line="175" w:lineRule="exact"/>
        <w:rPr>
          <w:sz w:val="20"/>
          <w:szCs w:val="20"/>
          <w:color w:val="auto"/>
        </w:rPr>
      </w:pPr>
    </w:p>
    <w:p>
      <w:pPr>
        <w:ind w:right="3839" w:firstLine="437"/>
        <w:spacing w:after="0" w:line="235" w:lineRule="auto"/>
        <w:rPr>
          <w:sz w:val="20"/>
          <w:szCs w:val="20"/>
          <w:color w:val="auto"/>
        </w:rPr>
      </w:pPr>
      <w:r>
        <w:rPr>
          <w:rFonts w:ascii="Courier New" w:cs="Courier New" w:eastAsia="Courier New" w:hAnsi="Courier New"/>
          <w:sz w:val="15"/>
          <w:szCs w:val="15"/>
          <w:color w:val="auto"/>
        </w:rPr>
        <w:t>Section 2.02. Form of Trustee's Certification of Authentication. The Trustee's certificate of authentication on all Securities shall be in substantially the following form:</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39"/>
          </w:cols>
          <w:pgMar w:left="220" w:top="792" w:right="1440" w:bottom="1440" w:gutter="0" w:footer="0" w:header="0"/>
        </w:sectPr>
      </w:pPr>
    </w:p>
    <w:bookmarkStart w:id="88" w:name="page89"/>
    <w:bookmarkEnd w:id="88"/>
    <w:p>
      <w:pPr>
        <w:ind w:right="3319" w:firstLine="437"/>
        <w:spacing w:after="0" w:line="234" w:lineRule="auto"/>
        <w:rPr>
          <w:sz w:val="20"/>
          <w:szCs w:val="20"/>
          <w:color w:val="auto"/>
        </w:rPr>
      </w:pPr>
      <w:r>
        <w:rPr>
          <w:rFonts w:ascii="Courier New" w:cs="Courier New" w:eastAsia="Courier New" w:hAnsi="Courier New"/>
          <w:sz w:val="15"/>
          <w:szCs w:val="15"/>
          <w:color w:val="auto"/>
        </w:rPr>
        <w:t>This is one of the Securities of the series designated herein and referred to in the within-mentioned Indenture.</w:t>
      </w:r>
    </w:p>
    <w:p>
      <w:pPr>
        <w:spacing w:after="0" w:line="335" w:lineRule="exact"/>
        <w:rPr>
          <w:sz w:val="20"/>
          <w:szCs w:val="20"/>
          <w:color w:val="auto"/>
        </w:rPr>
      </w:pPr>
    </w:p>
    <w:p>
      <w:pPr>
        <w:ind w:left="3860"/>
        <w:spacing w:after="0"/>
        <w:rPr>
          <w:sz w:val="20"/>
          <w:szCs w:val="20"/>
          <w:color w:val="auto"/>
        </w:rPr>
      </w:pPr>
      <w:r>
        <w:rPr>
          <w:rFonts w:ascii="Courier New" w:cs="Courier New" w:eastAsia="Courier New" w:hAnsi="Courier New"/>
          <w:sz w:val="15"/>
          <w:szCs w:val="15"/>
          <w:color w:val="auto"/>
        </w:rPr>
        <w:t>THE BANK OF NEW YORK,</w:t>
      </w:r>
    </w:p>
    <w:p>
      <w:pPr>
        <w:ind w:left="4300"/>
        <w:spacing w:after="0" w:line="237" w:lineRule="auto"/>
        <w:rPr>
          <w:sz w:val="20"/>
          <w:szCs w:val="20"/>
          <w:color w:val="auto"/>
        </w:rPr>
      </w:pPr>
      <w:r>
        <w:rPr>
          <w:rFonts w:ascii="Courier New" w:cs="Courier New" w:eastAsia="Courier New" w:hAnsi="Courier New"/>
          <w:sz w:val="15"/>
          <w:szCs w:val="15"/>
          <w:color w:val="auto"/>
        </w:rPr>
        <w:t>as Trustee</w:t>
      </w:r>
    </w:p>
    <w:p>
      <w:pPr>
        <w:ind w:left="3860"/>
        <w:spacing w:after="0" w:line="238" w:lineRule="auto"/>
        <w:rPr>
          <w:sz w:val="20"/>
          <w:szCs w:val="20"/>
          <w:color w:val="auto"/>
        </w:rPr>
      </w:pPr>
      <w:r>
        <w:rPr>
          <w:rFonts w:ascii="Courier New" w:cs="Courier New" w:eastAsia="Courier New" w:hAnsi="Courier New"/>
          <w:sz w:val="15"/>
          <w:szCs w:val="15"/>
          <w:color w:val="auto"/>
        </w:rPr>
        <w:t>By:</w:t>
      </w:r>
    </w:p>
    <w:p>
      <w:pPr>
        <w:spacing w:after="0" w:line="5" w:lineRule="exact"/>
        <w:rPr>
          <w:sz w:val="20"/>
          <w:szCs w:val="20"/>
          <w:color w:val="auto"/>
        </w:rPr>
      </w:pPr>
    </w:p>
    <w:p>
      <w:pPr>
        <w:ind w:left="420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jc w:val="center"/>
        <w:ind w:right="79"/>
        <w:spacing w:after="0"/>
        <w:rPr>
          <w:sz w:val="20"/>
          <w:szCs w:val="20"/>
          <w:color w:val="auto"/>
        </w:rPr>
      </w:pPr>
      <w:r>
        <w:rPr>
          <w:rFonts w:ascii="Courier New" w:cs="Courier New" w:eastAsia="Courier New" w:hAnsi="Courier New"/>
          <w:sz w:val="15"/>
          <w:szCs w:val="15"/>
          <w:color w:val="auto"/>
        </w:rPr>
        <w:t>Authorized Signatory</w:t>
      </w:r>
    </w:p>
    <w:p>
      <w:pPr>
        <w:spacing w:after="0" w:line="341"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Section 2.03. Amount Unlimited; Issuable in Series. The aggregate principal amount of Securities which may be authenticated and delivered under this Indenture is unlimited.</w:t>
      </w:r>
    </w:p>
    <w:p>
      <w:pPr>
        <w:spacing w:after="0" w:line="174" w:lineRule="exact"/>
        <w:rPr>
          <w:sz w:val="20"/>
          <w:szCs w:val="20"/>
          <w:color w:val="auto"/>
        </w:rPr>
      </w:pPr>
    </w:p>
    <w:p>
      <w:pPr>
        <w:ind w:right="3579" w:firstLine="437"/>
        <w:spacing w:after="0" w:line="256" w:lineRule="auto"/>
        <w:rPr>
          <w:sz w:val="20"/>
          <w:szCs w:val="20"/>
          <w:color w:val="auto"/>
        </w:rPr>
      </w:pPr>
      <w:r>
        <w:rPr>
          <w:rFonts w:ascii="Courier New" w:cs="Courier New" w:eastAsia="Courier New" w:hAnsi="Courier New"/>
          <w:sz w:val="14"/>
          <w:szCs w:val="14"/>
          <w:color w:val="auto"/>
        </w:rPr>
        <w:t>The Securities may be issued in one or more series. There shall be established in or pursuant to a resolution of the Board of Directors and set forth in an Officers' Certificate, or established in one or more indentures supplemental hereto, prior to the issuance of Securities of any series:</w:t>
      </w:r>
    </w:p>
    <w:p>
      <w:pPr>
        <w:spacing w:after="0" w:line="164" w:lineRule="exact"/>
        <w:rPr>
          <w:sz w:val="20"/>
          <w:szCs w:val="20"/>
          <w:color w:val="auto"/>
        </w:rPr>
      </w:pPr>
    </w:p>
    <w:p>
      <w:pPr>
        <w:ind w:right="3319" w:firstLine="447"/>
        <w:spacing w:after="0" w:line="234" w:lineRule="auto"/>
        <w:tabs>
          <w:tab w:leader="none" w:pos="787" w:val="left"/>
        </w:tabs>
        <w:numPr>
          <w:ilvl w:val="0"/>
          <w:numId w:val="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title of the Securities of the series (which shall distinguish the Securities of the series from all other Securities);</w:t>
      </w:r>
    </w:p>
    <w:p>
      <w:pPr>
        <w:spacing w:after="0" w:line="173" w:lineRule="exact"/>
        <w:rPr>
          <w:rFonts w:ascii="Courier New" w:cs="Courier New" w:eastAsia="Courier New" w:hAnsi="Courier New"/>
          <w:sz w:val="15"/>
          <w:szCs w:val="15"/>
          <w:color w:val="auto"/>
        </w:rPr>
      </w:pPr>
    </w:p>
    <w:p>
      <w:pPr>
        <w:ind w:right="3319" w:firstLine="447"/>
        <w:spacing w:after="0" w:line="236" w:lineRule="auto"/>
        <w:tabs>
          <w:tab w:leader="none" w:pos="787" w:val="left"/>
        </w:tabs>
        <w:numPr>
          <w:ilvl w:val="0"/>
          <w:numId w:val="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limit upon the aggregate principal amount of the Securities of the series that may be authenticated and delivered under this Indenture (except for Securities authenticated and delivered upon registration of transfer of, or in exchange for, or in lieu of, other Securities of the series pursuant to Section 2.08, 2.09, 2.11 or Section 12.03);</w:t>
      </w:r>
    </w:p>
    <w:p>
      <w:pPr>
        <w:spacing w:after="0" w:line="173" w:lineRule="exact"/>
        <w:rPr>
          <w:rFonts w:ascii="Courier New" w:cs="Courier New" w:eastAsia="Courier New" w:hAnsi="Courier New"/>
          <w:sz w:val="15"/>
          <w:szCs w:val="15"/>
          <w:color w:val="auto"/>
        </w:rPr>
      </w:pPr>
    </w:p>
    <w:p>
      <w:pPr>
        <w:ind w:right="3759" w:firstLine="447"/>
        <w:spacing w:after="0" w:line="234" w:lineRule="auto"/>
        <w:tabs>
          <w:tab w:leader="none" w:pos="787" w:val="left"/>
        </w:tabs>
        <w:numPr>
          <w:ilvl w:val="0"/>
          <w:numId w:val="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date or dates on which the principal of the Securities of the series is payable;</w:t>
      </w:r>
    </w:p>
    <w:p>
      <w:pPr>
        <w:spacing w:after="0" w:line="173" w:lineRule="exact"/>
        <w:rPr>
          <w:rFonts w:ascii="Courier New" w:cs="Courier New" w:eastAsia="Courier New" w:hAnsi="Courier New"/>
          <w:sz w:val="15"/>
          <w:szCs w:val="15"/>
          <w:color w:val="auto"/>
        </w:rPr>
      </w:pPr>
    </w:p>
    <w:p>
      <w:pPr>
        <w:ind w:right="3239" w:firstLine="447"/>
        <w:spacing w:after="0" w:line="236" w:lineRule="auto"/>
        <w:tabs>
          <w:tab w:leader="none" w:pos="787" w:val="left"/>
        </w:tabs>
        <w:numPr>
          <w:ilvl w:val="0"/>
          <w:numId w:val="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rate or rates at which the Securities of the series shall bear interest, if any, or the method by which such rate shall be determined, the date or dates from which such interest shall accrue, the interest payment dates on which such interest shall be payable and the record dates for the determination of Holders to whom interest is payable;</w:t>
      </w:r>
    </w:p>
    <w:p>
      <w:pPr>
        <w:spacing w:after="0" w:line="173" w:lineRule="exact"/>
        <w:rPr>
          <w:rFonts w:ascii="Courier New" w:cs="Courier New" w:eastAsia="Courier New" w:hAnsi="Courier New"/>
          <w:sz w:val="15"/>
          <w:szCs w:val="15"/>
          <w:color w:val="auto"/>
        </w:rPr>
      </w:pPr>
    </w:p>
    <w:p>
      <w:pPr>
        <w:ind w:right="3319" w:firstLine="447"/>
        <w:spacing w:after="0" w:line="235" w:lineRule="auto"/>
        <w:tabs>
          <w:tab w:leader="none" w:pos="787" w:val="left"/>
        </w:tabs>
        <w:numPr>
          <w:ilvl w:val="0"/>
          <w:numId w:val="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place or places where the principal of and any interest on Securities of the series shall be payable (if other than as provided in Section 3.02);</w:t>
      </w:r>
    </w:p>
    <w:p>
      <w:pPr>
        <w:spacing w:after="0" w:line="173" w:lineRule="exact"/>
        <w:rPr>
          <w:rFonts w:ascii="Courier New" w:cs="Courier New" w:eastAsia="Courier New" w:hAnsi="Courier New"/>
          <w:sz w:val="15"/>
          <w:szCs w:val="15"/>
          <w:color w:val="auto"/>
        </w:rPr>
      </w:pPr>
    </w:p>
    <w:p>
      <w:pPr>
        <w:ind w:right="3239" w:firstLine="447"/>
        <w:spacing w:after="0" w:line="235" w:lineRule="auto"/>
        <w:tabs>
          <w:tab w:leader="none" w:pos="787" w:val="left"/>
        </w:tabs>
        <w:numPr>
          <w:ilvl w:val="0"/>
          <w:numId w:val="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price or prices at which, the period or periods within which and the terms and conditions upon which Securities of the series may be redeemed, in whole or in part, at the option of the Issuer, pursuant to any sinking fund or otherwise;</w:t>
      </w:r>
    </w:p>
    <w:p>
      <w:pPr>
        <w:spacing w:after="0" w:line="175" w:lineRule="exact"/>
        <w:rPr>
          <w:rFonts w:ascii="Courier New" w:cs="Courier New" w:eastAsia="Courier New" w:hAnsi="Courier New"/>
          <w:sz w:val="15"/>
          <w:szCs w:val="15"/>
          <w:color w:val="auto"/>
        </w:rPr>
      </w:pPr>
    </w:p>
    <w:p>
      <w:pPr>
        <w:ind w:right="3239" w:firstLine="447"/>
        <w:spacing w:after="0" w:line="236" w:lineRule="auto"/>
        <w:tabs>
          <w:tab w:leader="none" w:pos="787" w:val="left"/>
        </w:tabs>
        <w:numPr>
          <w:ilvl w:val="0"/>
          <w:numId w:val="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obligation, if any, of the Issuer to redeem, purchase or repay Securities of the series pursuant to any sinking fund or analogous provisions or at the option of a Holder thereof and the price or prices at which and the period or periods within which and the terms and conditions upon which Securities of the series shall be redeemed, purchased or repaid, in whole or in part, pursuant to such obligation;</w:t>
      </w:r>
    </w:p>
    <w:p>
      <w:pPr>
        <w:spacing w:after="0" w:line="174" w:lineRule="exact"/>
        <w:rPr>
          <w:rFonts w:ascii="Courier New" w:cs="Courier New" w:eastAsia="Courier New" w:hAnsi="Courier New"/>
          <w:sz w:val="15"/>
          <w:szCs w:val="15"/>
          <w:color w:val="auto"/>
        </w:rPr>
      </w:pPr>
    </w:p>
    <w:p>
      <w:pPr>
        <w:ind w:right="3399" w:firstLine="447"/>
        <w:spacing w:after="0" w:line="235" w:lineRule="auto"/>
        <w:tabs>
          <w:tab w:leader="none" w:pos="787" w:val="left"/>
        </w:tabs>
        <w:numPr>
          <w:ilvl w:val="0"/>
          <w:numId w:val="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obligation, if any, of the Issuer to permit the conversion of the Securities of such series into Class A Common Stock or Class A Special Common Stock, or a combination thereof, and the terms and conditions upon which such conversion shall be effected (including,</w:t>
      </w:r>
    </w:p>
    <w:p>
      <w:pPr>
        <w:spacing w:after="0" w:line="33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39"/>
          </w:cols>
          <w:pgMar w:left="220" w:top="792" w:right="1440" w:bottom="1440" w:gutter="0" w:footer="0" w:header="0"/>
        </w:sectPr>
      </w:pPr>
    </w:p>
    <w:bookmarkStart w:id="89" w:name="page90"/>
    <w:bookmarkEnd w:id="89"/>
    <w:p>
      <w:pPr>
        <w:ind w:right="3319"/>
        <w:spacing w:after="0" w:line="235" w:lineRule="auto"/>
        <w:rPr>
          <w:sz w:val="20"/>
          <w:szCs w:val="20"/>
          <w:color w:val="auto"/>
        </w:rPr>
      </w:pPr>
      <w:r>
        <w:rPr>
          <w:rFonts w:ascii="Courier New" w:cs="Courier New" w:eastAsia="Courier New" w:hAnsi="Courier New"/>
          <w:sz w:val="15"/>
          <w:szCs w:val="15"/>
          <w:color w:val="auto"/>
        </w:rPr>
        <w:t>without limitation, the initial conversion price or rate, the conversion period and any other provision in addition to or in lieu of those set forth in this Indenture relative to such obligation);</w:t>
      </w:r>
    </w:p>
    <w:p>
      <w:pPr>
        <w:spacing w:after="0" w:line="174" w:lineRule="exact"/>
        <w:rPr>
          <w:sz w:val="20"/>
          <w:szCs w:val="20"/>
          <w:color w:val="auto"/>
        </w:rPr>
      </w:pPr>
    </w:p>
    <w:p>
      <w:pPr>
        <w:ind w:right="3579" w:firstLine="447"/>
        <w:spacing w:after="0" w:line="234" w:lineRule="auto"/>
        <w:tabs>
          <w:tab w:leader="none" w:pos="787" w:val="left"/>
        </w:tabs>
        <w:numPr>
          <w:ilvl w:val="0"/>
          <w:numId w:val="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other than denominations of $1,000 and any multiple thereof, the denominations in which Securities of the series shall be issuable;</w:t>
      </w:r>
    </w:p>
    <w:p>
      <w:pPr>
        <w:spacing w:after="0" w:line="173" w:lineRule="exact"/>
        <w:rPr>
          <w:rFonts w:ascii="Courier New" w:cs="Courier New" w:eastAsia="Courier New" w:hAnsi="Courier New"/>
          <w:sz w:val="15"/>
          <w:szCs w:val="15"/>
          <w:color w:val="auto"/>
        </w:rPr>
      </w:pPr>
    </w:p>
    <w:p>
      <w:pPr>
        <w:ind w:right="3319" w:firstLine="447"/>
        <w:spacing w:after="0" w:line="235" w:lineRule="auto"/>
        <w:tabs>
          <w:tab w:leader="none" w:pos="787" w:val="left"/>
        </w:tabs>
        <w:numPr>
          <w:ilvl w:val="0"/>
          <w:numId w:val="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other than the principal amount thereof, the portion of the principal amount of Securities of the series which shall be payable upon declaration of acceleration of the maturity thereof pursuant to Section 4.01 or provable in bankruptcy pursuant to Section 4.02;</w:t>
      </w:r>
    </w:p>
    <w:p>
      <w:pPr>
        <w:spacing w:after="0" w:line="175" w:lineRule="exact"/>
        <w:rPr>
          <w:rFonts w:ascii="Courier New" w:cs="Courier New" w:eastAsia="Courier New" w:hAnsi="Courier New"/>
          <w:sz w:val="15"/>
          <w:szCs w:val="15"/>
          <w:color w:val="auto"/>
        </w:rPr>
      </w:pPr>
    </w:p>
    <w:p>
      <w:pPr>
        <w:ind w:right="3239" w:firstLine="447"/>
        <w:spacing w:after="0" w:line="235" w:lineRule="auto"/>
        <w:tabs>
          <w:tab w:leader="none" w:pos="787" w:val="left"/>
        </w:tabs>
        <w:numPr>
          <w:ilvl w:val="0"/>
          <w:numId w:val="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Securities of the series are issuable in whole or in part as one or more Registered Global Securities, the identity of the Depositary for such Registered Global Security or Securities;</w:t>
      </w:r>
    </w:p>
    <w:p>
      <w:pPr>
        <w:spacing w:after="0" w:line="173" w:lineRule="exact"/>
        <w:rPr>
          <w:rFonts w:ascii="Courier New" w:cs="Courier New" w:eastAsia="Courier New" w:hAnsi="Courier New"/>
          <w:sz w:val="15"/>
          <w:szCs w:val="15"/>
          <w:color w:val="auto"/>
        </w:rPr>
      </w:pPr>
    </w:p>
    <w:p>
      <w:pPr>
        <w:ind w:right="3499" w:firstLine="447"/>
        <w:spacing w:after="0" w:line="234" w:lineRule="auto"/>
        <w:tabs>
          <w:tab w:leader="none" w:pos="787" w:val="left"/>
        </w:tabs>
        <w:numPr>
          <w:ilvl w:val="0"/>
          <w:numId w:val="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other terms of the series (which terms shall not be inconsistent with the provisions of this Indenture); and</w:t>
      </w:r>
    </w:p>
    <w:p>
      <w:pPr>
        <w:spacing w:after="0" w:line="173" w:lineRule="exact"/>
        <w:rPr>
          <w:rFonts w:ascii="Courier New" w:cs="Courier New" w:eastAsia="Courier New" w:hAnsi="Courier New"/>
          <w:sz w:val="15"/>
          <w:szCs w:val="15"/>
          <w:color w:val="auto"/>
        </w:rPr>
      </w:pPr>
    </w:p>
    <w:p>
      <w:pPr>
        <w:ind w:right="3579" w:firstLine="447"/>
        <w:spacing w:after="0" w:line="261" w:lineRule="auto"/>
        <w:tabs>
          <w:tab w:leader="none" w:pos="787" w:val="left"/>
        </w:tabs>
        <w:numPr>
          <w:ilvl w:val="0"/>
          <w:numId w:val="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trustees, authenticating or paying agents, transfer agents or registrar or any other agents with respect to the Securities of such series.</w:t>
      </w:r>
    </w:p>
    <w:p>
      <w:pPr>
        <w:spacing w:after="0" w:line="160"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All Securities of any one series shall be substantially identical except as to denomination and except as may otherwise be provided in or pursuant to such resolution of the Board of Directors or in any such indenture supplemental hereto.</w:t>
      </w:r>
    </w:p>
    <w:p>
      <w:pPr>
        <w:spacing w:after="0" w:line="175"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Section 2.04. Authentication and Delivery of Securities. At any time and from time to time after the execution and delivery of this Indenture, the Issuer may deliver Securities of any series executed by the Issuer to the Trustee for authentication, and the Trustee shall thereupon authenticate and deliver such Securities to or upon the written order of the Issuer, such order to be signed by both (a) the chairman of its Board of Directors, or any vice chairman of its Board of Directors, or its president or any vice president and (b) by its treasurer or any assistant treasurer, without any further action by the Issuer. In authenticating such Securities and accepting the additional responsibilities under this Indenture in relation to such Securities the Trustee shall receive, and (subject to Section 5.01) shall be fully protected in relying upon:</w:t>
      </w:r>
    </w:p>
    <w:p>
      <w:pPr>
        <w:spacing w:after="0" w:line="165" w:lineRule="exact"/>
        <w:rPr>
          <w:sz w:val="20"/>
          <w:szCs w:val="20"/>
          <w:color w:val="auto"/>
        </w:rPr>
      </w:pPr>
    </w:p>
    <w:p>
      <w:pPr>
        <w:ind w:right="3239" w:firstLine="447"/>
        <w:spacing w:after="0" w:line="235" w:lineRule="auto"/>
        <w:tabs>
          <w:tab w:leader="none" w:pos="787" w:val="left"/>
        </w:tabs>
        <w:numPr>
          <w:ilvl w:val="0"/>
          <w:numId w:val="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certified copy of any resolution or resolutions of the Board of Directors authorizing the action taken pursuant to the resolution or resolutions delivered under clause Section 2.04(b) below;</w:t>
      </w:r>
    </w:p>
    <w:p>
      <w:pPr>
        <w:spacing w:after="0" w:line="173" w:lineRule="exact"/>
        <w:rPr>
          <w:rFonts w:ascii="Courier New" w:cs="Courier New" w:eastAsia="Courier New" w:hAnsi="Courier New"/>
          <w:sz w:val="15"/>
          <w:szCs w:val="15"/>
          <w:color w:val="auto"/>
        </w:rPr>
      </w:pPr>
    </w:p>
    <w:p>
      <w:pPr>
        <w:ind w:right="3239" w:firstLine="447"/>
        <w:spacing w:after="0" w:line="235" w:lineRule="auto"/>
        <w:tabs>
          <w:tab w:leader="none" w:pos="787" w:val="left"/>
        </w:tabs>
        <w:numPr>
          <w:ilvl w:val="0"/>
          <w:numId w:val="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copy of any resolution or resolutions of the Board of Directors relating to such series, in each case certified by the secretary or an assistant secretary of the Issuer;</w:t>
      </w:r>
    </w:p>
    <w:p>
      <w:pPr>
        <w:spacing w:after="0" w:line="173" w:lineRule="exact"/>
        <w:rPr>
          <w:rFonts w:ascii="Courier New" w:cs="Courier New" w:eastAsia="Courier New" w:hAnsi="Courier New"/>
          <w:sz w:val="15"/>
          <w:szCs w:val="15"/>
          <w:color w:val="auto"/>
        </w:rPr>
      </w:pPr>
    </w:p>
    <w:p>
      <w:pPr>
        <w:ind w:right="3759" w:firstLine="447"/>
        <w:spacing w:after="0" w:line="234" w:lineRule="auto"/>
        <w:tabs>
          <w:tab w:leader="none" w:pos="787" w:val="left"/>
        </w:tabs>
        <w:numPr>
          <w:ilvl w:val="0"/>
          <w:numId w:val="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executed supplemental indenture, if any, and the documentation required to be delivered pursuant to Section 7.04;</w:t>
      </w:r>
    </w:p>
    <w:p>
      <w:pPr>
        <w:spacing w:after="0" w:line="173" w:lineRule="exact"/>
        <w:rPr>
          <w:rFonts w:ascii="Courier New" w:cs="Courier New" w:eastAsia="Courier New" w:hAnsi="Courier New"/>
          <w:sz w:val="15"/>
          <w:szCs w:val="15"/>
          <w:color w:val="auto"/>
        </w:rPr>
      </w:pPr>
    </w:p>
    <w:p>
      <w:pPr>
        <w:ind w:right="3759" w:firstLine="447"/>
        <w:spacing w:after="0" w:line="235" w:lineRule="auto"/>
        <w:tabs>
          <w:tab w:leader="none" w:pos="787" w:val="left"/>
        </w:tabs>
        <w:numPr>
          <w:ilvl w:val="0"/>
          <w:numId w:val="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Officers' Certificate setting forth the form and terms of the Securities as required pursuant to Section 2.01 and 2.03, respectively and prepared in accordance with Section 10.05;</w:t>
      </w:r>
    </w:p>
    <w:p>
      <w:pPr>
        <w:spacing w:after="0" w:line="173" w:lineRule="exact"/>
        <w:rPr>
          <w:rFonts w:ascii="Courier New" w:cs="Courier New" w:eastAsia="Courier New" w:hAnsi="Courier New"/>
          <w:sz w:val="15"/>
          <w:szCs w:val="15"/>
          <w:color w:val="auto"/>
        </w:rPr>
      </w:pPr>
    </w:p>
    <w:p>
      <w:pPr>
        <w:ind w:right="3499" w:firstLine="447"/>
        <w:spacing w:after="0" w:line="234" w:lineRule="auto"/>
        <w:tabs>
          <w:tab w:leader="none" w:pos="787" w:val="left"/>
        </w:tabs>
        <w:numPr>
          <w:ilvl w:val="0"/>
          <w:numId w:val="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Opinion of Counsel, prepared in accordance with Section 10.05, to the effect</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39"/>
          </w:cols>
          <w:pgMar w:left="220" w:top="792" w:right="1440" w:bottom="1440" w:gutter="0" w:footer="0" w:header="0"/>
        </w:sectPr>
      </w:pPr>
    </w:p>
    <w:bookmarkStart w:id="90" w:name="page91"/>
    <w:bookmarkEnd w:id="90"/>
    <w:p>
      <w:pPr>
        <w:ind w:left="440" w:right="3319" w:firstLine="444"/>
        <w:spacing w:after="0" w:line="235" w:lineRule="auto"/>
        <w:tabs>
          <w:tab w:leader="none" w:pos="1227" w:val="left"/>
        </w:tabs>
        <w:numPr>
          <w:ilvl w:val="0"/>
          <w:numId w:val="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that the form or forms and terms of such Securities have been established by or pursuant to a resolution of the Board of Directors or by a supplemental indenture as permitted by Section 2.01 and 2.03 in conformity with the provisions of this Indenture; and</w:t>
      </w:r>
    </w:p>
    <w:p>
      <w:pPr>
        <w:spacing w:after="0" w:line="175" w:lineRule="exact"/>
        <w:rPr>
          <w:rFonts w:ascii="Courier New" w:cs="Courier New" w:eastAsia="Courier New" w:hAnsi="Courier New"/>
          <w:sz w:val="15"/>
          <w:szCs w:val="15"/>
          <w:color w:val="auto"/>
        </w:rPr>
      </w:pPr>
    </w:p>
    <w:p>
      <w:pPr>
        <w:ind w:left="440" w:right="3319" w:firstLine="444"/>
        <w:spacing w:after="0" w:line="236" w:lineRule="auto"/>
        <w:tabs>
          <w:tab w:leader="none" w:pos="1315" w:val="left"/>
        </w:tabs>
        <w:numPr>
          <w:ilvl w:val="0"/>
          <w:numId w:val="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that such Securities, when authenticated and delivered by the Trustee and issued by the Issuer in the manner and subject to any conditions specified in such Opinion of Counsel, will constitute legal, valid and binding obligations of the Issuer enforceable against the Issuer in accordance with their terms.</w:t>
      </w:r>
    </w:p>
    <w:p>
      <w:pPr>
        <w:spacing w:after="0" w:line="174"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The Trustee shall have the right to decline to authenticate and deliver any Securities under this section if the Trustee, being advised by counsel, determines that such action may not lawfully be taken by the Issuer or if the Trustee in good faith by its board of directors or board of trustees, executive committee, or a trust committee of directors or trustees or Responsible Officers shall determine that such action would expose the Trustee to personal liability.</w:t>
      </w:r>
    </w:p>
    <w:p>
      <w:pPr>
        <w:spacing w:after="0" w:line="166"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If the Issuer shall establish pursuant to Section 2.03 that the Securities of a series or a portion thereof are to be issued in the form of one or more Registered Global Securities, then the Issuer shall execute (in accordance with Section 2.05) and the Trustee shall authenticate and make available for delivery one or more Registered Global Securities that (i) shall represent and shall be denominated in an amount equal to the aggregate principal amount of all of the Securities of such series issued in such form and not yet canceled, (ii) shall be registered in the name of the Depositary for such Registered Global Security or Securities or the nominee of such Depositary, (iii) shall be delivered by the Trustee to such Depositary or its custodian or pursuant to such Depositary's instructions and (iv) shall bear a legend substantially to the following effect: "Unless and until it is exchanged in whole or in part for Securities in definitive registered form, this Security may not be transferred except as a whole by the Depositary to a nominee of the Depositary or by a nominee of the Depositary to the Depositary or another nominee of the Depositary or by the Depositary or any such nominee to a successor Depositary or a nominee of such successor Depositary."</w:t>
      </w:r>
    </w:p>
    <w:p>
      <w:pPr>
        <w:spacing w:after="0" w:line="175"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Section 2.05. Execution of Securities. The Securities shall be signed on behalf of the Issuer by the chairman of its Board of Directors or any vice chairman of its Board of Directors or its president or any vice president or its treasurer or any assistant treasurer, under its corporate seal and attested by its secretary or any assistant secretary. Such signatures may be the manual or facsimile signatures of the present or any future such officers. The seal of the Issuer may be in the form of a facsimile thereof and may be impressed, affixed, imprinted or otherwise reproduced on the Securities. Typographical and other minor errors or defects in any such reproduction of the seal or any such signature shall not affect the validity or enforceability of any Security that has been duly authenticated and delivered by the Trustee.</w:t>
      </w:r>
    </w:p>
    <w:p>
      <w:pPr>
        <w:spacing w:after="0" w:line="165"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In case any officer of the Issuer who shall have signed any of the Securities shall cease to be such officer before the Security so signed shall be authenticated and delivered by the Trustee or disposed of by the Issuer, such Security nevertheless may be authenticated and delivered or disposed of as though the person who signed such Security had not ceased to be such officer of the Issuer; and any Security may be signed on behalf of the Issuer by such persons as, at the actual date of the execution of such Security, shall be the proper officers of the Issuer, although</w:t>
      </w:r>
    </w:p>
    <w:p>
      <w:pPr>
        <w:spacing w:after="0" w:line="33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39"/>
          </w:cols>
          <w:pgMar w:left="220" w:top="792" w:right="1440" w:bottom="1440" w:gutter="0" w:footer="0" w:header="0"/>
        </w:sectPr>
      </w:pPr>
    </w:p>
    <w:bookmarkStart w:id="91" w:name="page92"/>
    <w:bookmarkEnd w:id="91"/>
    <w:p>
      <w:pPr>
        <w:ind w:right="3319"/>
        <w:spacing w:after="0" w:line="234" w:lineRule="auto"/>
        <w:rPr>
          <w:sz w:val="20"/>
          <w:szCs w:val="20"/>
          <w:color w:val="auto"/>
        </w:rPr>
      </w:pPr>
      <w:r>
        <w:rPr>
          <w:rFonts w:ascii="Courier New" w:cs="Courier New" w:eastAsia="Courier New" w:hAnsi="Courier New"/>
          <w:sz w:val="15"/>
          <w:szCs w:val="15"/>
          <w:color w:val="auto"/>
        </w:rPr>
        <w:t>at the date of the execution and delivery of this Indenture any such person was not such an officer.</w:t>
      </w:r>
    </w:p>
    <w:p>
      <w:pPr>
        <w:spacing w:after="0" w:line="173"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Section 2.06. Certificate of Authentication. Only such Securities as shall bear thereon a certificate of authentication substantially in the form hereinbefore recited, executed by the Trustee by the manual signature of one of its authorized signatories, shall be entitled to the benefits of this Indenture or be valid or obligatory for any purpose. Such certificate by the Trustee upon any Security executed by the Issuer shall be conclusive evidence that the Security so authenticated has been duly authenticated and delivered hereunder and that the holder is entitled to the benefits of this Indenture.</w:t>
      </w:r>
    </w:p>
    <w:p>
      <w:pPr>
        <w:spacing w:after="0" w:line="166"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Section 2.07. Denomination and Date of Securities; Payments of Interest. The Securities shall be issuable as registered securities without coupons and in denominations as shall be specified as contemplated by Section 2.03. In the absence of any such specification with respect to the Securities of any series, the Securities of such series shall be issuable in denominations of $1,000 and any multiple thereof. The Securities shall be numbered, lettered, or otherwise distinguished in such manner or in accordance with such plan as the officers of the Issuer executing the same may determine as evidenced by the execution and authentication thereof.</w:t>
      </w:r>
    </w:p>
    <w:p>
      <w:pPr>
        <w:spacing w:after="0" w:line="178"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Each Security shall be dated the date of its authentication, shall bear interest, if any, from the date and shall be payable on the dates, in each case, which shall be specified as contemplated by Section 2.03.</w:t>
      </w:r>
    </w:p>
    <w:p>
      <w:pPr>
        <w:spacing w:after="0" w:line="174"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The person in whose name any Security of any series is registered at the close of business on any record date applicable to a particular series with respect to any interest payment date for such series shall be entitled to receive the interest, if any, payable on such interest payment date notwithstanding any transfer or exchange of such Security subsequent to the record date and prior to such interest payment date, except if and to the extent the Issuer shall default in the payment of the interest due on such interest payment date for such series, in which case such defaulted interest shall be paid to the persons in whose names Outstanding Securities for such series are registered at the close of business on a subsequent record date (which shall be not less than five Business Days prior to the date of payment of such defaulted interest) established by notice given by mail by or on behalf of the Issuer to the holders of Securities not less than 15 days preceding such subsequent record date. The term "record date" as used with respect to any interest payment date (except a date for payment of defaulted interest) shall mean the date specified as such in the terms of the Securities of any particular series, or, if no such date is so specified, if such interest payment date is the first day of a calendar month, the fifteenth day of the next preceding calendar month or, if such interest payment date is the fifteenth day of a calendar month, the first day of such calendar month, whether or not such record date is a Business Day.</w:t>
      </w:r>
    </w:p>
    <w:p>
      <w:pPr>
        <w:spacing w:after="0" w:line="175"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Section 2.08. Registration, Transfer and Exchange. The Issuer will keep or cause to be kept at each office or agency to be maintained for the purpose as provided in Section 3.02 a register or registers in which, subject to such reasonable regulations as it may prescribe, it will register, and will register the transfer of, Securities as in this Article provided. Such register shall be in written form in the English language or in any other form capable of being converted into such form within a reasonable time. At all reasonable times such register or registers shall be open for inspection by the Trustee.</w:t>
      </w:r>
    </w:p>
    <w:p>
      <w:pPr>
        <w:spacing w:after="0" w:line="32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39"/>
          </w:cols>
          <w:pgMar w:left="220" w:top="792" w:right="1440" w:bottom="1440" w:gutter="0" w:footer="0" w:header="0"/>
        </w:sectPr>
      </w:pPr>
    </w:p>
    <w:bookmarkStart w:id="92" w:name="page93"/>
    <w:bookmarkEnd w:id="92"/>
    <w:p>
      <w:pPr>
        <w:ind w:right="3239" w:firstLine="437"/>
        <w:spacing w:after="0" w:line="254" w:lineRule="auto"/>
        <w:rPr>
          <w:sz w:val="20"/>
          <w:szCs w:val="20"/>
          <w:color w:val="auto"/>
        </w:rPr>
      </w:pPr>
      <w:r>
        <w:rPr>
          <w:rFonts w:ascii="Courier New" w:cs="Courier New" w:eastAsia="Courier New" w:hAnsi="Courier New"/>
          <w:sz w:val="14"/>
          <w:szCs w:val="14"/>
          <w:color w:val="auto"/>
        </w:rPr>
        <w:t>At the option of the Holder thereof, Registered Securities of any series (other than a Registered Global Security, except as set forth below) may be exchanged for a Registered Security or Registered Securities of such series and tenor having authorized denominations and an equal aggregate principal amount, upon surrender of such Registered Securities to be exchanged at the agency of the Issuer that shall be maintained for such purpose in accordance with Section 3.02 and upon payment, if the Issuer shall so require, of the charges hereinafter provided. If the Securities of any series are issued in both registered and unregistered form, except as otherwise established pursuant to Section 2.03, at the option of the Holder thereof, Unregistered Securities of any series may be exchanged for Registered Securities of such series and tenor having authorized denominations and an equal aggregate principal amount, upon surrender of such Unregistered Securities to be exchanged at the agency of the Issuer that shall be maintained for such purpose in accordance with Section 3.02 and upon payment, if the Issuer shall so require, of the charges hereinafter provided. At the option of the Holder thereof, if Unregistered Securities of any series, maturity date, interest rate and original issue date are issued in more than one authorized denomination, except as otherwise established pursuant to Section 2.03, such Unregistered Securities may be exchanged for Unregistered Securities of such series and tenor having authorized denominations and an equal aggregate principal amount, upon surrender of such Unregistered Securities to be exchanged at the agency of the Issuer that shall be maintained for such purpose in accordance with Section 3.02 and upon payment, if the Issuer shall so require, of the charges hereinafter provided. Registered Securities of any series may not be exchanged for Unregistered Securities of such series. Whenever any Securities are so surrendered for exchange, the Issuer shall execute, and the Trustee shall authenticate and make available for delivery, the Securities which the Holder making the exchange is entitled to receive.</w:t>
      </w:r>
    </w:p>
    <w:p>
      <w:pPr>
        <w:spacing w:after="0" w:line="346"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All Registered Securities presented for registration of transfer, exchange, redemption, conversion or payment shall be duly endorsed by, or be accompanied by a written instrument or instruments of transfer in form satisfactory to the Issuer and the Trustee duly executed by, the holder or his attorney duly authorized in writing.</w:t>
      </w:r>
    </w:p>
    <w:p>
      <w:pPr>
        <w:spacing w:after="0" w:line="174"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The Issuer may require payment of a sum sufficient to cover any tax or other governmental charge that may be imposed in connection with any exchange or registration of transfer of Securities. No service charge shall be made for any such transaction.</w:t>
      </w:r>
    </w:p>
    <w:p>
      <w:pPr>
        <w:spacing w:after="0" w:line="175"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Notwithstanding any other provision of this Section 2.08, unless and until it is exchanged in whole or in part for Securities in definitive registered form, a Registered Global Security representing all or a portion of the Securities of a series may not be transferred except as a whole by the Depositary for such series to a nominee of such Depositary or by a nominee of such Depositary to such Depositary or another nominee of such Depositary or by such Depositary or any such nominee to a successor Depositary for such series or a nominee of such successor Depositary.</w:t>
      </w:r>
    </w:p>
    <w:p>
      <w:pPr>
        <w:spacing w:after="0" w:line="177" w:lineRule="exact"/>
        <w:rPr>
          <w:sz w:val="20"/>
          <w:szCs w:val="20"/>
          <w:color w:val="auto"/>
        </w:rPr>
      </w:pPr>
    </w:p>
    <w:p>
      <w:pPr>
        <w:ind w:right="3399" w:firstLine="437"/>
        <w:spacing w:after="0" w:line="255" w:lineRule="auto"/>
        <w:rPr>
          <w:sz w:val="20"/>
          <w:szCs w:val="20"/>
          <w:color w:val="auto"/>
        </w:rPr>
      </w:pPr>
      <w:r>
        <w:rPr>
          <w:rFonts w:ascii="Courier New" w:cs="Courier New" w:eastAsia="Courier New" w:hAnsi="Courier New"/>
          <w:sz w:val="14"/>
          <w:szCs w:val="14"/>
          <w:color w:val="auto"/>
        </w:rPr>
        <w:t>If at any time the Depositary for any Registered Global Securities of any series notifies the Issuer that it is unwilling or unable to continue as Depositary for such Registered Global Securities or if at any time the Depositary for such Registered Global Securities shall no longer be eligible under applicable law, the Issuer shall appoint a successor Depositary eligible under applicable law with respect to such Registered Global Securities. If a successor Depositary eligible under applicable law for such Registered Global Securities is not appointed by the Issuer within 90 days after the Issuer receives such notice or becomes aware of such ineligibility, the</w:t>
      </w:r>
    </w:p>
    <w:p>
      <w:pPr>
        <w:spacing w:after="0" w:line="32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39"/>
          </w:cols>
          <w:pgMar w:left="220" w:top="792" w:right="1440" w:bottom="1440" w:gutter="0" w:footer="0" w:header="0"/>
        </w:sectPr>
      </w:pPr>
    </w:p>
    <w:bookmarkStart w:id="93" w:name="page94"/>
    <w:bookmarkEnd w:id="93"/>
    <w:p>
      <w:pPr>
        <w:ind w:right="3239"/>
        <w:spacing w:after="0" w:line="255" w:lineRule="auto"/>
        <w:rPr>
          <w:sz w:val="20"/>
          <w:szCs w:val="20"/>
          <w:color w:val="auto"/>
        </w:rPr>
      </w:pPr>
      <w:r>
        <w:rPr>
          <w:rFonts w:ascii="Courier New" w:cs="Courier New" w:eastAsia="Courier New" w:hAnsi="Courier New"/>
          <w:sz w:val="14"/>
          <w:szCs w:val="14"/>
          <w:color w:val="auto"/>
        </w:rPr>
        <w:t>Issuer will execute, and the Trustee, upon receipt of the Issuer's order for the authentication and delivery of definitive Registered Securities of such series and tenor, will authenticate and make available for delivery Registered Securities of such series and tenor, in any authorized denominations, in an aggregate principal amount equal to the principal amount of such Registered Global Securities, in exchange for such Registered Global Securities.</w:t>
      </w:r>
    </w:p>
    <w:p>
      <w:pPr>
        <w:spacing w:after="0" w:line="166"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The Issuer may at any time and in its sole discretion determine that any Registered Global Securities of any series shall no longer be maintained in global form. In such event, or in the event that there shall have occurred and be continuing an Event of Default with respect to a series of Securities, the Issuer will, upon the request of any Holder, execute, and the Trustee, upon receipt of the Issuer's order for the authentication and delivery of definitive Registered Securities of such series and tenor, will authenticate and make available for delivery, Registered Securities of such series and tenor in any authorized denominations, in an aggregate principal amount equal to the principal amount of such Registered Global Securities, in exchange for such Registered Global Securities.</w:t>
      </w:r>
    </w:p>
    <w:p>
      <w:pPr>
        <w:spacing w:after="0" w:line="180" w:lineRule="exact"/>
        <w:rPr>
          <w:sz w:val="20"/>
          <w:szCs w:val="20"/>
          <w:color w:val="auto"/>
        </w:rPr>
      </w:pPr>
    </w:p>
    <w:p>
      <w:pPr>
        <w:ind w:right="3579" w:firstLine="437"/>
        <w:spacing w:after="0" w:line="255" w:lineRule="auto"/>
        <w:rPr>
          <w:sz w:val="20"/>
          <w:szCs w:val="20"/>
          <w:color w:val="auto"/>
        </w:rPr>
      </w:pPr>
      <w:r>
        <w:rPr>
          <w:rFonts w:ascii="Courier New" w:cs="Courier New" w:eastAsia="Courier New" w:hAnsi="Courier New"/>
          <w:sz w:val="14"/>
          <w:szCs w:val="14"/>
          <w:color w:val="auto"/>
        </w:rPr>
        <w:t>Any time the Registered Securities of any series are not in the form of Registered Global Securities pursuant to the preceding two paragraphs, the Issuer agrees to supply the Trustee with a reasonable supply of certificated Registered Securities without the legend required by Section 2.04 and the Trustee agrees to hold such Registered Securities in safekeeping until authenticated and delivered pursuant to the terms of this Indenture.</w:t>
      </w:r>
    </w:p>
    <w:p>
      <w:pPr>
        <w:spacing w:after="0" w:line="166"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If established by the Issuer pursuant to Section 2.03 with respect to any Registered Global Security, the Depositary for such Registered Global Security may surrender such Registered Global Security in exchange in whole or in part for Registered Securities of the same series and tenor in definitive registered form on such terms as are acceptable to the Issuer and such Depositary. Thereupon, the Issuer shall execute, and the Trustee shall authenticate and make available for delivery, without service charge,</w:t>
      </w:r>
    </w:p>
    <w:p>
      <w:pPr>
        <w:spacing w:after="0" w:line="169" w:lineRule="exact"/>
        <w:rPr>
          <w:sz w:val="20"/>
          <w:szCs w:val="20"/>
          <w:color w:val="auto"/>
        </w:rPr>
      </w:pPr>
    </w:p>
    <w:p>
      <w:pPr>
        <w:ind w:left="1240" w:hanging="356"/>
        <w:spacing w:after="0"/>
        <w:tabs>
          <w:tab w:leader="none" w:pos="1240" w:val="left"/>
        </w:tabs>
        <w:numPr>
          <w:ilvl w:val="0"/>
          <w:numId w:val="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the Person specified by such Depositary new Registered</w:t>
      </w:r>
    </w:p>
    <w:p>
      <w:pPr>
        <w:spacing w:after="0" w:line="4" w:lineRule="exact"/>
        <w:rPr>
          <w:rFonts w:ascii="Courier New" w:cs="Courier New" w:eastAsia="Courier New" w:hAnsi="Courier New"/>
          <w:sz w:val="15"/>
          <w:szCs w:val="15"/>
          <w:color w:val="auto"/>
        </w:rPr>
      </w:pPr>
    </w:p>
    <w:p>
      <w:pPr>
        <w:ind w:left="440" w:right="3239"/>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Securities of the same series and tenor, of any authorized denominations as requested by such Person, in an aggregate principal amount equal to and in exchange for such Person's beneficial interest in the Registered Global Security; and</w:t>
      </w:r>
    </w:p>
    <w:p>
      <w:pPr>
        <w:spacing w:after="0" w:line="175" w:lineRule="exact"/>
        <w:rPr>
          <w:rFonts w:ascii="Courier New" w:cs="Courier New" w:eastAsia="Courier New" w:hAnsi="Courier New"/>
          <w:sz w:val="15"/>
          <w:szCs w:val="15"/>
          <w:color w:val="auto"/>
        </w:rPr>
      </w:pPr>
    </w:p>
    <w:p>
      <w:pPr>
        <w:ind w:left="440" w:right="3319" w:firstLine="444"/>
        <w:spacing w:after="0" w:line="236" w:lineRule="auto"/>
        <w:tabs>
          <w:tab w:leader="none" w:pos="1315" w:val="left"/>
        </w:tabs>
        <w:numPr>
          <w:ilvl w:val="0"/>
          <w:numId w:val="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such Depositary a new Registered Global Security in a denomination equal to the difference, if any, between the principal amount of the surrendered Registered Global Security and the aggregate principal amount of Registered Securities authenticated and delivered pursuant to clause (i) above.</w:t>
      </w:r>
    </w:p>
    <w:p>
      <w:pPr>
        <w:spacing w:after="0" w:line="174"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Registered Securities issued in exchange for a Registered Global Security pursuant to this Section 2.08 shall be registered in such names and in such authorized denominations as the Depositary for such Registered Global Security, pursuant to instructions from its direct or indirect participants or otherwise, shall instruct the Trustee or an agent of the Issuer or the Trustee. The Trustee or such agent shall deliver such Securities to or as directed by the Persons in whose names such Securities are so registered.</w:t>
      </w:r>
    </w:p>
    <w:p>
      <w:pPr>
        <w:spacing w:after="0" w:line="33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39"/>
          </w:cols>
          <w:pgMar w:left="220" w:top="792" w:right="1440" w:bottom="1440" w:gutter="0" w:footer="0" w:header="0"/>
        </w:sectPr>
      </w:pPr>
    </w:p>
    <w:bookmarkStart w:id="94" w:name="page95"/>
    <w:bookmarkEnd w:id="94"/>
    <w:p>
      <w:pPr>
        <w:ind w:right="3319" w:firstLine="437"/>
        <w:spacing w:after="0" w:line="235" w:lineRule="auto"/>
        <w:rPr>
          <w:sz w:val="20"/>
          <w:szCs w:val="20"/>
          <w:color w:val="auto"/>
        </w:rPr>
      </w:pPr>
      <w:r>
        <w:rPr>
          <w:rFonts w:ascii="Courier New" w:cs="Courier New" w:eastAsia="Courier New" w:hAnsi="Courier New"/>
          <w:sz w:val="15"/>
          <w:szCs w:val="15"/>
          <w:color w:val="auto"/>
        </w:rPr>
        <w:t>All Securities issued upon any transfer or exchange of Securities shall be valid obligations of the Issuer, evidencing the same debt, and entitled to the same benefits under this Indenture, as the Securities surrendered upon such transfer or exchange.</w:t>
      </w:r>
    </w:p>
    <w:p>
      <w:pPr>
        <w:spacing w:after="0" w:line="175"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Notwithstanding anything herein or in the forms or terms of any Securities to the contrary, none of the Issuer, the Trustee or any agent of the Issuer or the Trustee shall be required to exchange any Unregistered Security for a Registered Security if such exchange would result in adverse Federal income tax consequences to the Issuer (such as, for example, the inability of the Issuer to deduct from its income, as computed for Federal income tax purposes, the interest payable on the Unregistered Securities) under then applicable United States Federal income tax laws. The Trustee and any such agent shall be entitled to rely on an Officers' Certificate or an Opinion of Counsel in determining such result.</w:t>
      </w:r>
    </w:p>
    <w:p>
      <w:pPr>
        <w:spacing w:after="0" w:line="179"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Neither the Registrar nor the Issuer shall be required (i) to issue, authenticate, register the transfer of or exchange Securities of any series for a period of 15 days before the mailing of a notice of redemption of such Securities to be redeemed or (ii) to register the transfer of or exchange any Security selected for redemption in whole or in part.</w:t>
      </w:r>
    </w:p>
    <w:p>
      <w:pPr>
        <w:spacing w:after="0" w:line="174"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Section 2.09. Mutilated, Defaced, Destroyed, Lost and Stolen Securities. In case any temporary or definitive Security shall become mutilated or defaced and shall be surrendered to the Trustee, the Issuer shall execute, and the Trustee shall authenticate and deliver, a new Security of the same series, bearing a number not contemporaneously outstanding, in exchange and substitution for the mutilated or defaced Security. If the Holder of any Security claims that the Security has been lost, destroyed or wrongfully taken, the Issuer shall execute, and the Trustee shall authenticate and deliver, a new Security of the same series, bearing a number not contemporaneously outstanding, in exchange and substitution for the lost, destroyed or wrongfully taken Security, if the applicant so requests before the Issuer has notice that the Security has been acquired by a protected purchaser, and the applicant furnishes to the Issuer and to the Trustee and any agent of the Issuer or the Trustee such security or indemnity as may be required by them to indemnify and defend and to save each of them harmless and the applicant satisfies other reasonable requirements imposed by the Issuer.</w:t>
      </w:r>
    </w:p>
    <w:p>
      <w:pPr>
        <w:spacing w:after="0" w:line="332"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Upon the issuance of any substitute Security, the Issuer may require the payment of a sum sufficient to cover any tax or other governmental charge that may be imposed in relation thereto and any other expenses (including the fees and expenses of the Trustee and its counsel) connected therewith. In case any Security which has matured or is about to mature or has been called for redemption in full shall become mutilated or defaced or be destroyed, lost or stolen, the Issuer may instead of issuing a substitute Security, pay or authorize the payment of the same (without surrender thereof except in the case of a mutilated or defaced Security), if the applicant for such payment shall furnish to the Issuer and to the Trustee and any agent of the Issuer or the Trustee such security or indemnity as any of them may require to save each of them harmless, and, in every case of destruction, loss or wrongful taking, the applicant shall also furnish to the Issuer and the Trustee and any agent of the Issuer or the Trustee evidence to their satisfaction of the destruction, loss or wrongful taking of such Security and of the ownership thereof.</w:t>
      </w:r>
    </w:p>
    <w:p>
      <w:pPr>
        <w:spacing w:after="0" w:line="163" w:lineRule="exact"/>
        <w:rPr>
          <w:sz w:val="20"/>
          <w:szCs w:val="20"/>
          <w:color w:val="auto"/>
        </w:rPr>
      </w:pPr>
    </w:p>
    <w:p>
      <w:pPr>
        <w:jc w:val="both"/>
        <w:ind w:right="3319" w:firstLine="437"/>
        <w:spacing w:after="0" w:line="256" w:lineRule="auto"/>
        <w:rPr>
          <w:sz w:val="20"/>
          <w:szCs w:val="20"/>
          <w:color w:val="auto"/>
        </w:rPr>
      </w:pPr>
      <w:r>
        <w:rPr>
          <w:rFonts w:ascii="Courier New" w:cs="Courier New" w:eastAsia="Courier New" w:hAnsi="Courier New"/>
          <w:sz w:val="14"/>
          <w:szCs w:val="14"/>
          <w:color w:val="auto"/>
        </w:rPr>
        <w:t>Every substitute Security of any series issued pursuant to the provisions of this section by virtue of the fact that any such Security is destroyed, lost or stolen shall constitute an additional contractual obligation of the Issuer, whether or not the destroyed, lost or wrongfully taken</w:t>
      </w:r>
    </w:p>
    <w:p>
      <w:pPr>
        <w:spacing w:after="0" w:line="32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39"/>
          </w:cols>
          <w:pgMar w:left="220" w:top="792" w:right="1440" w:bottom="1440" w:gutter="0" w:footer="0" w:header="0"/>
        </w:sectPr>
      </w:pPr>
    </w:p>
    <w:bookmarkStart w:id="95" w:name="page96"/>
    <w:bookmarkEnd w:id="95"/>
    <w:p>
      <w:pPr>
        <w:ind w:right="3239"/>
        <w:spacing w:after="0" w:line="255" w:lineRule="auto"/>
        <w:rPr>
          <w:sz w:val="20"/>
          <w:szCs w:val="20"/>
          <w:color w:val="auto"/>
        </w:rPr>
      </w:pPr>
      <w:r>
        <w:rPr>
          <w:rFonts w:ascii="Courier New" w:cs="Courier New" w:eastAsia="Courier New" w:hAnsi="Courier New"/>
          <w:sz w:val="14"/>
          <w:szCs w:val="14"/>
          <w:color w:val="auto"/>
        </w:rPr>
        <w:t>Security shall be at any time enforceable by anyone and shall be entitled to all the benefits of (but shall be subject to all the limitations of rights set forth in) this Indenture equally and proportionately with any and all other Securities of such series duly authenticated and delivered hereunder. All Securities shall be held and owned upon the express condition that, to the extent permitted by law, the foregoing provisions are exclusive with respect to the replacement or payment of mutilated, defaced or destroyed, lost or wrongfully taken Securities and shall preclude any and all other rights or remedies.</w:t>
      </w:r>
    </w:p>
    <w:p>
      <w:pPr>
        <w:spacing w:after="0" w:line="166"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Section 2.10. Cancellation of Securities; Destruction Thereof. All Securities surrendered for payment, redemption, conversion, registration of transfer or exchange, or for credit against any payment in respect of a sinking or analogous fund, if surrendered to the Issuer or any agent of the Issuer or the Trustee, shall be delivered to the Trustee for cancellation or, if surrendered to the Trustee, shall be canceled by it; and no Securities shall be issued in lieu thereof except as expressly permitted by any of the provisions of this Indenture. The Trustee shall dispose of canceled Securities held by it in accordance with the record retention policies of the Trustee in effect from time to time and, if such canceled certificates are destroyed, shall deliver a certificate of destruction to the Issuer. If the Issuer shall acquire any of the Securities, such acquisition shall not operate as a redemption or satisfaction of the indebtedness represented by such Securities unless and until the same are delivered to the Trustee for cancellation.</w:t>
      </w:r>
    </w:p>
    <w:p>
      <w:pPr>
        <w:spacing w:after="0" w:line="332"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Section 2.11. Temporary Securities. Pending the preparation of definitive Securities for any series, the Issuer may execute and the Trustee shall authenticate and deliver temporary Securities for such series (printed, lithographed, typewritten or otherwise reproduced, in each case in form satisfactory to the Trustee). Temporary Securities of any series shall be issuable as registered Securities without coupons, of any authorized denomination, and substantially in the form of the definitive Securities of such series but with such omissions, insertions and variations as may be appropriate for temporary Securities, all as may be determined by the Issuer with the concurrence of the Trustee. Temporary Securities may contain such reference to any provisions of this Indenture as may be appropriate. Every temporary Security shall be executed by the Issuer and be authenticated by the Trustee upon the same conditions and in substantially the same manner, and with like effect, as the definitive Securities. Without unreasonable delay the Issuer shall execute and shall furnish definitive Securities of such series and thereupon temporary Securities of such series may be surrendered in exchange therefor without charge at each office or agency to be maintained by the Issuer for that purpose pursuant to Section 3.02, and the Trustee shall authenticate and deliver in exchange for such temporary Securities of such series a like aggregate principal amount of definitive Securities of the same series of authorized denominations. Until so exchanged, the temporary Securities of any series shall be entitled to the same benefits under this Indenture as definitive Securities of such series.</w:t>
      </w:r>
    </w:p>
    <w:p>
      <w:pPr>
        <w:spacing w:after="0" w:line="176"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Section 2.12. Computation of Interest. Except as otherwise specified in the Securities of a series, interest shall be computed on the basis of a 360-day year of twelve 30-day months.</w:t>
      </w:r>
    </w:p>
    <w:p>
      <w:pPr>
        <w:spacing w:after="0" w:line="174"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Section 2.13. CUSIP Numbers. The Issuer in issuing the Securities may use "CUSIP" numbers (if then generally in use), and, if so, the Trustee shall use "CUSIP" numbers in notices of redemption as a convenience to Holders; provided that any such notice may state that no representation is made as to the correctness of such numbers either as printed on the Securities or as contained in any notice of a redemption and that reliance may be placed only on the other identification numbers printed on the Securities, and any such redemption shall not be affected</w:t>
      </w:r>
    </w:p>
    <w:p>
      <w:pPr>
        <w:spacing w:after="0" w:line="33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39"/>
          </w:cols>
          <w:pgMar w:left="220" w:top="792" w:right="1440" w:bottom="1440" w:gutter="0" w:footer="0" w:header="0"/>
        </w:sectPr>
      </w:pPr>
    </w:p>
    <w:bookmarkStart w:id="96" w:name="page97"/>
    <w:bookmarkEnd w:id="96"/>
    <w:p>
      <w:pPr>
        <w:ind w:right="3239"/>
        <w:spacing w:after="0" w:line="234" w:lineRule="auto"/>
        <w:rPr>
          <w:sz w:val="20"/>
          <w:szCs w:val="20"/>
          <w:color w:val="auto"/>
        </w:rPr>
      </w:pPr>
      <w:r>
        <w:rPr>
          <w:rFonts w:ascii="Courier New" w:cs="Courier New" w:eastAsia="Courier New" w:hAnsi="Courier New"/>
          <w:sz w:val="15"/>
          <w:szCs w:val="15"/>
          <w:color w:val="auto"/>
        </w:rPr>
        <w:t>by any defect in or omission of such numbers. The Issuer will notify the Trustee of any change in the "CUSIP" numbers.</w:t>
      </w:r>
    </w:p>
    <w:p>
      <w:pPr>
        <w:spacing w:after="0" w:line="335"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Article 3</w:t>
      </w:r>
    </w:p>
    <w:p>
      <w:pPr>
        <w:jc w:val="center"/>
        <w:ind w:right="3139"/>
        <w:spacing w:after="0" w:line="237" w:lineRule="auto"/>
        <w:rPr>
          <w:sz w:val="20"/>
          <w:szCs w:val="20"/>
          <w:color w:val="auto"/>
        </w:rPr>
      </w:pPr>
      <w:r>
        <w:rPr>
          <w:rFonts w:ascii="Courier New" w:cs="Courier New" w:eastAsia="Courier New" w:hAnsi="Courier New"/>
          <w:sz w:val="15"/>
          <w:szCs w:val="15"/>
          <w:color w:val="auto"/>
        </w:rPr>
        <w:t>COVENANTS OF THE ISSUER, THE CABLE GUARANTORS AND THE TRUSTEE</w:t>
      </w:r>
    </w:p>
    <w:p>
      <w:pPr>
        <w:spacing w:after="0" w:line="173" w:lineRule="exact"/>
        <w:rPr>
          <w:sz w:val="20"/>
          <w:szCs w:val="20"/>
          <w:color w:val="auto"/>
        </w:rPr>
      </w:pPr>
    </w:p>
    <w:p>
      <w:pPr>
        <w:ind w:right="3399" w:firstLine="437"/>
        <w:spacing w:after="0" w:line="255" w:lineRule="auto"/>
        <w:rPr>
          <w:sz w:val="20"/>
          <w:szCs w:val="20"/>
          <w:color w:val="auto"/>
        </w:rPr>
      </w:pPr>
      <w:r>
        <w:rPr>
          <w:rFonts w:ascii="Courier New" w:cs="Courier New" w:eastAsia="Courier New" w:hAnsi="Courier New"/>
          <w:sz w:val="14"/>
          <w:szCs w:val="14"/>
          <w:color w:val="auto"/>
        </w:rPr>
        <w:t>Section 3.01. Payment of Principal and Interest. The Issuer covenants and agrees for the benefit of each series of Securities that it will duly and punctually pay or cause to be paid the principal of, and interest on, each of the Securities of such series at the place or places, at the respective times and in the manner provided in such Securities. Each installment of interest on the Securities of any series may be paid by mailing checks for such interest payable to or upon the written order of the holders of Securities entitled thereto as they shall appear on the registry books of the Issuer.</w:t>
      </w:r>
    </w:p>
    <w:p>
      <w:pPr>
        <w:spacing w:after="0" w:line="166"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Notwithstanding any provisions of this Indenture and the Securities of any series to the contrary, if the Issuer and a Holder of any Registered Security so agree or if expressly provided pursuant to Section 2.03, payments of interest on, and any portion of the Principal of, such Holder's Registered Security (other than interest payable at maturity or on any redemption or repayment date or the final payment of Principal on such Security) shall be made by the paying agent, upon receipt from the Issuer of immediately available funds by 11:00 a.m., New York City time (or such other time as may be agreed to between the Issuer and the paying agent) or the Issuer, directly to the Holder of such Security (by wire transfer of Federal funds or immediately available funds or otherwise) if the Holder has delivered written instructions to the Trustee 15 days prior to such payment date requesting that such payment will be so made and designating the bank account to which such payments shall be so made and, in the case of payments of Principal, surrenders the same to the Trustee in exchange for a Security or Securities aggregating the same principal amount as the unredeemed principal amount of the Securities surrendered. The Trustee shall be entitled to rely on the last instruction delivered by the Holder pursuant to this Section 3.01 unless a new instruction is delivered 15 days prior to a payment date. The Issuer will indemnify and hold each of the Trustee and any paying agent harmless against any loss, liability or expense (including attorneys' fees and expenses) resulting from any act or omission to act on the part of the Issuer or any such Holder in connection with any such agreement or from making any payment in accordance with any such agreement.</w:t>
      </w:r>
    </w:p>
    <w:p>
      <w:pPr>
        <w:spacing w:after="0" w:line="176"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Section 3.02. Offices for Payments, etc. So long as any of the Securities remain outstanding, the Issuer will maintain in the Borough of Manhattan, The City of New York an office or agency Error! Bookmark not defined. where the Securities may be presented for payment, Error! Bookmark not defined. where the Securities may be presented for registration of transfer and for exchange as in this Indenture provided, Error! Bookmark not defined. where notices and demands to or upon the Issuer in respect of the Securities or of this Indenture may be served and Error! Bookmark not defined. for Securities of each series that is convertible, where such Securities may be presented for conversion. The Issuer will give to the Trustee written notice of the location of any such office or agency and of any change of location thereof. Unless otherwise specified in accordance with Section 2.03, the Issuer hereby initially designates the Corporate Trust Office of Trustee as the office to be maintained by it for each such purpose. In case the Issuer shall fail to so designate or maintain any such office or agency or shall fail to give such notice of the location</w:t>
      </w:r>
    </w:p>
    <w:p>
      <w:pPr>
        <w:spacing w:after="0" w:line="32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39"/>
          </w:cols>
          <w:pgMar w:left="220" w:top="792" w:right="1440" w:bottom="1440" w:gutter="0" w:footer="0" w:header="0"/>
        </w:sectPr>
      </w:pPr>
    </w:p>
    <w:bookmarkStart w:id="97" w:name="page98"/>
    <w:bookmarkEnd w:id="97"/>
    <w:p>
      <w:pPr>
        <w:ind w:right="3319"/>
        <w:spacing w:after="0" w:line="234" w:lineRule="auto"/>
        <w:rPr>
          <w:sz w:val="20"/>
          <w:szCs w:val="20"/>
          <w:color w:val="auto"/>
        </w:rPr>
      </w:pPr>
      <w:r>
        <w:rPr>
          <w:rFonts w:ascii="Courier New" w:cs="Courier New" w:eastAsia="Courier New" w:hAnsi="Courier New"/>
          <w:sz w:val="15"/>
          <w:szCs w:val="15"/>
          <w:color w:val="auto"/>
        </w:rPr>
        <w:t>or of any change in the location thereof, presentations and demands may be made and notices may be served at the Corporate Trust Office.</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Section 3.03. Paying Agents. Whenever the Issuer shall appoint a paying agent other than the Trustee with respect to the Securities of any series, it will cause such paying agent to execute and deliver to the Trustee an instrument in which such agent shall agree with the Trustee, subject to the provisions of this Section,</w:t>
      </w:r>
    </w:p>
    <w:p>
      <w:pPr>
        <w:spacing w:after="0" w:line="174" w:lineRule="exact"/>
        <w:rPr>
          <w:sz w:val="20"/>
          <w:szCs w:val="20"/>
          <w:color w:val="auto"/>
        </w:rPr>
      </w:pPr>
    </w:p>
    <w:p>
      <w:pPr>
        <w:ind w:right="3239" w:firstLine="447"/>
        <w:spacing w:after="0" w:line="236" w:lineRule="auto"/>
        <w:tabs>
          <w:tab w:leader="none" w:pos="787" w:val="left"/>
        </w:tabs>
        <w:numPr>
          <w:ilvl w:val="0"/>
          <w:numId w:val="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that it will hold all sums received by it as such agent for the payment of the principal of or interest on the Securities of such series (whether such sums have been paid to it by the Issuer or by any other obligor on the Securities of such series) in trust for the benefit of the holders of the Securities of such series or of the Trustee,</w:t>
      </w:r>
    </w:p>
    <w:p>
      <w:pPr>
        <w:spacing w:after="0" w:line="173" w:lineRule="exact"/>
        <w:rPr>
          <w:rFonts w:ascii="Courier New" w:cs="Courier New" w:eastAsia="Courier New" w:hAnsi="Courier New"/>
          <w:sz w:val="15"/>
          <w:szCs w:val="15"/>
          <w:color w:val="auto"/>
        </w:rPr>
      </w:pPr>
    </w:p>
    <w:p>
      <w:pPr>
        <w:ind w:right="3399" w:firstLine="447"/>
        <w:spacing w:after="0" w:line="235" w:lineRule="auto"/>
        <w:tabs>
          <w:tab w:leader="none" w:pos="787" w:val="left"/>
        </w:tabs>
        <w:numPr>
          <w:ilvl w:val="0"/>
          <w:numId w:val="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that it will give the Trustee notice of any failure by the Issuer (or by any other obligor on the Securities of such series) to make any payment of the principal of or interest on the Securities of such series when the same shall be due and payable, and</w:t>
      </w:r>
    </w:p>
    <w:p>
      <w:pPr>
        <w:spacing w:after="0" w:line="175" w:lineRule="exact"/>
        <w:rPr>
          <w:rFonts w:ascii="Courier New" w:cs="Courier New" w:eastAsia="Courier New" w:hAnsi="Courier New"/>
          <w:sz w:val="15"/>
          <w:szCs w:val="15"/>
          <w:color w:val="auto"/>
        </w:rPr>
      </w:pPr>
    </w:p>
    <w:p>
      <w:pPr>
        <w:ind w:right="3499" w:firstLine="447"/>
        <w:spacing w:after="0" w:line="235" w:lineRule="auto"/>
        <w:tabs>
          <w:tab w:leader="none" w:pos="787" w:val="left"/>
        </w:tabs>
        <w:numPr>
          <w:ilvl w:val="0"/>
          <w:numId w:val="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that it will pay any such sums so held in trust by it to the Trustee upon the Trustee's written request at any time during the continuance of the failure referred to in clause 3.03(b) above.</w:t>
      </w:r>
    </w:p>
    <w:p>
      <w:pPr>
        <w:spacing w:after="0" w:line="174"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The Issuer will, on or prior to each due date of the principal of or interest on the Securities of such series, deposit with the paying agent a sum sufficient to pay such principal or interest so becoming due, and (unless such paying agent is the Trustee) the Issuer will promptly notify the Trustee of any failure to take such action.</w:t>
      </w:r>
    </w:p>
    <w:p>
      <w:pPr>
        <w:spacing w:after="0" w:line="174" w:lineRule="exact"/>
        <w:rPr>
          <w:sz w:val="20"/>
          <w:szCs w:val="20"/>
          <w:color w:val="auto"/>
        </w:rPr>
      </w:pPr>
    </w:p>
    <w:p>
      <w:pPr>
        <w:ind w:right="3399" w:firstLine="437"/>
        <w:spacing w:after="0" w:line="255" w:lineRule="auto"/>
        <w:rPr>
          <w:sz w:val="20"/>
          <w:szCs w:val="20"/>
          <w:color w:val="auto"/>
        </w:rPr>
      </w:pPr>
      <w:r>
        <w:rPr>
          <w:rFonts w:ascii="Courier New" w:cs="Courier New" w:eastAsia="Courier New" w:hAnsi="Courier New"/>
          <w:sz w:val="14"/>
          <w:szCs w:val="14"/>
          <w:color w:val="auto"/>
        </w:rPr>
        <w:t>If the Issuer shall act as its own paying agent with respect to the Securities of any Series, it will, on or before each due date of the principal of or interest on the Securities of such series, set aside, segregate and hold in trust for the benefit of the holders of the Securities of such series a sum sufficient to pay such principal or interest so becoming due. The Issuer will promptly notify the Trustee of any failure to take such action.</w:t>
      </w:r>
    </w:p>
    <w:p>
      <w:pPr>
        <w:spacing w:after="0" w:line="166"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Whenever the Issuer shall have one or more paying agents for any series of Securities, it will, on or before each due date of the principal of or interest on any Securities of such series, deposit with the paying agent or agents for the Securities of such series a sum, by 10:00 a.m. New York City time in immediately available funds on the payment date, sufficient to pay the principal or interest so becoming due with respect to the Securities of such series, and (unless such paying agent is the Trustee) the Issuer will promptly notify the Trustee in writing of any failure so to act.</w:t>
      </w:r>
    </w:p>
    <w:p>
      <w:pPr>
        <w:spacing w:after="0" w:line="177"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Anything in this section to the contrary notwithstanding, the Issuer may at any time, for the purpose of obtaining a satisfaction and discharge with respect to one or more or all series of Securities hereunder, or for any other reason, pay or cause to be paid to the Trustee all sums held in trust for any such series by the Issuer or any paying agent hereunder, as required by this Section, such sums to be held by the Trustee upon the trusts herein contained.</w:t>
      </w:r>
    </w:p>
    <w:p>
      <w:pPr>
        <w:spacing w:after="0" w:line="166" w:lineRule="exact"/>
        <w:rPr>
          <w:sz w:val="20"/>
          <w:szCs w:val="20"/>
          <w:color w:val="auto"/>
        </w:rPr>
      </w:pPr>
    </w:p>
    <w:p>
      <w:pPr>
        <w:ind w:right="3239" w:firstLine="787"/>
        <w:spacing w:after="0" w:line="235" w:lineRule="auto"/>
        <w:rPr>
          <w:sz w:val="20"/>
          <w:szCs w:val="20"/>
          <w:color w:val="auto"/>
        </w:rPr>
      </w:pPr>
      <w:r>
        <w:rPr>
          <w:rFonts w:ascii="Courier New" w:cs="Courier New" w:eastAsia="Courier New" w:hAnsi="Courier New"/>
          <w:sz w:val="15"/>
          <w:szCs w:val="15"/>
          <w:color w:val="auto"/>
        </w:rPr>
        <w:t>Anything in this section to the contrary notwithstanding, the agreement to hold sums in trust as provided in this section is subject to the provisions of Section 9.05.</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39"/>
          </w:cols>
          <w:pgMar w:left="220" w:top="792" w:right="1440" w:bottom="1440" w:gutter="0" w:footer="0" w:header="0"/>
        </w:sectPr>
      </w:pPr>
    </w:p>
    <w:bookmarkStart w:id="98" w:name="page99"/>
    <w:bookmarkEnd w:id="98"/>
    <w:p>
      <w:pPr>
        <w:ind w:right="3239" w:firstLine="437"/>
        <w:spacing w:after="0" w:line="236" w:lineRule="auto"/>
        <w:rPr>
          <w:sz w:val="20"/>
          <w:szCs w:val="20"/>
          <w:color w:val="auto"/>
        </w:rPr>
      </w:pPr>
      <w:r>
        <w:rPr>
          <w:rFonts w:ascii="Courier New" w:cs="Courier New" w:eastAsia="Courier New" w:hAnsi="Courier New"/>
          <w:sz w:val="15"/>
          <w:szCs w:val="15"/>
          <w:color w:val="auto"/>
        </w:rPr>
        <w:t>Section 3.04. Certificate of the Issuer. Within 120 days after the close of the fiscal year ended December 31, 2002, and within 120 days after the close of each fiscal year thereafter, the Issuer will furnish to the Trustee a brief certificate (which need not comply with Section 10.05) from the principal executive, financial or accounting officer of the Issuer as to his or her knowledge of the Issuer's compliance with all conditions and covenants under the Indenture (such compliance to be determined without regard to any period of grace or requirement of notice provided under the Indenture).</w:t>
      </w:r>
    </w:p>
    <w:p>
      <w:pPr>
        <w:spacing w:after="0" w:line="177"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At the time such certificate is filed, the Issuer will also file with the Trustee a letter or statement of the independent accountants who shall have certified the financial statements of the Issuer for its preceding fiscal year to the effect that, in making the examination necessary for certification of such financial statements, they have obtained no knowledge of any default by the Issuer in the performance or fulfillment of any covenant, agreement or condition contained in this Indenture, which default remains uncured at the date of such letter or statement, or, if they shall have obtained knowledge of any such uncured default, specifying in such letter or statement such default or defaults and the nature and status thereof, it being understood that such accountants shall not be liable directly or indirectly for failure to obtain knowledge of any such default or defaults, and that nothing contained in this Section 3.04 shall be construed to require such accountants to make any investigation beyond the scope required in connection with such examination.</w:t>
      </w:r>
    </w:p>
    <w:p>
      <w:pPr>
        <w:spacing w:after="0" w:line="164"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Section 3.05. Securityholders Lists. If and so long as the Trustee shall not be the Security registrar for the Securities of any series, the Issuer will furnish or cause to be furnished to the Trustee a list in such form as the Trustee may reasonably require of the names and addresses of the holders of the Securities of such series pursuant to Section 312 of the Trust Indenture Act of 1939 Error! Bookmark not defined. semi-annually not more than 10 days after each record date for the payment of interest on such Securities, as hereinabove specified, as of such record date and on dates to be determined pursuant to Section 2.03 for non-interest bearing Securities in each year, and Error! Bookmark not defined. at such other times as the Trustee may request in writing, within thirty days after receipt by the Issuer of any such request as of a date not more than 10 days prior to the time such information is furnished.</w:t>
      </w:r>
    </w:p>
    <w:p>
      <w:pPr>
        <w:spacing w:after="0" w:line="158"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Section 3.06 . Reports by the Issuer. The Issuer covenants to:</w:t>
      </w:r>
    </w:p>
    <w:p>
      <w:pPr>
        <w:spacing w:after="0" w:line="173" w:lineRule="exact"/>
        <w:rPr>
          <w:sz w:val="20"/>
          <w:szCs w:val="20"/>
          <w:color w:val="auto"/>
        </w:rPr>
      </w:pPr>
    </w:p>
    <w:p>
      <w:pPr>
        <w:ind w:right="3239" w:firstLine="447"/>
        <w:spacing w:after="0" w:line="237" w:lineRule="auto"/>
        <w:tabs>
          <w:tab w:leader="none" w:pos="787" w:val="left"/>
        </w:tabs>
        <w:numPr>
          <w:ilvl w:val="0"/>
          <w:numId w:val="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file, whether or not required to do so under applicable law, with the Trustee, within 15 days after the Issuer is required to file the same with the Commission, copies of the annual reports and of the information, documents, and other reports which the Issuer may be required to file with the Commission pursuant to Section 13 or Section 15(d) of the Securities Exchange Act of 1934; or, if the Issuer is not required to file with the Commission, annual reports, information, documents and other reports pursuant to either Section 13 or Section 15(d) of the Securities Exchange Act of 1934, then the Issuer will file with the Trustee and will file with the Commission, in accordance with rules and regulations prescribed by the Commission, such of the supplementary and periodic information, documents and reports required pursuant to Section 13 of the Securities Exchange Act of 1934 in respect of a security listed and registered on a national securities exchange as may be prescribed in such rules and regulations;</w:t>
      </w:r>
    </w:p>
    <w:p>
      <w:pPr>
        <w:spacing w:after="0" w:line="173" w:lineRule="exact"/>
        <w:rPr>
          <w:rFonts w:ascii="Courier New" w:cs="Courier New" w:eastAsia="Courier New" w:hAnsi="Courier New"/>
          <w:sz w:val="15"/>
          <w:szCs w:val="15"/>
          <w:color w:val="auto"/>
        </w:rPr>
      </w:pPr>
    </w:p>
    <w:p>
      <w:pPr>
        <w:ind w:right="3319" w:firstLine="447"/>
        <w:spacing w:after="0" w:line="235" w:lineRule="auto"/>
        <w:tabs>
          <w:tab w:leader="none" w:pos="787" w:val="left"/>
        </w:tabs>
        <w:numPr>
          <w:ilvl w:val="0"/>
          <w:numId w:val="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file with the Trustee and the Commission, in accordance with the rules and regulations prescribed from time to time by the Securities and Exchange Commission, such</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239"/>
          </w:cols>
          <w:pgMar w:left="220" w:top="792" w:right="1440" w:bottom="1440" w:gutter="0" w:footer="0" w:header="0"/>
        </w:sectPr>
      </w:pPr>
    </w:p>
    <w:bookmarkStart w:id="99" w:name="page100"/>
    <w:bookmarkEnd w:id="99"/>
    <w:p>
      <w:pPr>
        <w:jc w:val="both"/>
        <w:ind w:right="3319"/>
        <w:spacing w:after="0" w:line="235" w:lineRule="auto"/>
        <w:rPr>
          <w:sz w:val="20"/>
          <w:szCs w:val="20"/>
          <w:color w:val="auto"/>
        </w:rPr>
      </w:pPr>
      <w:r>
        <w:rPr>
          <w:rFonts w:ascii="Courier New" w:cs="Courier New" w:eastAsia="Courier New" w:hAnsi="Courier New"/>
          <w:sz w:val="15"/>
          <w:szCs w:val="15"/>
          <w:color w:val="auto"/>
        </w:rPr>
        <w:t>additional information, documents and reports with respect to compliance by the Issuer with the conditions and covenants provided for in this Indenture as may be required by such rules and regulations;</w:t>
      </w:r>
    </w:p>
    <w:p>
      <w:pPr>
        <w:spacing w:after="0" w:line="174" w:lineRule="exact"/>
        <w:rPr>
          <w:sz w:val="20"/>
          <w:szCs w:val="20"/>
          <w:color w:val="auto"/>
        </w:rPr>
      </w:pPr>
    </w:p>
    <w:p>
      <w:pPr>
        <w:ind w:right="3499" w:firstLine="447"/>
        <w:spacing w:after="0" w:line="236" w:lineRule="auto"/>
        <w:tabs>
          <w:tab w:leader="none" w:pos="787" w:val="left"/>
        </w:tabs>
        <w:numPr>
          <w:ilvl w:val="0"/>
          <w:numId w:val="1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transmit to the Securityholders, in the manner and to the extent provided in Section 10.04, such summaries of any information, documents and reports required to be filed with the Trustee pursuant to the provisions of subdivisions (a) and (b) of this Section 3.06 as may be required by the rules and regulations of the Commission.</w:t>
      </w:r>
    </w:p>
    <w:p>
      <w:pPr>
        <w:spacing w:after="0" w:line="174" w:lineRule="exact"/>
        <w:rPr>
          <w:sz w:val="20"/>
          <w:szCs w:val="20"/>
          <w:color w:val="auto"/>
        </w:rPr>
      </w:pPr>
    </w:p>
    <w:p>
      <w:pPr>
        <w:ind w:right="3399" w:firstLine="437"/>
        <w:spacing w:after="0" w:line="236" w:lineRule="auto"/>
        <w:rPr>
          <w:sz w:val="20"/>
          <w:szCs w:val="20"/>
          <w:color w:val="auto"/>
        </w:rPr>
      </w:pPr>
      <w:r>
        <w:rPr>
          <w:rFonts w:ascii="Courier New" w:cs="Courier New" w:eastAsia="Courier New" w:hAnsi="Courier New"/>
          <w:sz w:val="15"/>
          <w:szCs w:val="15"/>
          <w:color w:val="auto"/>
        </w:rPr>
        <w:t>Delivery of such reports, information and documents to the Trustee is for informational purposes only and the Trustee's receipt of such shall not constitute constructive notice of any information contained therein or determinable from information contained therein, including the Issuer's compliance with any of its covenants hereunder (as to which the Trustee is entitled to rely exclusively on Officers' Certificates).</w:t>
      </w:r>
    </w:p>
    <w:p>
      <w:pPr>
        <w:spacing w:after="0" w:line="175" w:lineRule="exact"/>
        <w:rPr>
          <w:sz w:val="20"/>
          <w:szCs w:val="20"/>
          <w:color w:val="auto"/>
        </w:rPr>
      </w:pPr>
    </w:p>
    <w:p>
      <w:pPr>
        <w:ind w:right="3319" w:firstLine="437"/>
        <w:spacing w:after="0" w:line="256" w:lineRule="auto"/>
        <w:rPr>
          <w:sz w:val="20"/>
          <w:szCs w:val="20"/>
          <w:color w:val="auto"/>
        </w:rPr>
      </w:pPr>
      <w:r>
        <w:rPr>
          <w:rFonts w:ascii="Courier New" w:cs="Courier New" w:eastAsia="Courier New" w:hAnsi="Courier New"/>
          <w:sz w:val="14"/>
          <w:szCs w:val="14"/>
          <w:color w:val="auto"/>
        </w:rPr>
        <w:t>Section 3.07. Corporate Existence. So long as any of the Securities remain unpaid, the Issuer will at all times (except as otherwise provided or permitted elsewhere in this Indenture) do or cause to be done all things necessary to preserve and keep in full force and effect its corporate existence.</w:t>
      </w:r>
    </w:p>
    <w:p>
      <w:pPr>
        <w:spacing w:after="0" w:line="164"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Section 3.08. Restrictions on Mergers, Sales and Consolidations. So long as any of the Securities remain unpaid, the Issuer will not consolidate or merge with or sell, convey or lease all or substantially all of its property to any other corporation except as permitted in Article 8 hereof.</w:t>
      </w:r>
    </w:p>
    <w:p>
      <w:pPr>
        <w:spacing w:after="0" w:line="175" w:lineRule="exact"/>
        <w:rPr>
          <w:sz w:val="20"/>
          <w:szCs w:val="20"/>
          <w:color w:val="auto"/>
        </w:rPr>
      </w:pPr>
    </w:p>
    <w:p>
      <w:pPr>
        <w:ind w:right="3319" w:firstLine="437"/>
        <w:spacing w:after="0" w:line="256" w:lineRule="auto"/>
        <w:rPr>
          <w:sz w:val="20"/>
          <w:szCs w:val="20"/>
          <w:color w:val="auto"/>
        </w:rPr>
      </w:pPr>
      <w:r>
        <w:rPr>
          <w:rFonts w:ascii="Courier New" w:cs="Courier New" w:eastAsia="Courier New" w:hAnsi="Courier New"/>
          <w:sz w:val="14"/>
          <w:szCs w:val="14"/>
          <w:color w:val="auto"/>
        </w:rPr>
        <w:t>Section 3.09. Further Assurances. From time to time whenever requested by the Trustee, the Issuer will execute and deliver such further instruments and assurances and do such further acts as may be reasonably necessary or proper to carry out more effectually the purposes of this Indenture or to secure the rights and remedies hereunder of the holders of the Securities of any series.</w:t>
      </w:r>
    </w:p>
    <w:p>
      <w:pPr>
        <w:spacing w:after="0" w:line="15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Section 3.10. Limitation on Liens.</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Neither the Issuer nor any Cable Guarantor shall create, incur or assume any Lien (other than any Permitted Lien) on such Person's assets, including the Capital Stock of its Wholly-Owned Subsidiaries, to secure the payment of Indebtedness of the Issuer or any Cable Guarantor, unless the Issuer secures the Outstanding Securities equally and ratably with (or prior to) all Indebtedness secured by such Lien, so long as such Indebtedness shall be so secured.</w:t>
      </w:r>
    </w:p>
    <w:p>
      <w:pPr>
        <w:spacing w:after="0" w:line="160"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Section 3.11. Limitation on Sale and Leaseback Transactions.</w:t>
      </w:r>
    </w:p>
    <w:p>
      <w:pPr>
        <w:spacing w:after="0" w:line="173" w:lineRule="exact"/>
        <w:rPr>
          <w:sz w:val="20"/>
          <w:szCs w:val="20"/>
          <w:color w:val="auto"/>
        </w:rPr>
      </w:pPr>
    </w:p>
    <w:p>
      <w:pPr>
        <w:ind w:right="3499" w:firstLine="437"/>
        <w:spacing w:after="0" w:line="235" w:lineRule="auto"/>
        <w:rPr>
          <w:sz w:val="20"/>
          <w:szCs w:val="20"/>
          <w:color w:val="auto"/>
        </w:rPr>
      </w:pPr>
      <w:r>
        <w:rPr>
          <w:rFonts w:ascii="Courier New" w:cs="Courier New" w:eastAsia="Courier New" w:hAnsi="Courier New"/>
          <w:sz w:val="15"/>
          <w:szCs w:val="15"/>
          <w:color w:val="auto"/>
        </w:rPr>
        <w:t>Neither the Issuer nor any Cable Guarantor shall enter into any Sale and Leaseback Transaction involving any of such Person's assets, including the Capital Stock of its Wholly-Owned Subsidiaries.</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0239"/>
          </w:cols>
          <w:pgMar w:left="220" w:top="792" w:right="1440" w:bottom="1440" w:gutter="0" w:footer="0" w:header="0"/>
        </w:sectPr>
      </w:pPr>
    </w:p>
    <w:bookmarkStart w:id="100" w:name="page101"/>
    <w:bookmarkEnd w:id="100"/>
    <w:p>
      <w:pPr>
        <w:jc w:val="center"/>
        <w:ind w:right="3319"/>
        <w:spacing w:after="0"/>
        <w:rPr>
          <w:sz w:val="20"/>
          <w:szCs w:val="20"/>
          <w:color w:val="auto"/>
        </w:rPr>
      </w:pPr>
      <w:r>
        <w:rPr>
          <w:rFonts w:ascii="Courier New" w:cs="Courier New" w:eastAsia="Courier New" w:hAnsi="Courier New"/>
          <w:sz w:val="15"/>
          <w:szCs w:val="15"/>
          <w:color w:val="auto"/>
        </w:rPr>
        <w:t>Article 4</w:t>
      </w:r>
    </w:p>
    <w:p>
      <w:pPr>
        <w:jc w:val="center"/>
        <w:ind w:right="3139"/>
        <w:spacing w:after="0" w:line="237" w:lineRule="auto"/>
        <w:rPr>
          <w:sz w:val="20"/>
          <w:szCs w:val="20"/>
          <w:color w:val="auto"/>
        </w:rPr>
      </w:pPr>
      <w:r>
        <w:rPr>
          <w:rFonts w:ascii="Courier New" w:cs="Courier New" w:eastAsia="Courier New" w:hAnsi="Courier New"/>
          <w:sz w:val="15"/>
          <w:szCs w:val="15"/>
          <w:color w:val="auto"/>
        </w:rPr>
        <w:t>REMEDIES OF THE TRUSTEE AND SECURITYHOLDERS ON EVENT OF DEFAULT</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Section 4.01. Event of Default Defined; Acceleration of Maturity; Waiver of Default. "Event of Default" with respect to Securities of any series wherever used herein, means each one of the following events which shall have occurred and be continuing (whatever the reason for such Event of Default and whether it shall be voluntary or involuntary or be effected by operation of law or pursuant to any judgment, decree or order of any court or any order, rule or regulation of any administrative or governmental body):</w:t>
      </w:r>
    </w:p>
    <w:p>
      <w:pPr>
        <w:spacing w:after="0" w:line="176" w:lineRule="exact"/>
        <w:rPr>
          <w:sz w:val="20"/>
          <w:szCs w:val="20"/>
          <w:color w:val="auto"/>
        </w:rPr>
      </w:pPr>
    </w:p>
    <w:p>
      <w:pPr>
        <w:ind w:right="3319" w:firstLine="447"/>
        <w:spacing w:after="0" w:line="235" w:lineRule="auto"/>
        <w:tabs>
          <w:tab w:leader="none" w:pos="787" w:val="left"/>
        </w:tabs>
        <w:numPr>
          <w:ilvl w:val="0"/>
          <w:numId w:val="1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default by any Obligor in the payment of any installment of interest upon any of the Securities of such series as and when the same shall become due and payable, and continuance of such default for a period of 30 days; or</w:t>
      </w:r>
    </w:p>
    <w:p>
      <w:pPr>
        <w:spacing w:after="0" w:line="173" w:lineRule="exact"/>
        <w:rPr>
          <w:rFonts w:ascii="Courier New" w:cs="Courier New" w:eastAsia="Courier New" w:hAnsi="Courier New"/>
          <w:sz w:val="15"/>
          <w:szCs w:val="15"/>
          <w:color w:val="auto"/>
        </w:rPr>
      </w:pPr>
    </w:p>
    <w:p>
      <w:pPr>
        <w:ind w:right="3499" w:firstLine="447"/>
        <w:spacing w:after="0" w:line="235" w:lineRule="auto"/>
        <w:tabs>
          <w:tab w:leader="none" w:pos="787" w:val="left"/>
        </w:tabs>
        <w:numPr>
          <w:ilvl w:val="0"/>
          <w:numId w:val="1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default by an Obligor in the payment of all or any part of the principal on any of the Securities of such series as and when the same shall become due and payable either at maturity, upon redemption, by declaration or otherwise; or</w:t>
      </w:r>
    </w:p>
    <w:p>
      <w:pPr>
        <w:spacing w:after="0" w:line="175" w:lineRule="exact"/>
        <w:rPr>
          <w:rFonts w:ascii="Courier New" w:cs="Courier New" w:eastAsia="Courier New" w:hAnsi="Courier New"/>
          <w:sz w:val="15"/>
          <w:szCs w:val="15"/>
          <w:color w:val="auto"/>
        </w:rPr>
      </w:pPr>
    </w:p>
    <w:p>
      <w:pPr>
        <w:ind w:right="3239" w:firstLine="447"/>
        <w:spacing w:after="0" w:line="236" w:lineRule="auto"/>
        <w:tabs>
          <w:tab w:leader="none" w:pos="787" w:val="left"/>
        </w:tabs>
        <w:numPr>
          <w:ilvl w:val="0"/>
          <w:numId w:val="1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default by an Obligor in the performance, or breach by any Obligor, of any of its covenants or agreements in respect of the Securities of such series (other than a covenant or agreement in respect of the Securities of such series a default in whose performance or whose breach is elsewhere in this section specifically dealt with), and continuance of such default or breach for a period of 30 consecutive days after there has been given, by registered or certified mail, to the Issuer by the Trustee or to the Issuer and the Trustee by the Holders of at least 25% in principal amount of the Outstanding Securities of all series affected thereby, a written notice specifying such default or breach and requiring it to be remedied and stating that such notice is a "Notice of Default" hereunder; or</w:t>
      </w:r>
    </w:p>
    <w:p>
      <w:pPr>
        <w:spacing w:after="0" w:line="180" w:lineRule="exact"/>
        <w:rPr>
          <w:rFonts w:ascii="Courier New" w:cs="Courier New" w:eastAsia="Courier New" w:hAnsi="Courier New"/>
          <w:sz w:val="15"/>
          <w:szCs w:val="15"/>
          <w:color w:val="auto"/>
        </w:rPr>
      </w:pPr>
    </w:p>
    <w:p>
      <w:pPr>
        <w:ind w:right="3239" w:firstLine="447"/>
        <w:spacing w:after="0" w:line="236" w:lineRule="auto"/>
        <w:tabs>
          <w:tab w:leader="none" w:pos="787" w:val="left"/>
        </w:tabs>
        <w:numPr>
          <w:ilvl w:val="0"/>
          <w:numId w:val="1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court having jurisdiction in the premises shall enter a decree or order for relief in respect of any Obligor in an involuntary case under any applicable bankruptcy, insolvency or other similar law now or hereafter in effect, or appointing a receiver, liquidator, assignee, custodian, trustee or sequestrator (or similar official) of any Obligor or for any substantial part of such party's property and assets or ordering the winding up or liquidation of any Obligor's affairs, and such decree or order shall remain unstayed and in effect for a period of 180 consecutive days; or</w:t>
      </w:r>
    </w:p>
    <w:p>
      <w:pPr>
        <w:spacing w:after="0" w:line="177" w:lineRule="exact"/>
        <w:rPr>
          <w:rFonts w:ascii="Courier New" w:cs="Courier New" w:eastAsia="Courier New" w:hAnsi="Courier New"/>
          <w:sz w:val="15"/>
          <w:szCs w:val="15"/>
          <w:color w:val="auto"/>
        </w:rPr>
      </w:pPr>
    </w:p>
    <w:p>
      <w:pPr>
        <w:ind w:right="3319" w:firstLine="447"/>
        <w:spacing w:after="0" w:line="236" w:lineRule="auto"/>
        <w:tabs>
          <w:tab w:leader="none" w:pos="787" w:val="left"/>
        </w:tabs>
        <w:numPr>
          <w:ilvl w:val="0"/>
          <w:numId w:val="1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Obligor shall commence a voluntary case under any applicable bankruptcy, insolvency or other similar law now or hereafter in effect, or consent to the entry of an order for relief in an involuntary case under any such law, or consent to the appointment of or taking possession by a receiver, liquidator, assignee, custodian, trustee or sequestrator (or similar official) of such party or for any substantial part of such party's property, or make any general assignment for the benefit of creditors; or</w:t>
      </w:r>
    </w:p>
    <w:p>
      <w:pPr>
        <w:spacing w:after="0" w:line="175" w:lineRule="exact"/>
        <w:rPr>
          <w:rFonts w:ascii="Courier New" w:cs="Courier New" w:eastAsia="Courier New" w:hAnsi="Courier New"/>
          <w:sz w:val="15"/>
          <w:szCs w:val="15"/>
          <w:color w:val="auto"/>
        </w:rPr>
      </w:pPr>
    </w:p>
    <w:p>
      <w:pPr>
        <w:ind w:right="3239" w:firstLine="447"/>
        <w:spacing w:after="0" w:line="234" w:lineRule="auto"/>
        <w:tabs>
          <w:tab w:leader="none" w:pos="787" w:val="left"/>
        </w:tabs>
        <w:numPr>
          <w:ilvl w:val="0"/>
          <w:numId w:val="1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Cable Guarantee shall not be (or claimed by any Cable Guarantor not to be) in full force and effect; or</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10239"/>
          </w:cols>
          <w:pgMar w:left="220" w:top="785" w:right="1440" w:bottom="1440" w:gutter="0" w:footer="0" w:header="0"/>
        </w:sectPr>
      </w:pPr>
    </w:p>
    <w:bookmarkStart w:id="101" w:name="page102"/>
    <w:bookmarkEnd w:id="101"/>
    <w:p>
      <w:pPr>
        <w:jc w:val="both"/>
        <w:ind w:right="3499" w:firstLine="447"/>
        <w:spacing w:after="0" w:line="235" w:lineRule="auto"/>
        <w:tabs>
          <w:tab w:leader="none" w:pos="787" w:val="left"/>
        </w:tabs>
        <w:numPr>
          <w:ilvl w:val="0"/>
          <w:numId w:val="1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other Event of Default provided in the supplemental indenture or resolution of the Board of Directors under which such series of Securities is issued or in the form of Security for such series.</w:t>
      </w:r>
    </w:p>
    <w:p>
      <w:pPr>
        <w:spacing w:after="0" w:line="174"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If an Event of Default described in clauses 4.01(a), 4.01(b), 4.01(c), 4.01(f) or 4.01(g) occurs and is continuing, then, and in each and every such case, unless the principal of all of the Securities of such series shall have already become due and payable, either the Trustee or the holders of not less than 25% in aggregate principal amount of the Securities of any affected series then Outstanding hereunder (each such series voting as a separate class) by notice in writing to the Issuer (and to the Trustee if given by Securityholders), may declare the entire principal (or, if the Securities of such series are Original Issue Discount Securities, such portion of the principal amount as may be specified in the terms of such series) of all Securities of such series and the interest accrued thereon, if any, to be due and payable immediately, and upon any such declaration the same shall become immediately due and payable. If an Event of Default described in clauses 4.01(d) or 4.01(e) occurs and is continuing, then the principal amount of all the Securities then outstanding and interest accrued thereon, if any, shall be and become immediately due and payable, without any notice or other action by any Holder or the Trustee, to the full extent permitted by applicable law.</w:t>
      </w:r>
    </w:p>
    <w:p>
      <w:pPr>
        <w:spacing w:after="0" w:line="175"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The foregoing provisions, however, are subject to the condition that if, at any time after the principal (or, if the Securities are Original Issue Discount Securities, such portion of the principal as may be specified in the terms thereof) of the Securities of any series (or of all the Securities, as the case may be) shall have been so declared due and payable, and before any judgment or decree for the payment of the moneys due shall have been obtained or entered as hereinafter provided, the Issuer shall pay or shall deposit with the Trustee a sum sufficient to pay all matured installments of interest upon all the Securities of such series (or of all the Securities, as the case may be) and the principal of any and all Securities of such series (or of all the Securities, as the case may be) which shall have become due otherwise than by acceleration (with interest upon such principal and, to the extent that payment of such interest is enforceable under applicable law, on overdue installments of interest, at the same rate as the rate of interest or Yield to Maturity (in the case of Original Issue Discount Securities) specified in the Securities of such series (or at the respective rates of interest or Yields to Maturity of all the Securities, as the case may be) to the date of such payment or deposit) and such amount as shall be sufficient to cover reasonable compensation to the Trustee, its agents, attorneys and counsel, and all other expenses and liabilities incurred, and all advances made, by the Trustee except as a result of negligence or bad faith, and if any and all Events of Default under the Indenture, other than the non-payment of the principal of Securities which shall have become due by acceleration, shall have been cured, waived or otherwise remedied as provided herein--then and in every such case the holders of a majority in aggregate principal amount of all the then outstanding Securities of all such series that have been accelerated, each such series voting as a separate class, by written notice to the Issuer and to the Trustee, may waive all defaults with respect to such series (or with respect to all the Securities, as the case may be) and rescind and annul such declaration and its consequences, but no such waiver or rescission and annulment shall extend to or shall affect any subsequent default or shall impair any right consequent thereon.</w:t>
      </w:r>
    </w:p>
    <w:p>
      <w:pPr>
        <w:spacing w:after="0" w:line="347" w:lineRule="exact"/>
        <w:rPr>
          <w:sz w:val="20"/>
          <w:szCs w:val="20"/>
          <w:color w:val="auto"/>
        </w:rPr>
      </w:pPr>
    </w:p>
    <w:p>
      <w:pPr>
        <w:jc w:val="both"/>
        <w:ind w:right="3239" w:firstLine="437"/>
        <w:spacing w:after="0" w:line="235" w:lineRule="auto"/>
        <w:rPr>
          <w:sz w:val="20"/>
          <w:szCs w:val="20"/>
          <w:color w:val="auto"/>
        </w:rPr>
      </w:pPr>
      <w:r>
        <w:rPr>
          <w:rFonts w:ascii="Courier New" w:cs="Courier New" w:eastAsia="Courier New" w:hAnsi="Courier New"/>
          <w:sz w:val="15"/>
          <w:szCs w:val="15"/>
          <w:color w:val="auto"/>
        </w:rPr>
        <w:t>For all purposes under this Indenture, if a portion of the principal of any Original Issue Discount Securities shall have been accelerated and declared due and payable pursuant to the</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23</w:t>
      </w:r>
    </w:p>
    <w:p>
      <w:pPr>
        <w:sectPr>
          <w:pgSz w:w="11900" w:h="16838" w:orient="portrait"/>
          <w:cols w:equalWidth="0" w:num="1">
            <w:col w:w="10239"/>
          </w:cols>
          <w:pgMar w:left="220" w:top="792" w:right="1440" w:bottom="1440" w:gutter="0" w:footer="0" w:header="0"/>
        </w:sectPr>
      </w:pPr>
    </w:p>
    <w:bookmarkStart w:id="102" w:name="page103"/>
    <w:bookmarkEnd w:id="102"/>
    <w:p>
      <w:pPr>
        <w:ind w:right="3319"/>
        <w:spacing w:after="0" w:line="255" w:lineRule="auto"/>
        <w:rPr>
          <w:sz w:val="20"/>
          <w:szCs w:val="20"/>
          <w:color w:val="auto"/>
        </w:rPr>
      </w:pPr>
      <w:r>
        <w:rPr>
          <w:rFonts w:ascii="Courier New" w:cs="Courier New" w:eastAsia="Courier New" w:hAnsi="Courier New"/>
          <w:sz w:val="14"/>
          <w:szCs w:val="14"/>
          <w:color w:val="auto"/>
        </w:rPr>
        <w:t>provisions hereof, then, from and after such declaration, unless such declaration has been rescinded and annulled, the principal amount of such Original Issue Discount Securities shall be deemed, for all purposes hereunder, to be such portion of the principal thereof as shall be due and payable as a result of such acceleration, and payment of such portion of the principal thereof as shall be due and payable as a result of such acceleration, together with interest, if any, thereon and all other amounts owing thereunder, shall constitute payment in full of such Original Issue Discount Securities.</w:t>
      </w:r>
    </w:p>
    <w:p>
      <w:pPr>
        <w:spacing w:after="0" w:line="166"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Section 4.02. Collection of Indebtedness by Trustee; Trustee May Prove Debt. The Issuer covenants that (a) in case default shall be made in the payment of any installment of interest on any of the Securities of any series when such interest shall have become due and payable, and such default shall have continued for a period of 30 days or (b) in case default shall be made in the payment of all or any part of the principal of any of the Securities of any series when the same shall have become due and payable, whether upon maturity of the Securities of such series or upon any redemption or by declaration or otherwise--then upon demand of the Trustee, the Issuer will pay to the Trustee for the benefit of the Holders of the Securities of such series the whole amount that then shall have become due and payable on all Securities of such series for principal or interest, as the case may be (with interest to the date of such payment upon the overdue principal and, to the extent that payment of such interest is enforceable under applicable law, on overdue installments of interest at the same rate as the rate of interest or Yield to Maturity (in the case of Original Issue Discount Securities) specified in the Securities of such series); and in addition thereto, such further amount as shall be sufficient to cover the costs and expenses of collection, including reasonable compensation to the Trustee and each predecessor Trustee, their respective agents and counsel, and any expenses and liabilities incurred, and all advances made, by the Trustee and each predecessor Trustee except as a result of its negligence or bad faith.</w:t>
      </w:r>
    </w:p>
    <w:p>
      <w:pPr>
        <w:spacing w:after="0" w:line="175"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Until such demand is made by the Trustee, the Issuer may pay the principal of and interest on the Securities of any series to the registered holders, whether or not the principal of and interest on the Securities of such series be overdue.</w:t>
      </w:r>
    </w:p>
    <w:p>
      <w:pPr>
        <w:spacing w:after="0" w:line="175"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In case the Issuer shall fail forthwith to pay such amounts upon such demand, the Trustee, in its own name and as trustee of an express trust, shall be entitled and empowered to institute any action or proceedings at law or in equity for the collection of the sums so due and unpaid, and may prosecute any such action or proceedings to judgment or final decree, and may enforce any such judgment or final decree against the Issuer or other obligor upon such Securities and collect in the manner provided by law out of the property of the Issuer or other obligor upon such Securities, wherever situated, the moneys adjudged or decreed to be payable.</w:t>
      </w:r>
    </w:p>
    <w:p>
      <w:pPr>
        <w:spacing w:after="0" w:line="178"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In case there shall be pending proceedings relative to the Issuer or any other obligor upon the Securities under Title 11 of the United States Code or any other applicable Federal or state bankruptcy, insolvency or other similar law, or in case a receiver, assignee or trustee in bankruptcy or reorganization, liquidator, sequestrator or similar official shall have been appointed for or taken possession of the Issuer or its property or such other obligor, or in case of any other comparable judicial proceedings relative to the Issuer or other obligor upon the Securities of any series, or to the creditors or property of the Issuer or such other obligor, the Trustee, irrespective of whether the principal of any Securities shall then be due and payable as therein expressed or by declaration or otherwise and irrespective of whether the Trustee shall</w:t>
      </w:r>
    </w:p>
    <w:p>
      <w:pPr>
        <w:spacing w:after="0" w:line="32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24</w:t>
      </w:r>
    </w:p>
    <w:p>
      <w:pPr>
        <w:sectPr>
          <w:pgSz w:w="11900" w:h="16838" w:orient="portrait"/>
          <w:cols w:equalWidth="0" w:num="1">
            <w:col w:w="10239"/>
          </w:cols>
          <w:pgMar w:left="220" w:top="792" w:right="1440" w:bottom="1440" w:gutter="0" w:footer="0" w:header="0"/>
        </w:sectPr>
      </w:pPr>
    </w:p>
    <w:bookmarkStart w:id="103" w:name="page104"/>
    <w:bookmarkEnd w:id="103"/>
    <w:p>
      <w:pPr>
        <w:jc w:val="both"/>
        <w:ind w:right="3839"/>
        <w:spacing w:after="0" w:line="261" w:lineRule="auto"/>
        <w:rPr>
          <w:sz w:val="20"/>
          <w:szCs w:val="20"/>
          <w:color w:val="auto"/>
        </w:rPr>
      </w:pPr>
      <w:r>
        <w:rPr>
          <w:rFonts w:ascii="Courier New" w:cs="Courier New" w:eastAsia="Courier New" w:hAnsi="Courier New"/>
          <w:sz w:val="14"/>
          <w:szCs w:val="14"/>
          <w:color w:val="auto"/>
        </w:rPr>
        <w:t>have made any demand pursuant to the provisions of this Section, shall be entitled and empowered, by intervention in such proceedings or otherwise:</w:t>
      </w:r>
    </w:p>
    <w:p>
      <w:pPr>
        <w:spacing w:after="0" w:line="160" w:lineRule="exact"/>
        <w:rPr>
          <w:sz w:val="20"/>
          <w:szCs w:val="20"/>
          <w:color w:val="auto"/>
        </w:rPr>
      </w:pPr>
    </w:p>
    <w:p>
      <w:pPr>
        <w:ind w:right="3239" w:firstLine="447"/>
        <w:spacing w:after="0" w:line="237" w:lineRule="auto"/>
        <w:tabs>
          <w:tab w:leader="none" w:pos="787" w:val="left"/>
        </w:tabs>
        <w:numPr>
          <w:ilvl w:val="0"/>
          <w:numId w:val="1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file and prove a claim or claims for the whole amount of principal and interest (or, if the Securities of any series are Original Issue Discount Securities, such portion of the principal amount as may be specified in the terms of such series) owing and unpaid in respect of the Securities of any series, and to file such other papers or documents as may be necessary or advisable in order to have the claims of the Trustee (including any claim for reasonable compensation to the Trustee and each predecessor Trustee, and their respective agents, attorneys and counsel, and for reimbursement of all expenses and liabilities incurred, and all advances made, by the Trustee and each predecessor Trustee, except as a result of negligence or bad faith) and of the Securityholders allowed in any judicial proceedings relative to the Issuer or other obligor upon the Securities of any series, or to the creditors or property of the Issuer or such other obligor,</w:t>
      </w:r>
    </w:p>
    <w:p>
      <w:pPr>
        <w:spacing w:after="0" w:line="173" w:lineRule="exact"/>
        <w:rPr>
          <w:rFonts w:ascii="Courier New" w:cs="Courier New" w:eastAsia="Courier New" w:hAnsi="Courier New"/>
          <w:sz w:val="15"/>
          <w:szCs w:val="15"/>
          <w:color w:val="auto"/>
        </w:rPr>
      </w:pPr>
    </w:p>
    <w:p>
      <w:pPr>
        <w:ind w:right="3239" w:firstLine="447"/>
        <w:spacing w:after="0" w:line="236" w:lineRule="auto"/>
        <w:tabs>
          <w:tab w:leader="none" w:pos="787" w:val="left"/>
        </w:tabs>
        <w:numPr>
          <w:ilvl w:val="0"/>
          <w:numId w:val="1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unless prohibited by applicable law and regulations, to vote on behalf of the holders of the Securities of any series in any election of a trustee or a standby trustee in arrangement, reorganization, liquidation or other bankruptcy or insolvency proceedings or person performing similar functions in comparable proceedings, and</w:t>
      </w:r>
    </w:p>
    <w:p>
      <w:pPr>
        <w:spacing w:after="0" w:line="173" w:lineRule="exact"/>
        <w:rPr>
          <w:rFonts w:ascii="Courier New" w:cs="Courier New" w:eastAsia="Courier New" w:hAnsi="Courier New"/>
          <w:sz w:val="15"/>
          <w:szCs w:val="15"/>
          <w:color w:val="auto"/>
        </w:rPr>
      </w:pPr>
    </w:p>
    <w:p>
      <w:pPr>
        <w:ind w:right="3239" w:firstLine="447"/>
        <w:spacing w:after="0" w:line="237" w:lineRule="auto"/>
        <w:tabs>
          <w:tab w:leader="none" w:pos="787" w:val="left"/>
        </w:tabs>
        <w:numPr>
          <w:ilvl w:val="0"/>
          <w:numId w:val="1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collect and receive any moneys or other property payable or deliverable on any such claims, and to distribute all amounts received with respect to the claims of the Securityholders and of the Trustee on their behalf; and any trustee, receiver, or liquidator, custodian or other similar official is hereby authorized by each of the Securityholders to make payments to the Trustee, and, in the event that the Trustee shall consent to the making of payments directly to the Securityholders, to pay to the Trustee such amounts as shall be sufficient to cover reasonable compensation to the Trustee, each predecessor Trustee and their respective agents, attorneys and counsel, and all other expenses and liabilities incurred, and all advances made, by the Trustee and each predecessor Trustee except as a result of negligence or bad faith and all other amounts due to the Trustee or any predecessor Trustee pursuant to Section 5.06.</w:t>
      </w:r>
    </w:p>
    <w:p>
      <w:pPr>
        <w:spacing w:after="0" w:line="173" w:lineRule="exact"/>
        <w:rPr>
          <w:sz w:val="20"/>
          <w:szCs w:val="20"/>
          <w:color w:val="auto"/>
        </w:rPr>
      </w:pPr>
    </w:p>
    <w:p>
      <w:pPr>
        <w:ind w:right="3399" w:firstLine="437"/>
        <w:spacing w:after="0" w:line="236" w:lineRule="auto"/>
        <w:rPr>
          <w:sz w:val="20"/>
          <w:szCs w:val="20"/>
          <w:color w:val="auto"/>
        </w:rPr>
      </w:pPr>
      <w:r>
        <w:rPr>
          <w:rFonts w:ascii="Courier New" w:cs="Courier New" w:eastAsia="Courier New" w:hAnsi="Courier New"/>
          <w:sz w:val="15"/>
          <w:szCs w:val="15"/>
          <w:color w:val="auto"/>
        </w:rPr>
        <w:t>Nothing herein contained shall be deemed to authorize the Trustee to authorize or consent to or vote for or accept or adopt on behalf of any Securityholder any plan or reorganization, arrangement, adjustment or composition affecting the Securities of any series or the rights of any Holder thereof, or to authorize the Trustee to vote in respect of the claim of any Securityholder in any such proceeding except, as aforesaid, to vote for the election of a trustee in bankruptcy or similar person.</w:t>
      </w:r>
    </w:p>
    <w:p>
      <w:pPr>
        <w:spacing w:after="0" w:line="176"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All rights of action and of asserting claims under this Indenture, or under any of the Securities, may be enforced by the Trustee without the possession of any of the Securities or the production thereof on any trial or other proceedings relative thereto, and any such action or proceedings instituted by the Trustee shall be brought in its own name as trustee of an express trust, and any recovery of judgment, subject to the payment of the expenses, disbursements and compensation of the Trustee, each predecessor Trustee and their respective agents and attorneys, shall be for the ratable benefit of the holders of the Securities in respect of which such action was taken.</w:t>
      </w:r>
    </w:p>
    <w:p>
      <w:pPr>
        <w:spacing w:after="0" w:line="32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25</w:t>
      </w:r>
    </w:p>
    <w:p>
      <w:pPr>
        <w:sectPr>
          <w:pgSz w:w="11900" w:h="16838" w:orient="portrait"/>
          <w:cols w:equalWidth="0" w:num="1">
            <w:col w:w="10239"/>
          </w:cols>
          <w:pgMar w:left="220" w:top="792" w:right="1440" w:bottom="1440" w:gutter="0" w:footer="0" w:header="0"/>
        </w:sectPr>
      </w:pPr>
    </w:p>
    <w:bookmarkStart w:id="104" w:name="page105"/>
    <w:bookmarkEnd w:id="104"/>
    <w:p>
      <w:pPr>
        <w:ind w:right="3239" w:firstLine="437"/>
        <w:spacing w:after="0" w:line="236" w:lineRule="auto"/>
        <w:rPr>
          <w:sz w:val="20"/>
          <w:szCs w:val="20"/>
          <w:color w:val="auto"/>
        </w:rPr>
      </w:pPr>
      <w:r>
        <w:rPr>
          <w:rFonts w:ascii="Courier New" w:cs="Courier New" w:eastAsia="Courier New" w:hAnsi="Courier New"/>
          <w:sz w:val="15"/>
          <w:szCs w:val="15"/>
          <w:color w:val="auto"/>
        </w:rPr>
        <w:t>In any proceedings brought by the Trustee (and also any proceedings involving the interpretation of any provision of this Indenture to which the Trustee shall be a party) the Trustee shall be held to represent all the holders of the Securities in respect to which such action was taken, and it shall not be necessary to make any holders of such Securities parties to any such proceedings.</w:t>
      </w:r>
    </w:p>
    <w:p>
      <w:pPr>
        <w:spacing w:after="0" w:line="175"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Section 4.03. Application of Proceeds. Any moneys collected by the Trustee pursuant to this Article in respect of any series shall be applied in the following order at the date or dates fixed by the Trustee and, in case of the distribution of such moneys on account of principal or interest, upon presentation of the several Securities in respect of which monies have been collected and stamping (or otherwise noting) thereon the payment, or issuing Securities of such series in reduced principal amounts in exchange for the presented Securities of like series if only partially paid, or upon surrender thereof if fully paid:</w:t>
      </w:r>
    </w:p>
    <w:p>
      <w:pPr>
        <w:spacing w:after="0" w:line="178" w:lineRule="exact"/>
        <w:rPr>
          <w:sz w:val="20"/>
          <w:szCs w:val="20"/>
          <w:color w:val="auto"/>
        </w:rPr>
      </w:pPr>
    </w:p>
    <w:p>
      <w:pPr>
        <w:ind w:left="440" w:right="3319" w:firstLine="437"/>
        <w:spacing w:after="0" w:line="236" w:lineRule="auto"/>
        <w:rPr>
          <w:sz w:val="20"/>
          <w:szCs w:val="20"/>
          <w:color w:val="auto"/>
        </w:rPr>
      </w:pPr>
      <w:r>
        <w:rPr>
          <w:rFonts w:ascii="Courier New" w:cs="Courier New" w:eastAsia="Courier New" w:hAnsi="Courier New"/>
          <w:sz w:val="15"/>
          <w:szCs w:val="15"/>
          <w:color w:val="auto"/>
        </w:rPr>
        <w:t>FIRST: To the payment of costs and expenses applicable to such series in respect of which monies have been collected, including reasonable compensation to the Trustee and each predecessor Trustee and their respective agents and attorneys and of all expenses and liabilities incurred, and all advances made, by the Trustee and each predecessor Trustee except as a result of negligence or bad faith, and all other amounts due to the Trustee or any predecessor Trustee pursuant to Section 5.06;</w:t>
      </w:r>
    </w:p>
    <w:p>
      <w:pPr>
        <w:spacing w:after="0" w:line="177" w:lineRule="exact"/>
        <w:rPr>
          <w:sz w:val="20"/>
          <w:szCs w:val="20"/>
          <w:color w:val="auto"/>
        </w:rPr>
      </w:pPr>
    </w:p>
    <w:p>
      <w:pPr>
        <w:ind w:left="440" w:right="3319" w:firstLine="437"/>
        <w:spacing w:after="0" w:line="236" w:lineRule="auto"/>
        <w:rPr>
          <w:sz w:val="20"/>
          <w:szCs w:val="20"/>
          <w:color w:val="auto"/>
        </w:rPr>
      </w:pPr>
      <w:r>
        <w:rPr>
          <w:rFonts w:ascii="Courier New" w:cs="Courier New" w:eastAsia="Courier New" w:hAnsi="Courier New"/>
          <w:sz w:val="15"/>
          <w:szCs w:val="15"/>
          <w:color w:val="auto"/>
        </w:rPr>
        <w:t>SECOND: In case the principal of the Securities of such series in respect of which moneys have been collected shall not have become and be then due and payable, to the payment of interest on the Securities of such series in default in the order of the maturity of the installments of such interest, with interest (to the extent that such interest has been collected by the Trustee) upon the overdue installments of interest at the same rate as the rate of interest or Yield to Maturity (in the case of Original Issue Discount Securities) specified in such Securities, such payments to be made ratably to the persons entitled thereto, without discrimination or preference;</w:t>
      </w:r>
    </w:p>
    <w:p>
      <w:pPr>
        <w:spacing w:after="0" w:line="179" w:lineRule="exact"/>
        <w:rPr>
          <w:sz w:val="20"/>
          <w:szCs w:val="20"/>
          <w:color w:val="auto"/>
        </w:rPr>
      </w:pPr>
    </w:p>
    <w:p>
      <w:pPr>
        <w:ind w:left="440" w:right="3239" w:firstLine="437"/>
        <w:spacing w:after="0" w:line="255" w:lineRule="auto"/>
        <w:rPr>
          <w:sz w:val="20"/>
          <w:szCs w:val="20"/>
          <w:color w:val="auto"/>
        </w:rPr>
      </w:pPr>
      <w:r>
        <w:rPr>
          <w:rFonts w:ascii="Courier New" w:cs="Courier New" w:eastAsia="Courier New" w:hAnsi="Courier New"/>
          <w:sz w:val="14"/>
          <w:szCs w:val="14"/>
          <w:color w:val="auto"/>
        </w:rPr>
        <w:t>THIRD: In case the principal of the Securities of such series in respect of which moneys have been collected shall have become and shall be then due and payable, to the payment of the whole amount then owing and unpaid upon all the Securities of such series for principal and interest, with interest upon the overdue principal, and (to the extent that such interest has been collected by the Trustee) upon overdue installments of interest at the same rate as the rate of interest or Yield to Maturity (in the case of Original Issue Discount Securities) specified in the Securities of such series; and in case such moneys shall be insufficient to pay in full the whole amount so due and unpaid upon the Securities of such series, then to the payment of such principal and interest or yield to maturity, without preference or priority of principal over interest or yield to maturity, or of interest or yield to maturity over principal, or of any installment of interest over any other installment of interest, or of any Security of such series over any other Security of such series, ratably to the aggregate of such principal and accrued and unpaid interest or yield to maturity; and</w:t>
      </w:r>
    </w:p>
    <w:p>
      <w:pPr>
        <w:spacing w:after="0" w:line="331" w:lineRule="exact"/>
        <w:rPr>
          <w:sz w:val="20"/>
          <w:szCs w:val="20"/>
          <w:color w:val="auto"/>
        </w:rPr>
      </w:pPr>
    </w:p>
    <w:p>
      <w:pPr>
        <w:ind w:left="440" w:right="3319" w:firstLine="437"/>
        <w:spacing w:after="0" w:line="234" w:lineRule="auto"/>
        <w:rPr>
          <w:sz w:val="20"/>
          <w:szCs w:val="20"/>
          <w:color w:val="auto"/>
        </w:rPr>
      </w:pPr>
      <w:r>
        <w:rPr>
          <w:rFonts w:ascii="Courier New" w:cs="Courier New" w:eastAsia="Courier New" w:hAnsi="Courier New"/>
          <w:sz w:val="15"/>
          <w:szCs w:val="15"/>
          <w:color w:val="auto"/>
        </w:rPr>
        <w:t>FOURTH: To the payment of the remainder, if any, to the Issuer or any other person lawfully entitled thereto.</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26</w:t>
      </w:r>
    </w:p>
    <w:p>
      <w:pPr>
        <w:sectPr>
          <w:pgSz w:w="11900" w:h="16838" w:orient="portrait"/>
          <w:cols w:equalWidth="0" w:num="1">
            <w:col w:w="10239"/>
          </w:cols>
          <w:pgMar w:left="220" w:top="792" w:right="1440" w:bottom="1440" w:gutter="0" w:footer="0" w:header="0"/>
        </w:sectPr>
      </w:pPr>
    </w:p>
    <w:bookmarkStart w:id="105" w:name="page106"/>
    <w:bookmarkEnd w:id="105"/>
    <w:p>
      <w:pPr>
        <w:ind w:right="3239" w:firstLine="437"/>
        <w:spacing w:after="0" w:line="255" w:lineRule="auto"/>
        <w:rPr>
          <w:sz w:val="20"/>
          <w:szCs w:val="20"/>
          <w:color w:val="auto"/>
        </w:rPr>
      </w:pPr>
      <w:r>
        <w:rPr>
          <w:rFonts w:ascii="Courier New" w:cs="Courier New" w:eastAsia="Courier New" w:hAnsi="Courier New"/>
          <w:sz w:val="14"/>
          <w:szCs w:val="14"/>
          <w:color w:val="auto"/>
        </w:rPr>
        <w:t>Section 4.04. Suits for Enforcement. In case an Event of Default has occurred, has not been waived and is continuing, the Trustee may proceed to protect and enforce the rights vested in it by this Indenture, either at law or in equity or in bankruptcy or otherwise, whether for the specific enforcement of any covenant or agreement contained in this Indenture or in aid of the exercise of any power granted in this Indenture or to enforce any other legal or equitable right vested in the Trustee by this Indenture or by law.</w:t>
      </w:r>
    </w:p>
    <w:p>
      <w:pPr>
        <w:spacing w:after="0" w:line="166"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Section 4.05. Restoration of Rights on Abandonment of Proceedings. In case the Trustee shall have proceeded to enforce any right under this Indenture and such proceedings shall have been discontinued or abandoned for any reason, or shall have been determined adversely to the Trustee, then and in every such case the Issuer, any Cable Guarantors and the Trustee shall be restored respectively to their former positions and rights hereunder, and all rights, remedies and powers of the Issuer, any Cable Guarantors, the Trustee and the Securityholders shall continue as though no such proceedings had been taken.</w:t>
      </w:r>
    </w:p>
    <w:p>
      <w:pPr>
        <w:spacing w:after="0" w:line="166"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Section 4.06. Limitations on Suits by Securityholder. No holder of any Security of any series shall have any right by virtue or by availing of any provision of this Indenture to institute any action or proceeding at law or in equity or in bankruptcy or otherwise upon or under or with respect to this Indenture, or for the appointment of a trustee, receiver, liquidator, custodian or other similar official or for any other remedy hereunder, unless such holder previously shall have given to the Trustee written notice of an Event of Default and of the continuance thereof, as hereinbefore provided, and unless also the holders of not less than 25% in aggregate principal amount of the Securities of such series then outstanding shall have made written request upon the Trustee to institute such action or proceedings in respect of such Event of Default in its own name as trustee hereunder and shall have offered to the Trustee indemnity satisfactory to the Trustee against the costs, expenses and liabilities to be incurred therein or thereby and the Trustee for 60 days after its receipt of such notice, request and offer of indemnity shall have failed to institute any such action or proceeding and no direction inconsistent with such written request shall have been given to the Trustee pursuant to Section 4.09; it being understood and intended, and being expressly covenanted by the Holder of every Security with every other Holder and the Trustee, that no one or more Holders of Securities of any series shall have any right in any manner whatever by virtue or by availing of any provision of this Indenture to affect, disturb or prejudice the rights of any other such Holder of Securities, or to obtain or seek to obtain priority over or preference to any other such Holder or to enforce any right under this Indenture, except in the manner herein provided and for the equal, ratable and common benefit of all Holders of Securities of the applicable series. For the protection and enforcement of the provisions of this Section, each and every Securityholder and the Trustee shall be entitled to such relief as can be given either at law or in equity.</w:t>
      </w:r>
    </w:p>
    <w:p>
      <w:pPr>
        <w:spacing w:after="0" w:line="178"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Section 4.07. Unconditional Right of Securityholders to Institute Certain Suits. Notwithstanding any other provision in this Indenture and any provision of any Security, the right of any Holder of any Security to receive payment of the principal of, premium, if any, or interest on such Security on or after the respective due dates expressed in such Security, or to institute suit for the enforcement of any such payment on or after such respective dates, shall not be impaired or affected without the consent of such Holder.</w:t>
      </w:r>
    </w:p>
    <w:p>
      <w:pPr>
        <w:spacing w:after="0" w:line="166"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Section 4.08. Powers and Remedies Cumulative; Delay or Omission Not Waiver of Default. Except as provided in Section 4.06, no right or remedy herein conferred upon or</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27</w:t>
      </w:r>
    </w:p>
    <w:p>
      <w:pPr>
        <w:sectPr>
          <w:pgSz w:w="11900" w:h="16838" w:orient="portrait"/>
          <w:cols w:equalWidth="0" w:num="1">
            <w:col w:w="10239"/>
          </w:cols>
          <w:pgMar w:left="220" w:top="792" w:right="1440" w:bottom="1440" w:gutter="0" w:footer="0" w:header="0"/>
        </w:sectPr>
      </w:pPr>
    </w:p>
    <w:bookmarkStart w:id="106" w:name="page107"/>
    <w:bookmarkEnd w:id="106"/>
    <w:p>
      <w:pPr>
        <w:ind w:right="3239"/>
        <w:spacing w:after="0" w:line="236" w:lineRule="auto"/>
        <w:rPr>
          <w:sz w:val="20"/>
          <w:szCs w:val="20"/>
          <w:color w:val="auto"/>
        </w:rPr>
      </w:pPr>
      <w:r>
        <w:rPr>
          <w:rFonts w:ascii="Courier New" w:cs="Courier New" w:eastAsia="Courier New" w:hAnsi="Courier New"/>
          <w:sz w:val="15"/>
          <w:szCs w:val="15"/>
          <w:color w:val="auto"/>
        </w:rPr>
        <w:t>reserved to the Trustee or to the Securityholders is intended to be exclusive of any other right or remedy, and every right and remedy shall, to the extent permitted by law, be cumulative and in addition to every other right and remedy given hereunder or now or hereafter existing at law or in equity or otherwise. The assertion or employment of any right or remedy hereunder, or otherwise, shall not prevent the concurrent assertion or employment of any other appropriate right or remedy.</w:t>
      </w:r>
    </w:p>
    <w:p>
      <w:pPr>
        <w:spacing w:after="0" w:line="176"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No delay or omission of the Trustee or of any Securityholder to exercise any right or power accruing upon any Event of Default occurring and continuing as aforesaid shall impair any such right or power or shall be construed to be a waiver of any such Event of Default or an acquiescence therein; and, subject to Section 4.06, every power and remedy given by this Indenture or by law to the Trustee or to the Securityholders may be exercised from time to time, and as often as shall be deemed expedient, by the Trustee or by the Securityholders.</w:t>
      </w:r>
    </w:p>
    <w:p>
      <w:pPr>
        <w:spacing w:after="0" w:line="166"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Section 4.09. Control by Securityholders. The Holders of a majority in aggregate principal amount of the Securities of each series affected (with each series voting as a separate class) at the time outstanding shall have the right to direct the time, method, and place of conducting any proceeding for any remedy available to the Trustee, or exercising any trust or power conferred on the Trustee with respect to the Securities of such series by this Indenture; provided that such direction shall not be otherwise than in accordance with law and the provisions of this Indenture and provided further that (subject to the provisions of Section 5.01) the Trustee shall have the right to decline to follow any such direction if the Trustee, being advised by counsel, shall determine that the action or proceeding so directed may not lawfully be taken or if the Trustee in good faith by its board of directors, the executive committee, or a trust committee of directors or Responsible Officers of the Trustee shall determine that the action or proceedings so directed would involve the Trustee in personal liability or if the Trustee in good faith shall so determine that the actions or forbearances specified in or pursuant to such direction would be unduly prejudicial to the interests of Holders of the Securities of all series so affected not joining in the giving of said direction.</w:t>
      </w:r>
    </w:p>
    <w:p>
      <w:pPr>
        <w:spacing w:after="0" w:line="174"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Nothing in this Indenture shall impair the right of the Trustee to take any action which is not inconsistent with such direction or directions by Securityholders.</w:t>
      </w:r>
    </w:p>
    <w:p>
      <w:pPr>
        <w:spacing w:after="0" w:line="174"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Section 4.10. Waiver of Past Defaults. Prior to a declaration of the acceleration of the maturity of the Securities of any series as provided in Section 4.01, the Holders of a majority in aggregate principal amount of the Securities of such series at the time Outstanding (each such series voting as a separate class) may on behalf of the Holders of all the Securities of such series waive an existing default or Event of Default, except a default in the payment of Principal of or interest on any Security as specified in clauses (a) or (b) of Section 4.01 or in respect of a covenant or provision hereof which cannot be modified or amended without the consent of each Holder affected as provided in Section 7.02. In the case of any such waiver, the Issuer, the Trustee and the Holders of the Securities of each series affected shall be restored to their former positions and rights hereunder, respectively.</w:t>
      </w:r>
    </w:p>
    <w:p>
      <w:pPr>
        <w:spacing w:after="0" w:line="164"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Upon any such waiver, such default shall cease to exist and be deemed to have been cured and not to have occurred, and any Event of Default arising therefrom shall be deemed to have been cured, and not to have occurred for every purpose of this Indenture; but no such</w:t>
      </w:r>
    </w:p>
    <w:p>
      <w:pPr>
        <w:spacing w:after="0" w:line="33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28</w:t>
      </w:r>
    </w:p>
    <w:p>
      <w:pPr>
        <w:sectPr>
          <w:pgSz w:w="11900" w:h="16838" w:orient="portrait"/>
          <w:cols w:equalWidth="0" w:num="1">
            <w:col w:w="10239"/>
          </w:cols>
          <w:pgMar w:left="220" w:top="792" w:right="1440" w:bottom="1440" w:gutter="0" w:footer="0" w:header="0"/>
        </w:sectPr>
      </w:pPr>
    </w:p>
    <w:bookmarkStart w:id="107" w:name="page108"/>
    <w:bookmarkEnd w:id="107"/>
    <w:p>
      <w:pPr>
        <w:ind w:right="3499"/>
        <w:spacing w:after="0" w:line="234" w:lineRule="auto"/>
        <w:rPr>
          <w:sz w:val="20"/>
          <w:szCs w:val="20"/>
          <w:color w:val="auto"/>
        </w:rPr>
      </w:pPr>
      <w:r>
        <w:rPr>
          <w:rFonts w:ascii="Courier New" w:cs="Courier New" w:eastAsia="Courier New" w:hAnsi="Courier New"/>
          <w:sz w:val="15"/>
          <w:szCs w:val="15"/>
          <w:color w:val="auto"/>
        </w:rPr>
        <w:t>waiver shall extend to any subsequent or other default or Event of Default or impair any right consequent thereon.</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Section 4.11. Trustee to Give Notice of Default, But May Withhold in Certain Circumstances. The Trustee shall give to the Securityholders of any series, as the names and addresses of such Holders appear on the registry books, notice by mail of all defaults known to Responsible Officers of the Trustee which have occurred with respect to such series, such notice to be transmitted within 90 days after the occurrence thereof, unless such defaults shall have been cured before the giving of such notice (the term "default" or "defaults" for the purposes of this section being hereby defined to mean any event or condition which is, or with notice or lapse of time or both would become, an Event of Default); provided that, except in the case of default in the payment of the principal of or interest on any of the Securities of such series, or in the payment of any sinking or purchase fund installment with respect to the Securities of such series, the Trustee shall be protected in withholding such notice if and so long as the board of directors, the executive committee, or a trust committee of directors or trustees and/or Responsible Officers of the Trustee in good faith determines that the withholding of such notice is in the interests of the Securityholders of such series.</w:t>
      </w:r>
    </w:p>
    <w:p>
      <w:pPr>
        <w:spacing w:after="0" w:line="331"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Section 4.12. Right of Court to Require Filing of Undertaking to Pay Costs. All parties to this Indenture agree, and each Holder of any Security by his acceptance thereof shall be deemed to have agreed, that any court may in its discretion require, in any suit for the enforcement of any right or remedy under this Indenture or in any suit against the Trustee for any action taken, suffered or omitted by it as Trustee, the filing by any party litigant in such suit of an undertaking to pay the costs of such suit, and that such court may in its discretion assess reasonable costs, including reasonable attorneys' fees and expenses, against any party litigant in such suit, having due regard to the merits and good faith of the claims or defenses made by such party litigant; but the provisions of this section shall not apply to any suit instituted by the Trustee, to any suit instituted by any Securityholder or group of Securityholders of any series holding in the aggregate more than 10% in aggregate principal amount of the Securities of such series, or, to any suit instituted by a Holder pursuant to Section 4.07.</w:t>
      </w:r>
    </w:p>
    <w:p>
      <w:pPr>
        <w:spacing w:after="0" w:line="336"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Article 5</w:t>
      </w:r>
    </w:p>
    <w:p>
      <w:pPr>
        <w:ind w:left="2540"/>
        <w:spacing w:after="0" w:line="237" w:lineRule="auto"/>
        <w:rPr>
          <w:sz w:val="20"/>
          <w:szCs w:val="20"/>
          <w:color w:val="auto"/>
        </w:rPr>
      </w:pPr>
      <w:r>
        <w:rPr>
          <w:rFonts w:ascii="Courier New" w:cs="Courier New" w:eastAsia="Courier New" w:hAnsi="Courier New"/>
          <w:sz w:val="15"/>
          <w:szCs w:val="15"/>
          <w:color w:val="auto"/>
        </w:rPr>
        <w:t>CONCERNING THE TRUSTEE</w:t>
      </w:r>
    </w:p>
    <w:p>
      <w:pPr>
        <w:spacing w:after="0" w:line="173"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Section 5.01. Duties and Responsibilities of the Trustee; During Default; Prior to Default. With respect to the Holders of any series of Securities issued hereunder, the Trustee, prior to the occurrence of an Event of Default with respect to the Securities of a particular series and after the curing or waiving of all Events of Default which may have occurred with respect to such series, undertakes to perform such duties and only such duties as are specifically set forth in this Indenture. In case an Event of Default with respect to the Securities of a series has occurred (which has not been cured or waived) the Trustee shall exercise such of the rights and powers vested in it by this Indenture, and use the same degree of care and skill in their exercise, as a prudent person would exercise or use under the circumstances in the conduct of such person's own affairs.</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29</w:t>
      </w:r>
    </w:p>
    <w:p>
      <w:pPr>
        <w:sectPr>
          <w:pgSz w:w="11900" w:h="16838" w:orient="portrait"/>
          <w:cols w:equalWidth="0" w:num="1">
            <w:col w:w="10239"/>
          </w:cols>
          <w:pgMar w:left="220" w:top="792" w:right="1440" w:bottom="1440" w:gutter="0" w:footer="0" w:header="0"/>
        </w:sectPr>
      </w:pPr>
    </w:p>
    <w:bookmarkStart w:id="108" w:name="page109"/>
    <w:bookmarkEnd w:id="108"/>
    <w:p>
      <w:pPr>
        <w:ind w:right="3399" w:firstLine="447"/>
        <w:spacing w:after="0" w:line="235" w:lineRule="auto"/>
        <w:tabs>
          <w:tab w:leader="none" w:pos="787" w:val="left"/>
        </w:tabs>
        <w:numPr>
          <w:ilvl w:val="0"/>
          <w:numId w:val="1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Prior to the occurrence of an Event of Default with respect to the Securities of any series and after the curing or waiving of all such Events of Default with respect to such series which may have occurred:</w:t>
      </w:r>
    </w:p>
    <w:p>
      <w:pPr>
        <w:spacing w:after="0" w:line="173" w:lineRule="exact"/>
        <w:rPr>
          <w:rFonts w:ascii="Courier New" w:cs="Courier New" w:eastAsia="Courier New" w:hAnsi="Courier New"/>
          <w:sz w:val="15"/>
          <w:szCs w:val="15"/>
          <w:color w:val="auto"/>
        </w:rPr>
      </w:pPr>
    </w:p>
    <w:p>
      <w:pPr>
        <w:ind w:left="440" w:right="3319" w:firstLine="444"/>
        <w:spacing w:after="0" w:line="236" w:lineRule="auto"/>
        <w:tabs>
          <w:tab w:leader="none" w:pos="1227" w:val="left"/>
        </w:tabs>
        <w:numPr>
          <w:ilvl w:val="1"/>
          <w:numId w:val="1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duties and obligations of the Trustee with respect to the Securities of any Series shall be determined solely by the express provisions of this Indenture, and the Trustee shall not be liable except for the performance of such duties and obligations as are specifically set forth in this Indenture, and no implied covenants or obligations shall be read into this Indenture against the Trustee; and</w:t>
      </w:r>
    </w:p>
    <w:p>
      <w:pPr>
        <w:spacing w:after="0" w:line="174" w:lineRule="exact"/>
        <w:rPr>
          <w:rFonts w:ascii="Courier New" w:cs="Courier New" w:eastAsia="Courier New" w:hAnsi="Courier New"/>
          <w:sz w:val="15"/>
          <w:szCs w:val="15"/>
          <w:color w:val="auto"/>
        </w:rPr>
      </w:pPr>
    </w:p>
    <w:p>
      <w:pPr>
        <w:ind w:left="440" w:right="3319" w:firstLine="444"/>
        <w:spacing w:after="0" w:line="236" w:lineRule="auto"/>
        <w:tabs>
          <w:tab w:leader="none" w:pos="1227" w:val="left"/>
        </w:tabs>
        <w:numPr>
          <w:ilvl w:val="1"/>
          <w:numId w:val="1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absence of bad faith on the part of the Trustee, the Trustee may conclusively rely, as to the truth of the statements and the correctness of the opinions expressed therein, upon any statements, certificates or opinions furnished to the Trustee and conforming to the requirements of this Indenture; but in the case of any such statements, certificates or opinions which by any provision hereof are specifically required to be furnished to the Trustee, the Trustee shall be under a duty to examine the same to determine whether or not they conform to the requirements of this Indenture;</w:t>
      </w:r>
    </w:p>
    <w:p>
      <w:pPr>
        <w:spacing w:after="0" w:line="178" w:lineRule="exact"/>
        <w:rPr>
          <w:rFonts w:ascii="Courier New" w:cs="Courier New" w:eastAsia="Courier New" w:hAnsi="Courier New"/>
          <w:sz w:val="15"/>
          <w:szCs w:val="15"/>
          <w:color w:val="auto"/>
        </w:rPr>
      </w:pPr>
    </w:p>
    <w:p>
      <w:pPr>
        <w:ind w:right="3399" w:firstLine="447"/>
        <w:spacing w:after="0" w:line="235" w:lineRule="auto"/>
        <w:tabs>
          <w:tab w:leader="none" w:pos="787" w:val="left"/>
        </w:tabs>
        <w:numPr>
          <w:ilvl w:val="0"/>
          <w:numId w:val="1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provision of this Indenture shall be construed to relieve the Trustee from liability for its own negligent action, its own negligent failure to act or its own willful misconduct, except that:</w:t>
      </w:r>
    </w:p>
    <w:p>
      <w:pPr>
        <w:spacing w:after="0" w:line="173" w:lineRule="exact"/>
        <w:rPr>
          <w:rFonts w:ascii="Courier New" w:cs="Courier New" w:eastAsia="Courier New" w:hAnsi="Courier New"/>
          <w:sz w:val="15"/>
          <w:szCs w:val="15"/>
          <w:color w:val="auto"/>
        </w:rPr>
      </w:pPr>
    </w:p>
    <w:p>
      <w:pPr>
        <w:ind w:left="440" w:right="3319" w:firstLine="444"/>
        <w:spacing w:after="0" w:line="234" w:lineRule="auto"/>
        <w:tabs>
          <w:tab w:leader="none" w:pos="1227" w:val="left"/>
        </w:tabs>
        <w:numPr>
          <w:ilvl w:val="1"/>
          <w:numId w:val="1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subsection (b) shall not be construed to limit the effect of subsection (a) of this Section;</w:t>
      </w:r>
    </w:p>
    <w:p>
      <w:pPr>
        <w:spacing w:after="0" w:line="173" w:lineRule="exact"/>
        <w:rPr>
          <w:rFonts w:ascii="Courier New" w:cs="Courier New" w:eastAsia="Courier New" w:hAnsi="Courier New"/>
          <w:sz w:val="15"/>
          <w:szCs w:val="15"/>
          <w:color w:val="auto"/>
        </w:rPr>
      </w:pPr>
    </w:p>
    <w:p>
      <w:pPr>
        <w:ind w:left="440" w:right="3239" w:firstLine="444"/>
        <w:spacing w:after="0" w:line="235" w:lineRule="auto"/>
        <w:tabs>
          <w:tab w:leader="none" w:pos="1227" w:val="left"/>
        </w:tabs>
        <w:numPr>
          <w:ilvl w:val="1"/>
          <w:numId w:val="1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Trustee shall not be liable for any error of judgment made in good faith by a Responsible Officer or Responsible Officers of the Trustee, unless it shall be proved that the Trustee was negligent in ascertaining the pertinent facts; and</w:t>
      </w:r>
    </w:p>
    <w:p>
      <w:pPr>
        <w:spacing w:after="0" w:line="175" w:lineRule="exact"/>
        <w:rPr>
          <w:rFonts w:ascii="Courier New" w:cs="Courier New" w:eastAsia="Courier New" w:hAnsi="Courier New"/>
          <w:sz w:val="15"/>
          <w:szCs w:val="15"/>
          <w:color w:val="auto"/>
        </w:rPr>
      </w:pPr>
    </w:p>
    <w:p>
      <w:pPr>
        <w:ind w:left="440" w:right="3319" w:firstLine="444"/>
        <w:spacing w:after="0" w:line="236" w:lineRule="auto"/>
        <w:tabs>
          <w:tab w:leader="none" w:pos="1227" w:val="left"/>
        </w:tabs>
        <w:numPr>
          <w:ilvl w:val="1"/>
          <w:numId w:val="1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Trustee shall not be liable with respect to any action taken, suffered or omitted to be taken by it in good faith in accordance with the direction of the holders relating to the time, method and place of conducting any proceeding for any remedy available to the Trustee, or exercising any trust or power conferred upon the Trustee, under this Indenture.</w:t>
      </w:r>
    </w:p>
    <w:p>
      <w:pPr>
        <w:spacing w:after="0" w:line="175"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None of the provisions contained in this Indenture shall require the Trustee to expend or risk its own funds or otherwise incur personal financial liability in the performance of any of its duties or in the exercise of any of its rights or powers, if there shall be reasonable ground for believing that the repayment of such funds or adequate indemnity against such liability is not reasonably assured to it.</w:t>
      </w:r>
    </w:p>
    <w:p>
      <w:pPr>
        <w:spacing w:after="0" w:line="175" w:lineRule="exact"/>
        <w:rPr>
          <w:sz w:val="20"/>
          <w:szCs w:val="20"/>
          <w:color w:val="auto"/>
        </w:rPr>
      </w:pPr>
    </w:p>
    <w:p>
      <w:pPr>
        <w:ind w:right="3499" w:firstLine="437"/>
        <w:spacing w:after="0" w:line="234" w:lineRule="auto"/>
        <w:rPr>
          <w:sz w:val="20"/>
          <w:szCs w:val="20"/>
          <w:color w:val="auto"/>
        </w:rPr>
      </w:pPr>
      <w:r>
        <w:rPr>
          <w:rFonts w:ascii="Courier New" w:cs="Courier New" w:eastAsia="Courier New" w:hAnsi="Courier New"/>
          <w:sz w:val="15"/>
          <w:szCs w:val="15"/>
          <w:color w:val="auto"/>
        </w:rPr>
        <w:t>The provisions of this Section 5.01 are in furtherance of and subject to Sections 315 and 316 of the Trust Indenture Act of 1939.</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30</w:t>
      </w:r>
    </w:p>
    <w:p>
      <w:pPr>
        <w:sectPr>
          <w:pgSz w:w="11900" w:h="16838" w:orient="portrait"/>
          <w:cols w:equalWidth="0" w:num="1">
            <w:col w:w="10239"/>
          </w:cols>
          <w:pgMar w:left="220" w:top="792" w:right="1440" w:bottom="1440" w:gutter="0" w:footer="0" w:header="0"/>
        </w:sectPr>
      </w:pPr>
    </w:p>
    <w:bookmarkStart w:id="109" w:name="page110"/>
    <w:bookmarkEnd w:id="109"/>
    <w:p>
      <w:pPr>
        <w:ind w:right="3579" w:firstLine="437"/>
        <w:spacing w:after="0" w:line="235" w:lineRule="auto"/>
        <w:rPr>
          <w:sz w:val="20"/>
          <w:szCs w:val="20"/>
          <w:color w:val="auto"/>
        </w:rPr>
      </w:pPr>
      <w:r>
        <w:rPr>
          <w:rFonts w:ascii="Courier New" w:cs="Courier New" w:eastAsia="Courier New" w:hAnsi="Courier New"/>
          <w:sz w:val="15"/>
          <w:szCs w:val="15"/>
          <w:color w:val="auto"/>
        </w:rPr>
        <w:t>Whether or not therein expressly provided, every provision of this Indenture relating to the conduct or affecting the liability of or affording protection to the Trustee shall be subject to the provisions of this Section 5.01.</w:t>
      </w:r>
    </w:p>
    <w:p>
      <w:pPr>
        <w:spacing w:after="0" w:line="175" w:lineRule="exact"/>
        <w:rPr>
          <w:sz w:val="20"/>
          <w:szCs w:val="20"/>
          <w:color w:val="auto"/>
        </w:rPr>
      </w:pPr>
    </w:p>
    <w:p>
      <w:pPr>
        <w:ind w:right="3319" w:firstLine="437"/>
        <w:spacing w:after="0" w:line="234" w:lineRule="auto"/>
        <w:rPr>
          <w:sz w:val="20"/>
          <w:szCs w:val="20"/>
          <w:color w:val="auto"/>
        </w:rPr>
      </w:pPr>
      <w:r>
        <w:rPr>
          <w:rFonts w:ascii="Courier New" w:cs="Courier New" w:eastAsia="Courier New" w:hAnsi="Courier New"/>
          <w:sz w:val="15"/>
          <w:szCs w:val="15"/>
          <w:color w:val="auto"/>
        </w:rPr>
        <w:t>Section 5.02. Certain Rights of the Trustee. In furtherance of and subject to the Trust Indenture Act of 1939, and subject to Section 5.01:</w:t>
      </w:r>
    </w:p>
    <w:p>
      <w:pPr>
        <w:spacing w:after="0" w:line="173" w:lineRule="exact"/>
        <w:rPr>
          <w:sz w:val="20"/>
          <w:szCs w:val="20"/>
          <w:color w:val="auto"/>
        </w:rPr>
      </w:pPr>
    </w:p>
    <w:p>
      <w:pPr>
        <w:ind w:right="3239" w:firstLine="447"/>
        <w:spacing w:after="0" w:line="236" w:lineRule="auto"/>
        <w:tabs>
          <w:tab w:leader="none" w:pos="787" w:val="left"/>
        </w:tabs>
        <w:numPr>
          <w:ilvl w:val="0"/>
          <w:numId w:val="1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Trustee may conclusively rely and shall be protected in acting or refraining from acting upon any resolution, Officers' Certificate or any other certificate, statement, instrument, opinion, report, notice, request, direction, consent, order, bond, debenture, note, coupon, security or other paper or document believed by it to be genuine and to have been signed or presented by the proper party or parties;</w:t>
      </w:r>
    </w:p>
    <w:p>
      <w:pPr>
        <w:spacing w:after="0" w:line="174" w:lineRule="exact"/>
        <w:rPr>
          <w:rFonts w:ascii="Courier New" w:cs="Courier New" w:eastAsia="Courier New" w:hAnsi="Courier New"/>
          <w:sz w:val="15"/>
          <w:szCs w:val="15"/>
          <w:color w:val="auto"/>
        </w:rPr>
      </w:pPr>
    </w:p>
    <w:p>
      <w:pPr>
        <w:ind w:right="3319" w:firstLine="447"/>
        <w:spacing w:after="0" w:line="256" w:lineRule="auto"/>
        <w:tabs>
          <w:tab w:leader="none" w:pos="787" w:val="left"/>
        </w:tabs>
        <w:numPr>
          <w:ilvl w:val="0"/>
          <w:numId w:val="1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request, direction, order or demand of the Issuer mentioned herein shall be sufficiently evidenced by an Officers' Certificate (unless other evidence in respect thereof be herein specifically prescribed); and any resolution of the Board of Directors may be evidenced to the Trustee by a copy thereof certified by the secretary or an assistant secretary of the Issuer;</w:t>
      </w:r>
    </w:p>
    <w:p>
      <w:pPr>
        <w:spacing w:after="0" w:line="163" w:lineRule="exact"/>
        <w:rPr>
          <w:rFonts w:ascii="Courier New" w:cs="Courier New" w:eastAsia="Courier New" w:hAnsi="Courier New"/>
          <w:sz w:val="14"/>
          <w:szCs w:val="14"/>
          <w:color w:val="auto"/>
        </w:rPr>
      </w:pPr>
    </w:p>
    <w:p>
      <w:pPr>
        <w:ind w:right="3239" w:firstLine="447"/>
        <w:spacing w:after="0" w:line="256" w:lineRule="auto"/>
        <w:tabs>
          <w:tab w:leader="none" w:pos="787" w:val="left"/>
        </w:tabs>
        <w:numPr>
          <w:ilvl w:val="0"/>
          <w:numId w:val="1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Trustee may consult with counsel of its selection and any advice or Opinion of Counsel shall be full and complete authorization and protection in respect of any action taken, suffered or omitted to be taken by it hereunder in good faith and in accordance with such advice or Opinion of Counsel;</w:t>
      </w:r>
    </w:p>
    <w:p>
      <w:pPr>
        <w:spacing w:after="0" w:line="164" w:lineRule="exact"/>
        <w:rPr>
          <w:rFonts w:ascii="Courier New" w:cs="Courier New" w:eastAsia="Courier New" w:hAnsi="Courier New"/>
          <w:sz w:val="14"/>
          <w:szCs w:val="14"/>
          <w:color w:val="auto"/>
        </w:rPr>
      </w:pPr>
    </w:p>
    <w:p>
      <w:pPr>
        <w:ind w:right="3239" w:firstLine="447"/>
        <w:spacing w:after="0" w:line="255" w:lineRule="auto"/>
        <w:tabs>
          <w:tab w:leader="none" w:pos="787" w:val="left"/>
        </w:tabs>
        <w:numPr>
          <w:ilvl w:val="0"/>
          <w:numId w:val="1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Trustee shall be under no obligation to exercise any of the trusts or powers vested in it by this Indenture at the request, order or direction of any of the Securityholders pursuant to the provisions of this Indenture, unless such Securityholders shall have offered to the Trustee reasonable security or indemnity against the costs, expenses and liabilities which might be incurred by it in connection with such request, order or direction;</w:t>
      </w:r>
    </w:p>
    <w:p>
      <w:pPr>
        <w:spacing w:after="0" w:line="166" w:lineRule="exact"/>
        <w:rPr>
          <w:rFonts w:ascii="Courier New" w:cs="Courier New" w:eastAsia="Courier New" w:hAnsi="Courier New"/>
          <w:sz w:val="14"/>
          <w:szCs w:val="14"/>
          <w:color w:val="auto"/>
        </w:rPr>
      </w:pPr>
    </w:p>
    <w:p>
      <w:pPr>
        <w:ind w:right="3399" w:firstLine="447"/>
        <w:spacing w:after="0" w:line="235" w:lineRule="auto"/>
        <w:tabs>
          <w:tab w:leader="none" w:pos="787" w:val="left"/>
        </w:tabs>
        <w:numPr>
          <w:ilvl w:val="0"/>
          <w:numId w:val="1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Trustee shall not be liable for any action taken or omitted by it in good faith and believed by it to be authorized or within the discretion, rights or powers conferred upon it by this Indenture;</w:t>
      </w:r>
    </w:p>
    <w:p>
      <w:pPr>
        <w:spacing w:after="0" w:line="173" w:lineRule="exact"/>
        <w:rPr>
          <w:rFonts w:ascii="Courier New" w:cs="Courier New" w:eastAsia="Courier New" w:hAnsi="Courier New"/>
          <w:sz w:val="15"/>
          <w:szCs w:val="15"/>
          <w:color w:val="auto"/>
        </w:rPr>
      </w:pPr>
    </w:p>
    <w:p>
      <w:pPr>
        <w:ind w:right="3239" w:firstLine="447"/>
        <w:spacing w:after="0" w:line="237" w:lineRule="auto"/>
        <w:tabs>
          <w:tab w:leader="none" w:pos="787" w:val="left"/>
        </w:tabs>
        <w:numPr>
          <w:ilvl w:val="0"/>
          <w:numId w:val="1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prior to the occurrence of an Event of Default hereunder and after the curing or waiving of all Events of Default, the Trustee shall not be bound to make any investigation into the facts or matters stated in any resolution, certificate, statement, instrument, opinion, report, notice, request, consent, order, approval, appraisal, bond, debenture, note, coupon, security, or other paper or document unless requested in writing so to do by the holders of not less than a majority in aggregate principal amount of the Securities of all series affected then outstanding; provided that, if the payment within a reasonable time to the Trustee of the costs, expenses or liabilities likely to be incurred by it in the making of such investigation is, in the opinion of the Trustee, not reasonably assured to the Trustee by the security afforded to it by the terms of this Indenture, the Trustee may require indemnity satisfactory to it against such expenses or liabilities as a condition to proceeding; the reasonable expenses of every such investigation shall be paid by the Issuer or, if paid by the Trustee or any predecessor trustee, shall be repaid by the Issuer upon demand;</w:t>
      </w:r>
    </w:p>
    <w:p>
      <w:pPr>
        <w:spacing w:after="0" w:line="33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31</w:t>
      </w:r>
    </w:p>
    <w:p>
      <w:pPr>
        <w:sectPr>
          <w:pgSz w:w="11900" w:h="16838" w:orient="portrait"/>
          <w:cols w:equalWidth="0" w:num="1">
            <w:col w:w="10239"/>
          </w:cols>
          <w:pgMar w:left="220" w:top="792" w:right="1440" w:bottom="1440" w:gutter="0" w:footer="0" w:header="0"/>
        </w:sectPr>
      </w:pPr>
    </w:p>
    <w:bookmarkStart w:id="110" w:name="page111"/>
    <w:bookmarkEnd w:id="110"/>
    <w:p>
      <w:pPr>
        <w:ind w:right="3399" w:firstLine="447"/>
        <w:spacing w:after="0" w:line="236" w:lineRule="auto"/>
        <w:tabs>
          <w:tab w:leader="none" w:pos="787" w:val="left"/>
        </w:tabs>
        <w:numPr>
          <w:ilvl w:val="0"/>
          <w:numId w:val="1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Trustee may execute any of the trusts or powers hereunder or perform any duties hereunder either directly or by or through agents or attorneys not regularly in its employ and the Trustee shall not be responsible for any misconduct or negligence on the part of any such agent or attorney appointed with due care by it hereunder;</w:t>
      </w:r>
    </w:p>
    <w:p>
      <w:pPr>
        <w:spacing w:after="0" w:line="173" w:lineRule="exact"/>
        <w:rPr>
          <w:rFonts w:ascii="Courier New" w:cs="Courier New" w:eastAsia="Courier New" w:hAnsi="Courier New"/>
          <w:sz w:val="15"/>
          <w:szCs w:val="15"/>
          <w:color w:val="auto"/>
        </w:rPr>
      </w:pPr>
    </w:p>
    <w:p>
      <w:pPr>
        <w:ind w:right="3759" w:firstLine="447"/>
        <w:spacing w:after="0" w:line="235" w:lineRule="auto"/>
        <w:tabs>
          <w:tab w:leader="none" w:pos="787" w:val="left"/>
        </w:tabs>
        <w:numPr>
          <w:ilvl w:val="0"/>
          <w:numId w:val="1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Trustee shall not be liable for any action taken, suffered or omitted in good faith and believed by it to be authorized or within the discretion, rights or powers conferred upon it by this Indenture;</w:t>
      </w:r>
    </w:p>
    <w:p>
      <w:pPr>
        <w:spacing w:after="0" w:line="173" w:lineRule="exact"/>
        <w:rPr>
          <w:rFonts w:ascii="Courier New" w:cs="Courier New" w:eastAsia="Courier New" w:hAnsi="Courier New"/>
          <w:sz w:val="15"/>
          <w:szCs w:val="15"/>
          <w:color w:val="auto"/>
        </w:rPr>
      </w:pPr>
    </w:p>
    <w:p>
      <w:pPr>
        <w:ind w:right="3239" w:firstLine="447"/>
        <w:spacing w:after="0" w:line="236" w:lineRule="auto"/>
        <w:tabs>
          <w:tab w:leader="none" w:pos="787" w:val="left"/>
        </w:tabs>
        <w:numPr>
          <w:ilvl w:val="0"/>
          <w:numId w:val="1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Trustee shall not be deemed to have notice of any Default or Event of Default unless a Responsible Officer of the Trustee has actual knowledge thereof or unless written notice of any event which is in fact such a default is received by the Trustee at the Corporate Trust Office of the Trustee, and such notice references the Securities and this Indenture;</w:t>
      </w:r>
    </w:p>
    <w:p>
      <w:pPr>
        <w:spacing w:after="0" w:line="173" w:lineRule="exact"/>
        <w:rPr>
          <w:rFonts w:ascii="Courier New" w:cs="Courier New" w:eastAsia="Courier New" w:hAnsi="Courier New"/>
          <w:sz w:val="15"/>
          <w:szCs w:val="15"/>
          <w:color w:val="auto"/>
        </w:rPr>
      </w:pPr>
    </w:p>
    <w:p>
      <w:pPr>
        <w:ind w:right="3239" w:firstLine="447"/>
        <w:spacing w:after="0" w:line="236" w:lineRule="auto"/>
        <w:tabs>
          <w:tab w:leader="none" w:pos="787" w:val="left"/>
        </w:tabs>
        <w:numPr>
          <w:ilvl w:val="0"/>
          <w:numId w:val="1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rights, privileges, protections, immunities and benefits given to the Trustee, including, without limitation, its right to be indemnified, are extended to, and shall be enforceable by, the Trustee in each of its capacities hereunder, and each agent, custodian and other Person employed to act hereunder; and</w:t>
      </w:r>
    </w:p>
    <w:p>
      <w:pPr>
        <w:spacing w:after="0" w:line="173" w:lineRule="exact"/>
        <w:rPr>
          <w:rFonts w:ascii="Courier New" w:cs="Courier New" w:eastAsia="Courier New" w:hAnsi="Courier New"/>
          <w:sz w:val="15"/>
          <w:szCs w:val="15"/>
          <w:color w:val="auto"/>
        </w:rPr>
      </w:pPr>
    </w:p>
    <w:p>
      <w:pPr>
        <w:ind w:right="3499" w:firstLine="447"/>
        <w:spacing w:after="0" w:line="255" w:lineRule="auto"/>
        <w:tabs>
          <w:tab w:leader="none" w:pos="787" w:val="left"/>
        </w:tabs>
        <w:numPr>
          <w:ilvl w:val="0"/>
          <w:numId w:val="1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Trustee may request that the Issuer deliver an Officers' Certificate setting forth the names of individuals and/or titles of officers authorized at such time to take specified actions pursuant to this Indenture, which Officers' Certificate may be signed by any person authorized to sign an Officers' Certificate, including any person specified as so authorized in any such certificate previously delivered and not superseded.</w:t>
      </w:r>
    </w:p>
    <w:p>
      <w:pPr>
        <w:spacing w:after="0" w:line="166"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Section 5.03. Trustee Not Responsible for Recitals, Disposition of Securities or Application of Proceeds Thereof. The recitals contained herein and in the Securities, except the Trustee's certificates of authentication, shall be taken as the statements of the Issuer, and the Trustee assumes no responsibility for the correctness of the same. The Trustee makes no representation as to the validity or sufficiency of this Indenture, the Securities or the Cable Guarantees. The Trustee shall not be accountable for the use or application by the Issuer of any of the Securities or of the proceeds thereof.</w:t>
      </w:r>
    </w:p>
    <w:p>
      <w:pPr>
        <w:spacing w:after="0" w:line="166"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Section 5.04. Trustee and Agents May Hold Securities; Collections, etc. The Trustee or any agent of the Issuer or the Trustee, in its individual or any other capacity, may become the owner or pledgee of Securities with the same rights it would have if it were not the Trustee or such agent and may otherwise deal with the Issuer and receive, collect, hold and retain collections from the Issuer with the same rights it would have if it were not the Trustee or such agent.</w:t>
      </w:r>
    </w:p>
    <w:p>
      <w:pPr>
        <w:spacing w:after="0" w:line="176"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Section 5.05. Moneys Held by Trustee. All moneys received by the Trustee in trust hereunder need not be segregated from other funds except to the extent required by mandatory provisions of law. Neither the Trustee nor any agent of the Issuer or the Trustee shall be under any liability for interest on any moneys received by it hereunder.</w:t>
      </w:r>
    </w:p>
    <w:p>
      <w:pPr>
        <w:spacing w:after="0" w:line="174"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Section 5.06. Compensation and Indemnification of Trustee and Its Prior Claim. The Issuer covenants and agrees to pay to the Trustee from time to time, and the Trustee shall be entitled to, such compensation as shall be agreed in writing from time to time by the Issuer and</w:t>
      </w:r>
    </w:p>
    <w:p>
      <w:pPr>
        <w:spacing w:after="0" w:line="33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32</w:t>
      </w:r>
    </w:p>
    <w:p>
      <w:pPr>
        <w:sectPr>
          <w:pgSz w:w="11900" w:h="16838" w:orient="portrait"/>
          <w:cols w:equalWidth="0" w:num="1">
            <w:col w:w="10239"/>
          </w:cols>
          <w:pgMar w:left="220" w:top="792" w:right="1440" w:bottom="1440" w:gutter="0" w:footer="0" w:header="0"/>
        </w:sectPr>
      </w:pPr>
    </w:p>
    <w:bookmarkStart w:id="111" w:name="page112"/>
    <w:bookmarkEnd w:id="111"/>
    <w:p>
      <w:pPr>
        <w:ind w:right="3239"/>
        <w:spacing w:after="0" w:line="254" w:lineRule="auto"/>
        <w:rPr>
          <w:sz w:val="20"/>
          <w:szCs w:val="20"/>
          <w:color w:val="auto"/>
        </w:rPr>
      </w:pPr>
      <w:r>
        <w:rPr>
          <w:rFonts w:ascii="Courier New" w:cs="Courier New" w:eastAsia="Courier New" w:hAnsi="Courier New"/>
          <w:sz w:val="14"/>
          <w:szCs w:val="14"/>
          <w:color w:val="auto"/>
        </w:rPr>
        <w:t>the Trustee (which shall not be limited by any provision of law in regard to the compensation of a trustee of an express trust) and the Issuer covenants and agrees to pay or reimburse the Trustee and each predecessor Trustee upon its request for all reasonable expenses, disbursements and advances incurred or made by or on behalf of it in accordance with any of the provisions of this Indenture (including the reasonable compensation and the expenses and disbursements of its counsel and of all agents and other persons not regularly in its employ) except to the extent any such expense, disbursement or advance may arise from its negligence or bad faith. The Issuer also covenants and agrees to indemnify the Trustee and each predecessor Trustee for, and to hold it harmless against, any loss, liability or expense arising out of or in connection with the acceptance or administration of this Indenture or the trusts hereunder and the performance of its duties hereunder, including the costs and expenses of defending itself against or investigating any claim of liability (whether asserted by the Issuer, a Cable Guarantor, a Holder or any other Person) in the premises, except to the extent such loss, liability or expense is due to the negligence or bad faith of the Trustee or such predecessor Trustee. The obligations of the Issuer under this section to compensate and indemnify the Trustee and each predecessor Trustee and to pay or reimburse the Trustee and each predecessor Trustee for expenses, disbursements and advances shall constitute additional indebtedness hereunder and shall survive the satisfaction and discharge of this Indenture or the resignation or removal of the Trustee. Such additional indebtedness shall be a senior claim and lien to that of the Securities upon all property and funds held or collected by the Trustee as such, except funds held in trust for the benefit of the holders of particular Securities, and the Securities are hereby subordinated to such senior claim. The parties agree that if the Trustee renders services following an Event of Default under Section 4.01(d) or (e), compensation for such services is intended to constitute administrative expense under any bankruptcy law.</w:t>
      </w:r>
    </w:p>
    <w:p>
      <w:pPr>
        <w:spacing w:after="0" w:line="346"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Section 5.07. Right of Trustee to Rely on Officers' Certificate, etc. Subject to Sections 5.01 and 5.02, whenever in the administration of the trusts of this Indenture the Trustee shall deem it necessary or desirable that a matter be proved or established prior to taking or suffering or omitting any action hereunder, such matter (unless other evidence in respect thereof be herein specifically prescribed) may, in the absence of negligence or bad faith on the part of the Trustee, be deemed to be conclusively proved and established by an Officers' Certificate delivered to the Trustee, and such certificate, in the absence of negligence or bad faith on the part of the Trustee, shall be full warrant to the Trustee for any action taken, suffered or omitted by it under the provisions of this Indenture upon the faith thereof.</w:t>
      </w:r>
    </w:p>
    <w:p>
      <w:pPr>
        <w:spacing w:after="0" w:line="165"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Section 5.08. Persons Eligible for Appointment as Trustee. The Trustee for each series of Securities hereunder shall at all times be a corporation which is eligible in accordance with the provisions of Section 310(a) of the Trust Indenture Act of 1939 and which has, or is a Wholly-Owned Subsidiary, directly or indirectly of a bank holding company which has, a combined capital and surplus of $50,000,000. If such corporation or holding company publishes reports of condition at least annually, pursuant to law or to the requirements of a Federal, State or District of Columbia supervising or examining authority, then for the purposes of this Section, the combined capital and surplus of such corporation or holding company shall be deemed to be its combined capital and surplus as set forth in its most recent report of condition so published.</w:t>
      </w:r>
    </w:p>
    <w:p>
      <w:pPr>
        <w:spacing w:after="0" w:line="165" w:lineRule="exact"/>
        <w:rPr>
          <w:sz w:val="20"/>
          <w:szCs w:val="20"/>
          <w:color w:val="auto"/>
        </w:rPr>
      </w:pPr>
    </w:p>
    <w:p>
      <w:pPr>
        <w:jc w:val="both"/>
        <w:ind w:right="3399" w:firstLine="437"/>
        <w:spacing w:after="0" w:line="235" w:lineRule="auto"/>
        <w:rPr>
          <w:sz w:val="20"/>
          <w:szCs w:val="20"/>
          <w:color w:val="auto"/>
        </w:rPr>
      </w:pPr>
      <w:r>
        <w:rPr>
          <w:rFonts w:ascii="Courier New" w:cs="Courier New" w:eastAsia="Courier New" w:hAnsi="Courier New"/>
          <w:sz w:val="15"/>
          <w:szCs w:val="15"/>
          <w:color w:val="auto"/>
        </w:rPr>
        <w:t>Section 5.09. Resignation and Removal; Appointment of Successor Trustee. Error! Bookmark not defined. The Trustee, or any trustee or trustees hereafter appointed, may at any time resign with respect to one</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33</w:t>
      </w:r>
    </w:p>
    <w:p>
      <w:pPr>
        <w:sectPr>
          <w:pgSz w:w="11900" w:h="16838" w:orient="portrait"/>
          <w:cols w:equalWidth="0" w:num="1">
            <w:col w:w="10239"/>
          </w:cols>
          <w:pgMar w:left="220" w:top="792" w:right="1440" w:bottom="1440" w:gutter="0" w:footer="0" w:header="0"/>
        </w:sectPr>
      </w:pPr>
    </w:p>
    <w:bookmarkStart w:id="112" w:name="page113"/>
    <w:bookmarkEnd w:id="112"/>
    <w:p>
      <w:pPr>
        <w:ind w:right="3239"/>
        <w:spacing w:after="0" w:line="237" w:lineRule="auto"/>
        <w:rPr>
          <w:sz w:val="20"/>
          <w:szCs w:val="20"/>
          <w:color w:val="auto"/>
        </w:rPr>
      </w:pPr>
      <w:r>
        <w:rPr>
          <w:rFonts w:ascii="Courier New" w:cs="Courier New" w:eastAsia="Courier New" w:hAnsi="Courier New"/>
          <w:sz w:val="15"/>
          <w:szCs w:val="15"/>
          <w:color w:val="auto"/>
        </w:rPr>
        <w:t>or more or all series of Securities by giving written notice of resignation to the Issuer. Upon receiving such notice of resignation, the Issuer shall promptly appoint a successor trustee or trustees with respect to the applicable series by written instrument in duplicate, executed by authority of the Board of Directors, one copy of which instrument shall be delivered to the resigning Trustee and one copy to the successor trustee or trustees. If no successor Trustee shall have been so appointed with respect to any series and have accepted appointment within 30 days after the mailing of such notice of resignation, the resigning Trustee may petition, at the expense of the Issuer, any court of competent jurisdiction for the appointment of a successor Trustee, or any Securityholder who has been a bona fide Holder of a Security or Securities of the applicable series for at least six months may, subject to the provisions of Section 4.12, on behalf of himself and all others similarly situated, petition any such court for the appointment of a successor Trustee. Such court may thereupon, after such notice, if any, as it may deem proper and prescribe, appoint a successor Trustee.</w:t>
      </w:r>
    </w:p>
    <w:p>
      <w:pPr>
        <w:spacing w:after="0" w:line="168" w:lineRule="exact"/>
        <w:rPr>
          <w:sz w:val="20"/>
          <w:szCs w:val="20"/>
          <w:color w:val="auto"/>
        </w:rPr>
      </w:pPr>
    </w:p>
    <w:p>
      <w:pPr>
        <w:ind w:left="800" w:hanging="353"/>
        <w:spacing w:after="0"/>
        <w:tabs>
          <w:tab w:leader="none" w:pos="800" w:val="left"/>
        </w:tabs>
        <w:numPr>
          <w:ilvl w:val="0"/>
          <w:numId w:val="1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case at any time any of the following shall occur:</w:t>
      </w:r>
    </w:p>
    <w:p>
      <w:pPr>
        <w:spacing w:after="0" w:line="172" w:lineRule="exact"/>
        <w:rPr>
          <w:rFonts w:ascii="Courier New" w:cs="Courier New" w:eastAsia="Courier New" w:hAnsi="Courier New"/>
          <w:sz w:val="15"/>
          <w:szCs w:val="15"/>
          <w:color w:val="auto"/>
        </w:rPr>
      </w:pPr>
    </w:p>
    <w:p>
      <w:pPr>
        <w:ind w:left="440" w:right="3319" w:firstLine="444"/>
        <w:spacing w:after="0" w:line="236" w:lineRule="auto"/>
        <w:tabs>
          <w:tab w:leader="none" w:pos="1227" w:val="left"/>
        </w:tabs>
        <w:numPr>
          <w:ilvl w:val="1"/>
          <w:numId w:val="1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Trustee shall fail to comply with the provisions of Section 310(b) of the Trust Indenture Act of 1939 with respect to any series of Securities after written request therefor by the Issuer or by any Securityholder who has been a bona fide Holder of a Security or Securities of such series for at least six months; or</w:t>
      </w:r>
    </w:p>
    <w:p>
      <w:pPr>
        <w:spacing w:after="0" w:line="173" w:lineRule="exact"/>
        <w:rPr>
          <w:rFonts w:ascii="Courier New" w:cs="Courier New" w:eastAsia="Courier New" w:hAnsi="Courier New"/>
          <w:sz w:val="15"/>
          <w:szCs w:val="15"/>
          <w:color w:val="auto"/>
        </w:rPr>
      </w:pPr>
    </w:p>
    <w:p>
      <w:pPr>
        <w:ind w:left="440" w:right="3399" w:firstLine="444"/>
        <w:spacing w:after="0" w:line="235" w:lineRule="auto"/>
        <w:tabs>
          <w:tab w:leader="none" w:pos="1315" w:val="left"/>
        </w:tabs>
        <w:numPr>
          <w:ilvl w:val="1"/>
          <w:numId w:val="1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Trustee shall cease to be eligible in accordance with the provisions of Section 310(a) of the Trust Indenture Act of 1939 and shall fail to resign after written request therefor by the Issuer or by any Securityholder; or</w:t>
      </w:r>
    </w:p>
    <w:p>
      <w:pPr>
        <w:spacing w:after="0" w:line="175" w:lineRule="exact"/>
        <w:rPr>
          <w:rFonts w:ascii="Courier New" w:cs="Courier New" w:eastAsia="Courier New" w:hAnsi="Courier New"/>
          <w:sz w:val="15"/>
          <w:szCs w:val="15"/>
          <w:color w:val="auto"/>
        </w:rPr>
      </w:pPr>
    </w:p>
    <w:p>
      <w:pPr>
        <w:ind w:left="440" w:right="3239" w:firstLine="444"/>
        <w:spacing w:after="0" w:line="236" w:lineRule="auto"/>
        <w:tabs>
          <w:tab w:leader="none" w:pos="1402" w:val="left"/>
        </w:tabs>
        <w:numPr>
          <w:ilvl w:val="1"/>
          <w:numId w:val="1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Trustee shall become incapable of acting with respect to any series of Securities, or shall be adjudged a bankrupt or insolvent, or a receiver or liquidator of the Trustee or of its property shall be appointed, or any public officer shall take charge or control of the Trustee or of its property or affairs for the purpose of rehabilitation, conservation or liquidation;</w:t>
      </w:r>
    </w:p>
    <w:p>
      <w:pPr>
        <w:spacing w:after="0" w:line="175" w:lineRule="exact"/>
        <w:rPr>
          <w:sz w:val="20"/>
          <w:szCs w:val="20"/>
          <w:color w:val="auto"/>
        </w:rPr>
      </w:pPr>
    </w:p>
    <w:p>
      <w:pPr>
        <w:ind w:right="3239"/>
        <w:spacing w:after="0" w:line="237" w:lineRule="auto"/>
        <w:rPr>
          <w:sz w:val="20"/>
          <w:szCs w:val="20"/>
          <w:color w:val="auto"/>
        </w:rPr>
      </w:pPr>
      <w:r>
        <w:rPr>
          <w:rFonts w:ascii="Courier New" w:cs="Courier New" w:eastAsia="Courier New" w:hAnsi="Courier New"/>
          <w:sz w:val="15"/>
          <w:szCs w:val="15"/>
          <w:color w:val="auto"/>
        </w:rPr>
        <w:t>then, in any such case, the Issuer may remove the Trustee with respect to the applicable series of Securities and appoint a successor trustee for such series by written instrument, in duplicate, executed by order of the Board of Directors of the Issuer, one copy of which instrument shall be delivered to the Trustee so removed and one copy to the successor Trustee, or, subject to Section 315(e) of the Trust Indenture Act of 1939, any Securityholder who has been a bona fide Holder of a Security or Securities of such series for at least six months may on behalf of himself and all others similarly situated, petition any court of competent jurisdiction for the removal of the Trustee and the appointment of a successor trustee with respect to such series. Such court may thereupon, after such notice, if any, as it may deem proper and prescribe, remove the Trustee and appoint a successor trustee.</w:t>
      </w:r>
    </w:p>
    <w:p>
      <w:pPr>
        <w:spacing w:after="0" w:line="173" w:lineRule="exact"/>
        <w:rPr>
          <w:sz w:val="20"/>
          <w:szCs w:val="20"/>
          <w:color w:val="auto"/>
        </w:rPr>
      </w:pPr>
    </w:p>
    <w:p>
      <w:pPr>
        <w:ind w:right="3319" w:firstLine="447"/>
        <w:spacing w:after="0" w:line="236" w:lineRule="auto"/>
        <w:tabs>
          <w:tab w:leader="none" w:pos="787" w:val="left"/>
        </w:tabs>
        <w:numPr>
          <w:ilvl w:val="0"/>
          <w:numId w:val="1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Holders of a majority in aggregate principal amount of the Securities of each series at the time outstanding may at any time remove the Trustee with respect to Securities of such series and appoint a successor Trustee with respect to the Securities of such series by delivering to the Trustee so removed, to the successor Trustee so appointed and to the Issuer the evidence provided in Section 6.01 of the action in that regard taken by the Securityholders.</w:t>
      </w:r>
    </w:p>
    <w:p>
      <w:pPr>
        <w:spacing w:after="0" w:line="33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34</w:t>
      </w:r>
    </w:p>
    <w:p>
      <w:pPr>
        <w:sectPr>
          <w:pgSz w:w="11900" w:h="16838" w:orient="portrait"/>
          <w:cols w:equalWidth="0" w:num="1">
            <w:col w:w="10239"/>
          </w:cols>
          <w:pgMar w:left="220" w:top="792" w:right="1440" w:bottom="1440" w:gutter="0" w:footer="0" w:header="0"/>
        </w:sectPr>
      </w:pPr>
    </w:p>
    <w:bookmarkStart w:id="113" w:name="page114"/>
    <w:bookmarkEnd w:id="113"/>
    <w:p>
      <w:pPr>
        <w:ind w:right="3319" w:firstLine="447"/>
        <w:spacing w:after="0" w:line="256" w:lineRule="auto"/>
        <w:tabs>
          <w:tab w:leader="none" w:pos="787" w:val="left"/>
        </w:tabs>
        <w:numPr>
          <w:ilvl w:val="0"/>
          <w:numId w:val="1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resignation or removal of the Trustee with respect to any series and any appointment of a successor trustee with respect to such series pursuant to any of the provisions of this Section 5.09 shall become effective upon acceptance of appointment by the successor trustee as provided in Section 5.10.</w:t>
      </w:r>
    </w:p>
    <w:p>
      <w:pPr>
        <w:spacing w:after="0" w:line="164"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Section 5.10. Acceptance of Appointment by Successor. Any successor Trustee appointed as provided in Section 5.09 shall execute and deliver to the Issuer and to its predecessor Trustee an instrument accepting such appointment hereunder, and thereupon the resignation or removal of the predecessor Trustee with respect to all or any applicable series shall become effective and such successor Trustee, without any further act, deed or conveyance, shall become vested with all rights, powers, duties and obligations with respect to such series of its predecessor hereunder, with like effect as if originally named as Trustee for such series hereunder; but, nevertheless, on the written request of the Issuer or of the successor Trustee, upon payment of its charges then unpaid, the Trustee ceasing to act shall, subject to Section 5.06, pay over to the successor Trustee all moneys at the time held by it hereunder and shall execute and deliver an instrument transferring to such successor Trustee all such rights, powers, duties and obligations. Upon request of any such successor Trustee, the Issuer shall execute any and all instruments in writing for more fully and certainly vesting in and confirming to such successor Trustee all such rights and powers. Any Trustee ceasing to act shall, nevertheless, retain a prior claim upon all property or funds held or collected by such Trustee to secure any amounts then due it pursuant to the provisions of Section 5.06.</w:t>
      </w:r>
    </w:p>
    <w:p>
      <w:pPr>
        <w:spacing w:after="0" w:line="343"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If a successor Trustee is appointed with respect to the Securities of one or more (but not all) series, the Issuer, the predecessor Trustee and each successor Trustee with respect to the Securities of any applicable series shall execute and deliver an indenture supplemental hereto which shall contain such provisions as shall be deemed necessary or desirable to confirm that all the rights, powers, trusts and duties of the predecessor Trustee with respect to the Securities of any series as to which the predecessor Trustee is not retiring shall continue to be vested in the predecessor Trustee, and shall add to or change any of the provisions of this Indenture as shall be necessary to provide for or facilitate the administration of the trusts hereunder by more than one Trustee, it being understood that nothing herein or in such supplemental indenture shall constitute such Trustees co-trustees of the same trust and that each such Trustee shall be Trustee of a trust or trusts under separate indentures.</w:t>
      </w:r>
    </w:p>
    <w:p>
      <w:pPr>
        <w:spacing w:after="0" w:line="174"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Upon acceptance of appointment by any successor Trustee as provided in this Section 5.10, the Issuer shall mail notice thereof by first-class mail to the Holders of Securities of any series for which such successor Trustee is acting as Trustee at their last addresses as they shall appear in the Security register. If the acceptance of appointment is substantially contemporaneous with the resignation, then the notice called for by the preceding sentence may be combined with the notice called for by Section 5.09. If the Issuer fails to mail such notice within ten days after acceptance of appointment by the successor Trustee, the successor Trustee shall cause such notice to be mailed at the expense of the Issuer.</w:t>
      </w:r>
    </w:p>
    <w:p>
      <w:pPr>
        <w:spacing w:after="0" w:line="179"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Section 5.11. Merger, Conversion, Consolidation or Succession to Business of Trustee. Any corporation into which the Trustee may be merged or converted or with which it may be consolidated, or any corporation resulting from any merger, conversion or consolidation to which the Trustee shall be a party, or any corporation succeeding to all or substantially all the corporate trust business of the Trustee, shall be the successor of the Trustee hereunder, provided that such</w:t>
      </w:r>
    </w:p>
    <w:p>
      <w:pPr>
        <w:spacing w:after="0" w:line="33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35</w:t>
      </w:r>
    </w:p>
    <w:p>
      <w:pPr>
        <w:sectPr>
          <w:pgSz w:w="11900" w:h="16838" w:orient="portrait"/>
          <w:cols w:equalWidth="0" w:num="1">
            <w:col w:w="10239"/>
          </w:cols>
          <w:pgMar w:left="220" w:top="792" w:right="1440" w:bottom="1440" w:gutter="0" w:footer="0" w:header="0"/>
        </w:sectPr>
      </w:pPr>
    </w:p>
    <w:bookmarkStart w:id="114" w:name="page115"/>
    <w:bookmarkEnd w:id="114"/>
    <w:p>
      <w:pPr>
        <w:ind w:right="3319"/>
        <w:spacing w:after="0" w:line="235" w:lineRule="auto"/>
        <w:rPr>
          <w:sz w:val="20"/>
          <w:szCs w:val="20"/>
          <w:color w:val="auto"/>
        </w:rPr>
      </w:pPr>
      <w:r>
        <w:rPr>
          <w:rFonts w:ascii="Courier New" w:cs="Courier New" w:eastAsia="Courier New" w:hAnsi="Courier New"/>
          <w:sz w:val="15"/>
          <w:szCs w:val="15"/>
          <w:color w:val="auto"/>
        </w:rPr>
        <w:t>corporation shall be eligible under the provisions of Section 5.08, without the execution or filing of any paper or any further act on the part of any of the parties hereto, anything herein to the contrary notwithstanding.</w:t>
      </w:r>
    </w:p>
    <w:p>
      <w:pPr>
        <w:spacing w:after="0" w:line="174"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In case at the time such successor to the Trustee shall succeed to the trusts created by this Indenture any of the Securities of any series shall have been authenticated but not delivered, any such successor to the Trustee may adopt the certificate of authentication of any predecessor Trustee and deliver such Securities so authenticated; and, in case at that time any of the Securities of any series shall not have been authenticated, any successor to the Trustee may authenticate such Securities either in the name of any predecessor hereunder or in the name of the successor Trustee; and in all such cases such certificate shall have the full force which it is anywhere in the Securities of such series or in this Indenture provided that the certificate of the Trustee shall have; provided, that the right to adopt the certificate of authentication of any predecessor Trustee or to authenticate Securities of any series in the name of any predecessor Trustee shall apply only to its successor or successors by merger, conversion or consolidation.</w:t>
      </w:r>
    </w:p>
    <w:p>
      <w:pPr>
        <w:spacing w:after="0" w:line="174"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Section 5.12. Reports to the Trustee. The Trustee shall transmit to Holders such reports concerning the Trustee and its actions under this Indenture as may be required pursuant to the Trust Indenture Act at the times and in the manner provided pursuant thereto. If required by Section 313(a) of the Trust Indenture Act, the Trustee shall, within sixty days after each May 15 following the date of the initial issuance of Securities under this Indenture deliver to Holders a brief report, dated as of such May 15, which complies with the provisions of such Section 313(a).</w:t>
      </w:r>
    </w:p>
    <w:p>
      <w:pPr>
        <w:spacing w:after="0" w:line="177" w:lineRule="exact"/>
        <w:rPr>
          <w:sz w:val="20"/>
          <w:szCs w:val="20"/>
          <w:color w:val="auto"/>
        </w:rPr>
      </w:pPr>
    </w:p>
    <w:p>
      <w:pPr>
        <w:ind w:right="3399" w:firstLine="437"/>
        <w:spacing w:after="0" w:line="236" w:lineRule="auto"/>
        <w:rPr>
          <w:sz w:val="20"/>
          <w:szCs w:val="20"/>
          <w:color w:val="auto"/>
        </w:rPr>
      </w:pPr>
      <w:r>
        <w:rPr>
          <w:rFonts w:ascii="Courier New" w:cs="Courier New" w:eastAsia="Courier New" w:hAnsi="Courier New"/>
          <w:sz w:val="15"/>
          <w:szCs w:val="15"/>
          <w:color w:val="auto"/>
        </w:rPr>
        <w:t>A copy of each such report shall, at the time of such transmission to Holders, be filed by the Trustee with each stock exchange, if any, upon which the Securities are listed, with the Commission and with the Issuer. The Issuer will promptly notify the Trustee when the Securities are listed on any stock exchange and of any delisting thereof.</w:t>
      </w:r>
    </w:p>
    <w:p>
      <w:pPr>
        <w:spacing w:after="0" w:line="335"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Article 6</w:t>
      </w:r>
    </w:p>
    <w:p>
      <w:pPr>
        <w:jc w:val="center"/>
        <w:ind w:right="3239"/>
        <w:spacing w:after="0" w:line="237" w:lineRule="auto"/>
        <w:rPr>
          <w:sz w:val="20"/>
          <w:szCs w:val="20"/>
          <w:color w:val="auto"/>
        </w:rPr>
      </w:pPr>
      <w:r>
        <w:rPr>
          <w:rFonts w:ascii="Courier New" w:cs="Courier New" w:eastAsia="Courier New" w:hAnsi="Courier New"/>
          <w:sz w:val="15"/>
          <w:szCs w:val="15"/>
          <w:color w:val="auto"/>
        </w:rPr>
        <w:t>CONCERNING THE SECURITYHOLDERS</w:t>
      </w:r>
    </w:p>
    <w:p>
      <w:pPr>
        <w:spacing w:after="0" w:line="173"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Section 6.01. Evidence of Action Taken by Securityholders. Any request, demand, authorization, direction, notice, consent, waiver or other action provided by this Indenture to be given or taken by a specified percentage in principal amount of the Securityholders of any or all series may be embodied in and evidenced by one or more instruments of substantially similar tenor signed by such specified percentage of Securityholders in person or by agent duly appointed in writing; and, except as herein otherwise expressly provided, such action shall become effective when such instrument or instruments are delivered to the Trustee. Proof of execution of any instrument or of a writing appointing any such agent shall be sufficient for any purpose of this Indenture and (subject to Sections 5.01 and 5.02) conclusive in favor of the Trustee and the Issuer, if made in the manner provided in this Article.</w:t>
      </w:r>
    </w:p>
    <w:p>
      <w:pPr>
        <w:spacing w:after="0" w:line="164"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Section 6.02. Proof of Execution of Instruments and of Holding of Securities; Record Date. Subject to Sections 5.01 and 5.02, the execution of any instrument by a Securityholder or his agent or proxy may be proved by the certificate of any notary public or other officer</w:t>
      </w:r>
    </w:p>
    <w:p>
      <w:pPr>
        <w:spacing w:after="0" w:line="33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36</w:t>
      </w:r>
    </w:p>
    <w:p>
      <w:pPr>
        <w:sectPr>
          <w:pgSz w:w="11900" w:h="16838" w:orient="portrait"/>
          <w:cols w:equalWidth="0" w:num="1">
            <w:col w:w="10239"/>
          </w:cols>
          <w:pgMar w:left="220" w:top="792" w:right="1440" w:bottom="1440" w:gutter="0" w:footer="0" w:header="0"/>
        </w:sectPr>
      </w:pPr>
    </w:p>
    <w:bookmarkStart w:id="115" w:name="page116"/>
    <w:bookmarkEnd w:id="115"/>
    <w:p>
      <w:pPr>
        <w:ind w:right="3239"/>
        <w:spacing w:after="0" w:line="254" w:lineRule="auto"/>
        <w:rPr>
          <w:sz w:val="20"/>
          <w:szCs w:val="20"/>
          <w:color w:val="auto"/>
        </w:rPr>
      </w:pPr>
      <w:r>
        <w:rPr>
          <w:rFonts w:ascii="Courier New" w:cs="Courier New" w:eastAsia="Courier New" w:hAnsi="Courier New"/>
          <w:sz w:val="14"/>
          <w:szCs w:val="14"/>
          <w:color w:val="auto"/>
        </w:rPr>
        <w:t>authorized to take acknowledgment of deeds, that the Person executing such instrument acknowledged to such notary public or other such officer the execution thereof, or by an affidavit of a witness to such execution sworn to before any such notary public or other officer. Where such execution is by an officer of a corporation or association or a member of a partnership on behalf of such corporation, association or partnership, as the case may be, or by any other Person acting in a representative capacity, such certificate or affidavit shall also constitute sufficient proof of such Person's authority. The holding of Securities shall be proved by the Security register or by a certificate of the registrar thereof. The Issuer may set a record date for purposes of determining the identity of holders of Securities of any series entitled to vote or consent to any action referred to in Section 6.01, which record date may be set at any time or from time to time by notice to the Trustee, for any date or dates (in the case of any adjournment or reconsideration) not more than 60 days nor less than five days prior to the proposed date of such vote or consent, and thereafter, notwithstanding any other provisions hereof, only holders of Securities of such series of record on such record date shall be entitled to so vote or give such consent or revoke such vote or consent.</w:t>
      </w:r>
    </w:p>
    <w:p>
      <w:pPr>
        <w:spacing w:after="0" w:line="174"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Section 6.03. Holders to be Treated as Owners. Prior to due presentment of a Security for registration of transfer, the Issuer, the Trustee and any agent of the Issuer or the Trustee may deem and treat the person in whose name any Security shall be registered upon the Security register for such series as the absolute owner of such Security (whether or not such Security shall be overdue and notwithstanding any notation of ownership or other writing thereon) for the purpose of receiving payment of or on account of the principal of and, subject to the provisions of this Indenture, interest on such Security and for all other purposes; and neither the Issuer nor the Trustee nor any agent of the Issuer or the Trustee shall be affected by any notice to the contrary. All such payments so made to any such person, or upon his order, shall be valid, and, to the extent of the sum or sums so paid, effectual to satisfy and discharge the liability for moneys payable upon any such Security.</w:t>
      </w:r>
    </w:p>
    <w:p>
      <w:pPr>
        <w:spacing w:after="0" w:line="164"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Section 6.04. Securities Owned by Issuer Deemed Not Outstanding. In determining whether the Holders of the requisite aggregate principal amount of Outstanding Securities of any or all series have concurred in any direction, consent or waiver under this Indenture, Securities which are owned by the Issuer or any other obligor on the Securities with respect to which such determination is being made or by any person directly or indirectly controlling or controlled by or under direct or indirect common control with the Issuer or any other obligor on the Securities with respect to which such determination is being made shall be disregarded and deemed not to be Outstanding for the purpose of any such determination, except that for the purpose of determining whether the Trustee shall be protected in relying on any such direction, consent or waiver only Securities as to which the Trustee has received written notice are so owned shall be so disregarded. Securities so owned which have been pledged in good faith may be regarded as Outstanding if the pledgee establishes to the satisfaction of the Trustee the pledgee's right so to act with respect to such Securities and that the pledgee is not the Issuer or any other obligor upon the Securities or any person directly or indirectly controlling or controlled by or under direct or indirect common control with the Issuer or any other obligor on the Securities. In case of a dispute as to such right, the advice of counsel shall be full protection in respect of any decision made by the Trustee in accordance with such advice. Upon request of the Trustee, the Issuer shall furnish to the Trustee promptly an Officers' Certificate listing and identifying all Securities, if any, known by the Issuer to be owned or held by or for the account of any of the above-</w:t>
      </w:r>
    </w:p>
    <w:p>
      <w:pPr>
        <w:spacing w:after="0" w:line="200" w:lineRule="exact"/>
        <w:rPr>
          <w:sz w:val="20"/>
          <w:szCs w:val="20"/>
          <w:color w:val="auto"/>
        </w:rPr>
      </w:pPr>
    </w:p>
    <w:p>
      <w:pPr>
        <w:spacing w:after="0" w:line="30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37</w:t>
      </w:r>
    </w:p>
    <w:p>
      <w:pPr>
        <w:sectPr>
          <w:pgSz w:w="11900" w:h="16838" w:orient="portrait"/>
          <w:cols w:equalWidth="0" w:num="1">
            <w:col w:w="10239"/>
          </w:cols>
          <w:pgMar w:left="220" w:top="792" w:right="1440" w:bottom="1440" w:gutter="0" w:footer="0" w:header="0"/>
        </w:sectPr>
      </w:pPr>
    </w:p>
    <w:bookmarkStart w:id="116" w:name="page117"/>
    <w:bookmarkEnd w:id="116"/>
    <w:p>
      <w:pPr>
        <w:ind w:right="3319"/>
        <w:spacing w:after="0" w:line="235" w:lineRule="auto"/>
        <w:rPr>
          <w:sz w:val="20"/>
          <w:szCs w:val="20"/>
          <w:color w:val="auto"/>
        </w:rPr>
      </w:pPr>
      <w:r>
        <w:rPr>
          <w:rFonts w:ascii="Courier New" w:cs="Courier New" w:eastAsia="Courier New" w:hAnsi="Courier New"/>
          <w:sz w:val="15"/>
          <w:szCs w:val="15"/>
          <w:color w:val="auto"/>
        </w:rPr>
        <w:t>described persons; and, subject to Sections 5.01 and 5.02, the Trustee shall be entitled to accept such Officers' Certificate as conclusive evidence of the facts therein set forth and of the fact that all Securities not listed therein are Outstanding for the purpose of any such determination.</w:t>
      </w:r>
    </w:p>
    <w:p>
      <w:pPr>
        <w:spacing w:after="0" w:line="175"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Section 6.05. Right of Revocation of Action Taken. At any time prior to (but not after) the evidencing to the Trustee, as provided in Section 6.01, of the taking of any action by the Holders of the percentage in aggregate principal amount of the Securities of any or all series, as the case may be, specified in this Indenture in connection with such action, any Holder of a Security the serial number of which is shown by the evidence to be included among the serial numbers of the Securities the Holders of which have consented to such action may, by filing written notice at the Corporate Trust Office and upon proof of holding as provided in this Article, revoke such action so far as concerns such Security. Except as aforesaid any such action taken by the Holder of any Security shall be conclusive and binding upon such Holder and upon all future Holders and owners of such Security and of any Securities issued in exchange or substitution therefor, irrespective of whether or not any notation in regard thereto is made upon any such Security. Any action taken by the Holders of the percentage in aggregate principal amount of the Securities of any or all series, as the case may be, specified in this Indenture in connection with such action shall be conclusively binding upon the Issuer, the Trustee and the Holders of all the Securities affected by such action.</w:t>
      </w:r>
    </w:p>
    <w:p>
      <w:pPr>
        <w:spacing w:after="0" w:line="336"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Article 7</w:t>
      </w:r>
    </w:p>
    <w:p>
      <w:pPr>
        <w:ind w:left="2540"/>
        <w:spacing w:after="0" w:line="237" w:lineRule="auto"/>
        <w:rPr>
          <w:sz w:val="20"/>
          <w:szCs w:val="20"/>
          <w:color w:val="auto"/>
        </w:rPr>
      </w:pPr>
      <w:r>
        <w:rPr>
          <w:rFonts w:ascii="Courier New" w:cs="Courier New" w:eastAsia="Courier New" w:hAnsi="Courier New"/>
          <w:sz w:val="15"/>
          <w:szCs w:val="15"/>
          <w:color w:val="auto"/>
        </w:rPr>
        <w:t>SUPPLEMENTAL INDENTURES</w:t>
      </w:r>
    </w:p>
    <w:p>
      <w:pPr>
        <w:spacing w:after="0" w:line="173"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Section 7.01. Supplemental Indentures Without Consent of Securityholders. The Issuer, when authorized by a resolution of its Board of Directors certified to the Trustee, and the Trustee may from time to time and at any time enter into an indenture or indentures supplemental hereto for one or more of the following purposes:</w:t>
      </w:r>
    </w:p>
    <w:p>
      <w:pPr>
        <w:spacing w:after="0" w:line="174" w:lineRule="exact"/>
        <w:rPr>
          <w:sz w:val="20"/>
          <w:szCs w:val="20"/>
          <w:color w:val="auto"/>
        </w:rPr>
      </w:pPr>
    </w:p>
    <w:p>
      <w:pPr>
        <w:ind w:right="3399" w:firstLine="447"/>
        <w:spacing w:after="0" w:line="258" w:lineRule="auto"/>
        <w:tabs>
          <w:tab w:leader="none" w:pos="787" w:val="left"/>
        </w:tabs>
        <w:numPr>
          <w:ilvl w:val="0"/>
          <w:numId w:val="1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evidence the succession of another corporation to the Issuer, or successive successions, and the assumption by the successor corporation of the covenants, agreements and obligations of the Issuer pursuant to Article 8;</w:t>
      </w:r>
    </w:p>
    <w:p>
      <w:pPr>
        <w:spacing w:after="0" w:line="161" w:lineRule="exact"/>
        <w:rPr>
          <w:rFonts w:ascii="Courier New" w:cs="Courier New" w:eastAsia="Courier New" w:hAnsi="Courier New"/>
          <w:sz w:val="14"/>
          <w:szCs w:val="14"/>
          <w:color w:val="auto"/>
        </w:rPr>
      </w:pPr>
    </w:p>
    <w:p>
      <w:pPr>
        <w:ind w:right="3239" w:firstLine="447"/>
        <w:spacing w:after="0" w:line="255" w:lineRule="auto"/>
        <w:tabs>
          <w:tab w:leader="none" w:pos="787" w:val="left"/>
        </w:tabs>
        <w:numPr>
          <w:ilvl w:val="0"/>
          <w:numId w:val="1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cure any ambiguity or to correct or supplement any provision contained herein or in any supplemental indenture which may be defective or inconsistent with any other provision contained herein or in any supplemental indenture; or to make such other provisions in regard to matters or questions arising under this Indenture or under any supplemental indenture as the Board of Directors may deem necessary or desirable and which shall not adversely affect the interests of the Holders of the Securities in any material respect;</w:t>
      </w:r>
    </w:p>
    <w:p>
      <w:pPr>
        <w:spacing w:after="0" w:line="166" w:lineRule="exact"/>
        <w:rPr>
          <w:rFonts w:ascii="Courier New" w:cs="Courier New" w:eastAsia="Courier New" w:hAnsi="Courier New"/>
          <w:sz w:val="14"/>
          <w:szCs w:val="14"/>
          <w:color w:val="auto"/>
        </w:rPr>
      </w:pPr>
    </w:p>
    <w:p>
      <w:pPr>
        <w:ind w:right="3239" w:firstLine="447"/>
        <w:spacing w:after="0" w:line="234" w:lineRule="auto"/>
        <w:tabs>
          <w:tab w:leader="none" w:pos="787" w:val="left"/>
        </w:tabs>
        <w:numPr>
          <w:ilvl w:val="0"/>
          <w:numId w:val="1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establish the form or terms of Securities of any series as permitted by Sections 2.01 and 2.03;</w:t>
      </w:r>
    </w:p>
    <w:p>
      <w:pPr>
        <w:spacing w:after="0" w:line="173" w:lineRule="exact"/>
        <w:rPr>
          <w:rFonts w:ascii="Courier New" w:cs="Courier New" w:eastAsia="Courier New" w:hAnsi="Courier New"/>
          <w:sz w:val="15"/>
          <w:szCs w:val="15"/>
          <w:color w:val="auto"/>
        </w:rPr>
      </w:pPr>
    </w:p>
    <w:p>
      <w:pPr>
        <w:ind w:right="3319" w:firstLine="447"/>
        <w:spacing w:after="0" w:line="256" w:lineRule="auto"/>
        <w:tabs>
          <w:tab w:leader="none" w:pos="787" w:val="left"/>
        </w:tabs>
        <w:numPr>
          <w:ilvl w:val="0"/>
          <w:numId w:val="1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evidence and provide for the acceptance of appointment hereunder by a successor trustee with respect to the Securities of one or more series and to add to or change any of the provisions of this Indenture as shall be necessary to provide for or facilitate the administration of the trusts hereunder by more than one trustee, pursuant to the requirements of Section 5.10;</w:t>
      </w:r>
    </w:p>
    <w:p>
      <w:pPr>
        <w:spacing w:after="0" w:line="32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38</w:t>
      </w:r>
    </w:p>
    <w:p>
      <w:pPr>
        <w:sectPr>
          <w:pgSz w:w="11900" w:h="16838" w:orient="portrait"/>
          <w:cols w:equalWidth="0" w:num="1">
            <w:col w:w="10239"/>
          </w:cols>
          <w:pgMar w:left="220" w:top="792" w:right="1440" w:bottom="1440" w:gutter="0" w:footer="0" w:header="0"/>
        </w:sectPr>
      </w:pPr>
    </w:p>
    <w:bookmarkStart w:id="117" w:name="page118"/>
    <w:bookmarkEnd w:id="117"/>
    <w:p>
      <w:pPr>
        <w:ind w:right="3499" w:firstLine="447"/>
        <w:spacing w:after="0" w:line="261" w:lineRule="auto"/>
        <w:tabs>
          <w:tab w:leader="none" w:pos="787" w:val="left"/>
        </w:tabs>
        <w:numPr>
          <w:ilvl w:val="0"/>
          <w:numId w:val="1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comply with any requirements of the Commission in connection with the qualification of this Indenture under the Trust Indenture Act of 1939;</w:t>
      </w:r>
    </w:p>
    <w:p>
      <w:pPr>
        <w:spacing w:after="0" w:line="159" w:lineRule="exact"/>
        <w:rPr>
          <w:rFonts w:ascii="Courier New" w:cs="Courier New" w:eastAsia="Courier New" w:hAnsi="Courier New"/>
          <w:sz w:val="14"/>
          <w:szCs w:val="14"/>
          <w:color w:val="auto"/>
        </w:rPr>
      </w:pPr>
    </w:p>
    <w:p>
      <w:pPr>
        <w:ind w:right="3499" w:firstLine="447"/>
        <w:spacing w:after="0" w:line="234" w:lineRule="auto"/>
        <w:tabs>
          <w:tab w:leader="none" w:pos="787" w:val="left"/>
        </w:tabs>
        <w:numPr>
          <w:ilvl w:val="0"/>
          <w:numId w:val="1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provide for uncertificated or Unregistered Securities and to make all appropriate changes for such purpose;</w:t>
      </w:r>
    </w:p>
    <w:p>
      <w:pPr>
        <w:spacing w:after="0" w:line="166" w:lineRule="exact"/>
        <w:rPr>
          <w:rFonts w:ascii="Courier New" w:cs="Courier New" w:eastAsia="Courier New" w:hAnsi="Courier New"/>
          <w:sz w:val="15"/>
          <w:szCs w:val="15"/>
          <w:color w:val="auto"/>
        </w:rPr>
      </w:pPr>
    </w:p>
    <w:p>
      <w:pPr>
        <w:ind w:left="800" w:hanging="353"/>
        <w:spacing w:after="0"/>
        <w:tabs>
          <w:tab w:leader="none" w:pos="800" w:val="left"/>
        </w:tabs>
        <w:numPr>
          <w:ilvl w:val="0"/>
          <w:numId w:val="1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make any change that does not adversely affect the rights of any</w:t>
      </w:r>
    </w:p>
    <w:p>
      <w:pPr>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Holder;</w:t>
      </w:r>
    </w:p>
    <w:p>
      <w:pPr>
        <w:spacing w:after="0" w:line="166" w:lineRule="exact"/>
        <w:rPr>
          <w:rFonts w:ascii="Courier New" w:cs="Courier New" w:eastAsia="Courier New" w:hAnsi="Courier New"/>
          <w:sz w:val="15"/>
          <w:szCs w:val="15"/>
          <w:color w:val="auto"/>
        </w:rPr>
      </w:pPr>
    </w:p>
    <w:p>
      <w:pPr>
        <w:ind w:left="800" w:hanging="353"/>
        <w:spacing w:after="0"/>
        <w:tabs>
          <w:tab w:leader="none" w:pos="800" w:val="left"/>
        </w:tabs>
        <w:numPr>
          <w:ilvl w:val="0"/>
          <w:numId w:val="1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provided by or pursuant to a Board Resolution or indenture</w:t>
      </w:r>
    </w:p>
    <w:p>
      <w:pPr>
        <w:spacing w:after="0" w:line="4"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4"/>
          <w:szCs w:val="14"/>
          <w:color w:val="auto"/>
        </w:rPr>
        <w:t>supplemental hereto establishing the terms of one or more series of Securities;</w:t>
      </w:r>
    </w:p>
    <w:p>
      <w:pPr>
        <w:spacing w:after="0" w:line="177" w:lineRule="exact"/>
        <w:rPr>
          <w:rFonts w:ascii="Courier New" w:cs="Courier New" w:eastAsia="Courier New" w:hAnsi="Courier New"/>
          <w:sz w:val="15"/>
          <w:szCs w:val="15"/>
          <w:color w:val="auto"/>
        </w:rPr>
      </w:pPr>
    </w:p>
    <w:p>
      <w:pPr>
        <w:ind w:right="3239" w:firstLine="447"/>
        <w:spacing w:after="0" w:line="255" w:lineRule="auto"/>
        <w:tabs>
          <w:tab w:leader="none" w:pos="787" w:val="left"/>
        </w:tabs>
        <w:numPr>
          <w:ilvl w:val="0"/>
          <w:numId w:val="1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add to the covenants of the Issuer such new covenants, restrictions, conditions or provisions as its Board of Directors shall consider to be for the protection of the Holders of Securities, and with respect to which the Trustee has received an Opinion of Counsel to a similar effect, and to make the occurrence, or the occurrence and continuance, of a default in any such additional covenants, restrictions, conditions or provisions an Event of Default; provided, that in respect of any such additional covenant, restriction, condition or provision such supplemental indenture may provide for a particular period of grace after default (which period may be shorter or longer than that allowed in the case of other defaults) or may provide for an immediate enforcement upon such an Event of Default or may limit the remedies available to the Trustee upon such an Event of Default or may limit the right of the Holders of a majority in aggregate principal amount of the Securities of such series to waive such an Event of Default; or</w:t>
      </w:r>
    </w:p>
    <w:p>
      <w:pPr>
        <w:spacing w:after="0" w:line="325" w:lineRule="exact"/>
        <w:rPr>
          <w:rFonts w:ascii="Courier New" w:cs="Courier New" w:eastAsia="Courier New" w:hAnsi="Courier New"/>
          <w:sz w:val="14"/>
          <w:szCs w:val="14"/>
          <w:color w:val="auto"/>
        </w:rPr>
      </w:pPr>
    </w:p>
    <w:p>
      <w:pPr>
        <w:ind w:left="800" w:hanging="353"/>
        <w:spacing w:after="0"/>
        <w:tabs>
          <w:tab w:leader="none" w:pos="800" w:val="left"/>
        </w:tabs>
        <w:numPr>
          <w:ilvl w:val="0"/>
          <w:numId w:val="1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make any change so long as no Securities are Outstanding.</w:t>
      </w:r>
    </w:p>
    <w:p>
      <w:pPr>
        <w:spacing w:after="0" w:line="173" w:lineRule="exact"/>
        <w:rPr>
          <w:sz w:val="20"/>
          <w:szCs w:val="20"/>
          <w:color w:val="auto"/>
        </w:rPr>
      </w:pPr>
    </w:p>
    <w:p>
      <w:pPr>
        <w:ind w:right="3399" w:firstLine="437"/>
        <w:spacing w:after="0" w:line="236" w:lineRule="auto"/>
        <w:rPr>
          <w:sz w:val="20"/>
          <w:szCs w:val="20"/>
          <w:color w:val="auto"/>
        </w:rPr>
      </w:pPr>
      <w:r>
        <w:rPr>
          <w:rFonts w:ascii="Courier New" w:cs="Courier New" w:eastAsia="Courier New" w:hAnsi="Courier New"/>
          <w:sz w:val="15"/>
          <w:szCs w:val="15"/>
          <w:color w:val="auto"/>
        </w:rPr>
        <w:t>The Trustee is hereby authorized to join with the Issuer in the execution of any such supplemental indenture, to make any further appropriate agreements and stipulations which may be therein contained and to accept the conveyance, transfer, assignment, mortgage or pledge of any property thereunder, but the Trustee shall not be obligated to enter into any such supplemental indenture which affects the Trustee's own rights, duties or immunities under this Indenture or otherwise.</w:t>
      </w:r>
    </w:p>
    <w:p>
      <w:pPr>
        <w:spacing w:after="0" w:line="176" w:lineRule="exact"/>
        <w:rPr>
          <w:sz w:val="20"/>
          <w:szCs w:val="20"/>
          <w:color w:val="auto"/>
        </w:rPr>
      </w:pPr>
    </w:p>
    <w:p>
      <w:pPr>
        <w:ind w:right="3239" w:firstLine="437"/>
        <w:spacing w:after="0" w:line="258" w:lineRule="auto"/>
        <w:rPr>
          <w:sz w:val="20"/>
          <w:szCs w:val="20"/>
          <w:color w:val="auto"/>
        </w:rPr>
      </w:pPr>
      <w:r>
        <w:rPr>
          <w:rFonts w:ascii="Courier New" w:cs="Courier New" w:eastAsia="Courier New" w:hAnsi="Courier New"/>
          <w:sz w:val="14"/>
          <w:szCs w:val="14"/>
          <w:color w:val="auto"/>
        </w:rPr>
        <w:t>Any supplemental indenture authorized by the provisions of this section may be executed without the consent of the Holders of any of the Securities at the time outstanding, notwithstanding any of the provisions of Section 7.02.</w:t>
      </w:r>
    </w:p>
    <w:p>
      <w:pPr>
        <w:spacing w:after="0" w:line="161"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Section 7.02. Supplemental Indentures With Consent of Securityholders. With the consent (evidenced as provided in Article 6) of the Holders of not less than a majority in aggregate principal amount of the Securities at the time Outstanding of all series affected by such supplemental indenture (voting as one class), the Issuer, when authorized by a resolution of its Board of Directors, and the Trustee may, from time to time and at any time, enter into an indenture or indentures supplemental hereto for the purpose of adding any provisions to or changing in any manner or eliminating any of the provisions of this Indenture or of any supplemental indenture or of modifying in any manner the rights of the Holders of the Securities of each such series; provided, that no such supplemental indenture shall without the consent of each Holder affected thereby:</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39</w:t>
      </w:r>
    </w:p>
    <w:p>
      <w:pPr>
        <w:sectPr>
          <w:pgSz w:w="11900" w:h="16838" w:orient="portrait"/>
          <w:cols w:equalWidth="0" w:num="1">
            <w:col w:w="10239"/>
          </w:cols>
          <w:pgMar w:left="220" w:top="792" w:right="1440" w:bottom="1440" w:gutter="0" w:footer="0" w:header="0"/>
        </w:sectPr>
      </w:pPr>
    </w:p>
    <w:bookmarkStart w:id="118" w:name="page119"/>
    <w:bookmarkEnd w:id="118"/>
    <w:p>
      <w:pPr>
        <w:ind w:left="440" w:right="3319" w:firstLine="444"/>
        <w:spacing w:after="0" w:line="261" w:lineRule="auto"/>
        <w:tabs>
          <w:tab w:leader="none" w:pos="1227" w:val="left"/>
        </w:tabs>
        <w:numPr>
          <w:ilvl w:val="0"/>
          <w:numId w:val="1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change the stated maturity of the Principal of, or any sinking fund obligation or any installment of interest on, such Holder's Security;</w:t>
      </w:r>
    </w:p>
    <w:p>
      <w:pPr>
        <w:spacing w:after="0" w:line="159" w:lineRule="exact"/>
        <w:rPr>
          <w:rFonts w:ascii="Courier New" w:cs="Courier New" w:eastAsia="Courier New" w:hAnsi="Courier New"/>
          <w:sz w:val="14"/>
          <w:szCs w:val="14"/>
          <w:color w:val="auto"/>
        </w:rPr>
      </w:pPr>
    </w:p>
    <w:p>
      <w:pPr>
        <w:ind w:left="440" w:right="3319" w:firstLine="444"/>
        <w:spacing w:after="0" w:line="234" w:lineRule="auto"/>
        <w:tabs>
          <w:tab w:leader="none" w:pos="1315" w:val="left"/>
        </w:tabs>
        <w:numPr>
          <w:ilvl w:val="0"/>
          <w:numId w:val="1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reduce the Principal thereof or the rate of interest thereon, or any premium payable with respect thereto;</w:t>
      </w:r>
    </w:p>
    <w:p>
      <w:pPr>
        <w:spacing w:after="0" w:line="173" w:lineRule="exact"/>
        <w:rPr>
          <w:rFonts w:ascii="Courier New" w:cs="Courier New" w:eastAsia="Courier New" w:hAnsi="Courier New"/>
          <w:sz w:val="15"/>
          <w:szCs w:val="15"/>
          <w:color w:val="auto"/>
        </w:rPr>
      </w:pPr>
    </w:p>
    <w:p>
      <w:pPr>
        <w:ind w:left="440" w:right="3239" w:firstLine="444"/>
        <w:spacing w:after="0" w:line="234" w:lineRule="auto"/>
        <w:tabs>
          <w:tab w:leader="none" w:pos="1402" w:val="left"/>
        </w:tabs>
        <w:numPr>
          <w:ilvl w:val="0"/>
          <w:numId w:val="1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 any place of payment where, or the currency in which, any Security or any premium or the interest thereon is payable;</w:t>
      </w:r>
    </w:p>
    <w:p>
      <w:pPr>
        <w:spacing w:after="0" w:line="173" w:lineRule="exact"/>
        <w:rPr>
          <w:rFonts w:ascii="Courier New" w:cs="Courier New" w:eastAsia="Courier New" w:hAnsi="Courier New"/>
          <w:sz w:val="15"/>
          <w:szCs w:val="15"/>
          <w:color w:val="auto"/>
        </w:rPr>
      </w:pPr>
    </w:p>
    <w:p>
      <w:pPr>
        <w:ind w:left="440" w:right="3579" w:firstLine="444"/>
        <w:spacing w:after="0" w:line="234" w:lineRule="auto"/>
        <w:tabs>
          <w:tab w:leader="none" w:pos="1315" w:val="left"/>
        </w:tabs>
        <w:numPr>
          <w:ilvl w:val="0"/>
          <w:numId w:val="1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 the provisions for calculating the optional redemption price, including the definitions relating thereto;</w:t>
      </w:r>
    </w:p>
    <w:p>
      <w:pPr>
        <w:spacing w:after="0" w:line="173" w:lineRule="exact"/>
        <w:rPr>
          <w:rFonts w:ascii="Courier New" w:cs="Courier New" w:eastAsia="Courier New" w:hAnsi="Courier New"/>
          <w:sz w:val="15"/>
          <w:szCs w:val="15"/>
          <w:color w:val="auto"/>
        </w:rPr>
      </w:pPr>
    </w:p>
    <w:p>
      <w:pPr>
        <w:ind w:left="440" w:right="3399" w:firstLine="444"/>
        <w:spacing w:after="0" w:line="234" w:lineRule="auto"/>
        <w:tabs>
          <w:tab w:leader="none" w:pos="1227" w:val="left"/>
        </w:tabs>
        <w:numPr>
          <w:ilvl w:val="0"/>
          <w:numId w:val="1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make any change to Section 4.07 or 4.10 (except to include other provisions subject to Section 4.10);</w:t>
      </w:r>
    </w:p>
    <w:p>
      <w:pPr>
        <w:spacing w:after="0" w:line="173" w:lineRule="exact"/>
        <w:rPr>
          <w:rFonts w:ascii="Courier New" w:cs="Courier New" w:eastAsia="Courier New" w:hAnsi="Courier New"/>
          <w:sz w:val="15"/>
          <w:szCs w:val="15"/>
          <w:color w:val="auto"/>
        </w:rPr>
      </w:pPr>
    </w:p>
    <w:p>
      <w:pPr>
        <w:ind w:left="440" w:right="3319" w:firstLine="444"/>
        <w:spacing w:after="0" w:line="236" w:lineRule="auto"/>
        <w:tabs>
          <w:tab w:leader="none" w:pos="1315" w:val="left"/>
        </w:tabs>
        <w:numPr>
          <w:ilvl w:val="0"/>
          <w:numId w:val="1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reduce the percentage in principal amount of outstanding Securities of the relevant series the consent of whose Holders is required for any such supplemental indenture, for any waiver of compliance with any provisions of this Indenture or any defaults and their consequences provided for in this Indenture;</w:t>
      </w:r>
    </w:p>
    <w:p>
      <w:pPr>
        <w:spacing w:after="0" w:line="173" w:lineRule="exact"/>
        <w:rPr>
          <w:rFonts w:ascii="Courier New" w:cs="Courier New" w:eastAsia="Courier New" w:hAnsi="Courier New"/>
          <w:sz w:val="15"/>
          <w:szCs w:val="15"/>
          <w:color w:val="auto"/>
        </w:rPr>
      </w:pPr>
    </w:p>
    <w:p>
      <w:pPr>
        <w:ind w:left="440" w:right="3499" w:firstLine="444"/>
        <w:spacing w:after="0" w:line="234" w:lineRule="auto"/>
        <w:tabs>
          <w:tab w:leader="none" w:pos="1402" w:val="left"/>
        </w:tabs>
        <w:numPr>
          <w:ilvl w:val="0"/>
          <w:numId w:val="1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alter or impair the right to convert any Security at the rate and upon the terms provided in Article 12;</w:t>
      </w:r>
    </w:p>
    <w:p>
      <w:pPr>
        <w:spacing w:after="0" w:line="173" w:lineRule="exact"/>
        <w:rPr>
          <w:rFonts w:ascii="Courier New" w:cs="Courier New" w:eastAsia="Courier New" w:hAnsi="Courier New"/>
          <w:sz w:val="15"/>
          <w:szCs w:val="15"/>
          <w:color w:val="auto"/>
        </w:rPr>
      </w:pPr>
    </w:p>
    <w:p>
      <w:pPr>
        <w:ind w:left="440" w:right="3399" w:firstLine="444"/>
        <w:spacing w:after="0" w:line="235" w:lineRule="auto"/>
        <w:tabs>
          <w:tab w:leader="none" w:pos="1490" w:val="left"/>
        </w:tabs>
        <w:numPr>
          <w:ilvl w:val="0"/>
          <w:numId w:val="1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waive a default in the payment of Principal of or interest on any Security of such Holder (except pursuant to a rescission of acceleration pursuant to Section 4.01);</w:t>
      </w:r>
    </w:p>
    <w:p>
      <w:pPr>
        <w:spacing w:after="0" w:line="173" w:lineRule="exact"/>
        <w:rPr>
          <w:rFonts w:ascii="Courier New" w:cs="Courier New" w:eastAsia="Courier New" w:hAnsi="Courier New"/>
          <w:sz w:val="15"/>
          <w:szCs w:val="15"/>
          <w:color w:val="auto"/>
        </w:rPr>
      </w:pPr>
    </w:p>
    <w:p>
      <w:pPr>
        <w:ind w:left="440" w:right="3239" w:firstLine="444"/>
        <w:spacing w:after="0" w:line="235" w:lineRule="auto"/>
        <w:tabs>
          <w:tab w:leader="none" w:pos="1315" w:val="left"/>
        </w:tabs>
        <w:numPr>
          <w:ilvl w:val="0"/>
          <w:numId w:val="1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adversely affect the rights of such Holder under any mandatory redemption or repurchase provision or any right of redemption or repurchase at the option of such Holder;</w:t>
      </w:r>
    </w:p>
    <w:p>
      <w:pPr>
        <w:spacing w:after="0" w:line="173" w:lineRule="exact"/>
        <w:rPr>
          <w:rFonts w:ascii="Courier New" w:cs="Courier New" w:eastAsia="Courier New" w:hAnsi="Courier New"/>
          <w:sz w:val="15"/>
          <w:szCs w:val="15"/>
          <w:color w:val="auto"/>
        </w:rPr>
      </w:pPr>
    </w:p>
    <w:p>
      <w:pPr>
        <w:ind w:left="440" w:right="3239" w:firstLine="444"/>
        <w:spacing w:after="0" w:line="235" w:lineRule="auto"/>
        <w:tabs>
          <w:tab w:leader="none" w:pos="1227" w:val="left"/>
        </w:tabs>
        <w:numPr>
          <w:ilvl w:val="0"/>
          <w:numId w:val="1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modify any of the provisions of this Section 7.02, except to increase any such percentage or to provide that certain other provisions of this Indenture cannot be modified or waived without the consent of the Holder of each outstanding Security affected thereby; or</w:t>
      </w:r>
    </w:p>
    <w:p>
      <w:pPr>
        <w:spacing w:after="0" w:line="175" w:lineRule="exact"/>
        <w:rPr>
          <w:rFonts w:ascii="Courier New" w:cs="Courier New" w:eastAsia="Courier New" w:hAnsi="Courier New"/>
          <w:sz w:val="15"/>
          <w:szCs w:val="15"/>
          <w:color w:val="auto"/>
        </w:rPr>
      </w:pPr>
    </w:p>
    <w:p>
      <w:pPr>
        <w:ind w:left="440" w:right="3399" w:firstLine="444"/>
        <w:spacing w:after="0" w:line="258" w:lineRule="auto"/>
        <w:tabs>
          <w:tab w:leader="none" w:pos="1315" w:val="left"/>
        </w:tabs>
        <w:numPr>
          <w:ilvl w:val="0"/>
          <w:numId w:val="1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change or waive any provision that, pursuant to a board resolution or indenture supplemental hereto establishing the terms of one or more series of Securities, is prohibited to be so changed or waived.</w:t>
      </w:r>
    </w:p>
    <w:p>
      <w:pPr>
        <w:spacing w:after="0" w:line="161"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Upon the written request of the Issuer, accompanied by a copy of a resolution of the Board of Directors certified by the secretary or an assistant secretary of the Issuer authorizing the execution of any such supplemental indenture, and upon the filing with the Trustee of evidence of the consent of Securityholders as aforesaid and other documents, if any, required by Section 6.01, the Trustee shall join with the Issuer in the execution of such supplemental indenture unless such supplemental indenture affects the Trustee's own rights, duties or immunities under this Indenture or otherwise, in which case the Trustee may in its discretion, but shall not be obligated to, enter into such supplemental indenture.</w:t>
      </w:r>
    </w:p>
    <w:p>
      <w:pPr>
        <w:spacing w:after="0" w:line="34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40</w:t>
      </w:r>
    </w:p>
    <w:p>
      <w:pPr>
        <w:sectPr>
          <w:pgSz w:w="11900" w:h="16838" w:orient="portrait"/>
          <w:cols w:equalWidth="0" w:num="1">
            <w:col w:w="10239"/>
          </w:cols>
          <w:pgMar w:left="220" w:top="792" w:right="1440" w:bottom="1440" w:gutter="0" w:footer="0" w:header="0"/>
        </w:sectPr>
      </w:pPr>
    </w:p>
    <w:bookmarkStart w:id="119" w:name="page120"/>
    <w:bookmarkEnd w:id="119"/>
    <w:p>
      <w:pPr>
        <w:ind w:right="3239" w:firstLine="437"/>
        <w:spacing w:after="0" w:line="258" w:lineRule="auto"/>
        <w:rPr>
          <w:sz w:val="20"/>
          <w:szCs w:val="20"/>
          <w:color w:val="auto"/>
        </w:rPr>
      </w:pPr>
      <w:r>
        <w:rPr>
          <w:rFonts w:ascii="Courier New" w:cs="Courier New" w:eastAsia="Courier New" w:hAnsi="Courier New"/>
          <w:sz w:val="14"/>
          <w:szCs w:val="14"/>
          <w:color w:val="auto"/>
        </w:rPr>
        <w:t>It shall not be necessary for the consent of the Securityholders under this section to approve the particular form of any proposed supplemental indenture, but it shall be sufficient if such consent shall approve the substance thereof.</w:t>
      </w:r>
    </w:p>
    <w:p>
      <w:pPr>
        <w:spacing w:after="0" w:line="161"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Promptly after the execution by the Issuer and the Trustee of any supplemental indenture pursuant to the provisions of this Section, the Issuer shall mail a notice thereof by first class mail to the Holders of Securities of each series affected thereby at their addresses as they shall appear on the registry books of the Issuer, setting forth in general terms the substance of such supplemental indenture. Any failure of the Issuer to mail such notice, or any defect therein, shall not, however, in any way impair or affect the validity of any such supplemental indenture.</w:t>
      </w:r>
    </w:p>
    <w:p>
      <w:pPr>
        <w:spacing w:after="0" w:line="177"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Section 7.03. Effect of Supplemental Indenture. Upon the execution of any supplemental indenture pursuant to the provisions hereof, this Indenture shall be and be deemed to be modified and amended in accordance therewith and the respective rights, limitations of rights, obligations, duties and immunities under this Indenture of the Trustee, the Issuer and the Holders of Securities of each series affected thereby shall thereafter be determined, exercised and enforced hereunder subject in all respects to such modifications and amendments, and all the terms and conditions of any such supplemental indenture shall be and be deemed to be part of the terms and conditions of this Indenture for any and all purposes.</w:t>
      </w:r>
    </w:p>
    <w:p>
      <w:pPr>
        <w:spacing w:after="0" w:line="179"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Section 7.04. Documents to Be Given to Trustee. The Trustee, subject to the provisions of Sections 5.01 and 5.02, may receive an Officers' Certificate and an Opinion of Counsel as conclusive evidence that any supplemental indenture executed pursuant to this Article 7 complies with the applicable provisions of this Indenture.</w:t>
      </w:r>
    </w:p>
    <w:p>
      <w:pPr>
        <w:spacing w:after="0" w:line="174"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Section 7.05. Notation on Securities in Respect of Supplemental Indentures. Securities of any series authenticated and delivered after the execution of any supplemental indenture pursuant to the provisions of this Article may bear a notation in form approved by the Trustee for such series as to any matter provided for by such supplemental indenture or as to any action taken at any such meeting. If the Issuer or the Trustee shall so determine, new Securities of any series so modified as to conform, in the opinion of the Trustee and the Board of Directors, to any modification of this Indenture contained in any such supplemental indenture may be prepared by the Issuer, authenticated by the Trustee and delivered in exchange for the Securities of such series then outstanding.</w:t>
      </w:r>
    </w:p>
    <w:p>
      <w:pPr>
        <w:spacing w:after="0" w:line="342"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Article 8</w:t>
      </w:r>
    </w:p>
    <w:p>
      <w:pPr>
        <w:ind w:left="1760"/>
        <w:spacing w:after="0" w:line="237" w:lineRule="auto"/>
        <w:rPr>
          <w:sz w:val="20"/>
          <w:szCs w:val="20"/>
          <w:color w:val="auto"/>
        </w:rPr>
      </w:pPr>
      <w:r>
        <w:rPr>
          <w:rFonts w:ascii="Courier New" w:cs="Courier New" w:eastAsia="Courier New" w:hAnsi="Courier New"/>
          <w:sz w:val="15"/>
          <w:szCs w:val="15"/>
          <w:color w:val="auto"/>
        </w:rPr>
        <w:t>CONSOLIDATION, MERGER, SALE OR CONVEYANCE</w:t>
      </w:r>
    </w:p>
    <w:p>
      <w:pPr>
        <w:spacing w:after="0" w:line="173"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Section 8.01. Issuer May Consolidate, etc., on Certain Terms. The Issuer covenants that it will not merge or consolidate with any other Person or sell, convey, transfer, lease or otherwise dispose of all or substantially all of its property and assets to any Person (other than a consolidation with or merger with or into or a sale, conveyance, transfer, lease or other disposition to a Wholly-Owned Subsidiary with a positive net worth; provided that, in connection with any such merger of the Issuer with a Wholly-Owned Subsidiary, no consideration (other than common stock) in the surviving person or the Issuer shall be issued or distributed to the stockholders of the Issuer), unless (i) either (x) the Issuer shall be the</w:t>
      </w:r>
    </w:p>
    <w:p>
      <w:pPr>
        <w:spacing w:after="0" w:line="34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41</w:t>
      </w:r>
    </w:p>
    <w:p>
      <w:pPr>
        <w:sectPr>
          <w:pgSz w:w="11900" w:h="16838" w:orient="portrait"/>
          <w:cols w:equalWidth="0" w:num="1">
            <w:col w:w="10239"/>
          </w:cols>
          <w:pgMar w:left="220" w:top="792" w:right="1440" w:bottom="1440" w:gutter="0" w:footer="0" w:header="0"/>
        </w:sectPr>
      </w:pPr>
    </w:p>
    <w:bookmarkStart w:id="120" w:name="page121"/>
    <w:bookmarkEnd w:id="120"/>
    <w:p>
      <w:pPr>
        <w:ind w:right="3239"/>
        <w:spacing w:after="0" w:line="254" w:lineRule="auto"/>
        <w:rPr>
          <w:sz w:val="20"/>
          <w:szCs w:val="20"/>
          <w:color w:val="auto"/>
        </w:rPr>
      </w:pPr>
      <w:r>
        <w:rPr>
          <w:rFonts w:ascii="Courier New" w:cs="Courier New" w:eastAsia="Courier New" w:hAnsi="Courier New"/>
          <w:sz w:val="14"/>
          <w:szCs w:val="14"/>
          <w:color w:val="auto"/>
        </w:rPr>
        <w:t>continuing corporation, or the successor corporation or (y) the Person formed by such consolidation or into which the Issuer is merged or that acquires by sale or conveyance substantially all the assets of the Issuer (if other than the Issuer) shall be a corporation or limited liability company organized and validly existing under the laws of the United States of America or any jurisdiction thereof and shall expressly assume the due and punctual payment of the principal of and interest on all the Securities, according to their tenor, and the due and punctual performance and observance of all of the covenants and conditions of this Indenture to be performed or observed by the Issuer, by supplemental indenture satisfactory to the Trustee, executed and delivered to the Trustee by such Person, (ii) immediately after giving effect to such transaction, no default or Event of Default shall have occurred and be continuing and (iii) the Issuer delivers to the Trustee an Officers' Certificate and Opinion of Counsel, in each case stating that such consolidation, merger or transfer and such supplemental indenture complies with this Section 8.01 and that all conditions precedent provided for herein relating to such transaction have been complied with; provided, however, that the foregoing limitations shall not apply if, in the good faith determination of the Board of Directors, whose determination shall be evidenced by a board resolution certified to the Trustee, the principal purpose of such transaction is to change the state of incorporation of the Issuer; and provided further that any such transaction shall not have as one of its purposes the evasion of the foregoing limitations.</w:t>
      </w:r>
    </w:p>
    <w:p>
      <w:pPr>
        <w:spacing w:after="0" w:line="344"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Section 8.02. Successor Corporation Substituted. In case of any such consolidation, merger, sale, conveyance, transfer, lease or other disposition, and following such an assumption by the successor Person, such successor Person shall succeed to and be substituted for the Issuer, with the same effect as if it had been named herein. Such successor Person may cause to be signed, and may issue either in its own name or in the name of the Issuer prior to such succession any or all of the Securities issuable hereunder which theretofore shall not have been signed by the Issuer and delivered to the Trustee; and, upon the order of such successor Person instead of the Issuer and subject to all the terms, conditions and limitations in this Indenture prescribed, the Trustee, pursuant to the terms hereof, shall authenticate and shall deliver any Securities which previously shall have been signed and delivered by the officers of the Issuer to the Trustee for authentication, and any Securities which such successor Person thereafter shall cause to be signed and delivered to the Trustee for that purpose. All of the Securities so issued shall in all respects have the same legal rank and benefit under this Indenture as the Securities theretofore or thereafter issued in accordance with the terms of this Indenture as though all of such Securities had been issued at the date of the execution hereof.</w:t>
      </w:r>
    </w:p>
    <w:p>
      <w:pPr>
        <w:spacing w:after="0" w:line="176" w:lineRule="exact"/>
        <w:rPr>
          <w:sz w:val="20"/>
          <w:szCs w:val="20"/>
          <w:color w:val="auto"/>
        </w:rPr>
      </w:pPr>
    </w:p>
    <w:p>
      <w:pPr>
        <w:ind w:right="3579" w:firstLine="437"/>
        <w:spacing w:after="0" w:line="235" w:lineRule="auto"/>
        <w:rPr>
          <w:sz w:val="20"/>
          <w:szCs w:val="20"/>
          <w:color w:val="auto"/>
        </w:rPr>
      </w:pPr>
      <w:r>
        <w:rPr>
          <w:rFonts w:ascii="Courier New" w:cs="Courier New" w:eastAsia="Courier New" w:hAnsi="Courier New"/>
          <w:sz w:val="15"/>
          <w:szCs w:val="15"/>
          <w:color w:val="auto"/>
        </w:rPr>
        <w:t>In case of any such consolidation, merger, sale, conveyance, transfer, lease or other disposition, such changes in phraseology and form (but not in substance) may be made in the Securities thereafter to be issued as may be appropriate.</w:t>
      </w:r>
    </w:p>
    <w:p>
      <w:pPr>
        <w:spacing w:after="0" w:line="175" w:lineRule="exact"/>
        <w:rPr>
          <w:sz w:val="20"/>
          <w:szCs w:val="20"/>
          <w:color w:val="auto"/>
        </w:rPr>
      </w:pPr>
    </w:p>
    <w:p>
      <w:pPr>
        <w:jc w:val="both"/>
        <w:ind w:right="3239" w:firstLine="437"/>
        <w:spacing w:after="0" w:line="235" w:lineRule="auto"/>
        <w:rPr>
          <w:sz w:val="20"/>
          <w:szCs w:val="20"/>
          <w:color w:val="auto"/>
        </w:rPr>
      </w:pPr>
      <w:r>
        <w:rPr>
          <w:rFonts w:ascii="Courier New" w:cs="Courier New" w:eastAsia="Courier New" w:hAnsi="Courier New"/>
          <w:sz w:val="15"/>
          <w:szCs w:val="15"/>
          <w:color w:val="auto"/>
        </w:rPr>
        <w:t>Upon the assumption by the successor Person in the manner described in this Article, the Issuer shall be discharged from all obligations and covenants under this Indenture and the Securities.</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42</w:t>
      </w:r>
    </w:p>
    <w:p>
      <w:pPr>
        <w:sectPr>
          <w:pgSz w:w="11900" w:h="16838" w:orient="portrait"/>
          <w:cols w:equalWidth="0" w:num="1">
            <w:col w:w="10239"/>
          </w:cols>
          <w:pgMar w:left="220" w:top="792" w:right="1440" w:bottom="1440" w:gutter="0" w:footer="0" w:header="0"/>
        </w:sectPr>
      </w:pPr>
    </w:p>
    <w:bookmarkStart w:id="121" w:name="page122"/>
    <w:bookmarkEnd w:id="121"/>
    <w:p>
      <w:pPr>
        <w:ind w:left="3080"/>
        <w:spacing w:after="0"/>
        <w:rPr>
          <w:sz w:val="20"/>
          <w:szCs w:val="20"/>
          <w:color w:val="auto"/>
        </w:rPr>
      </w:pPr>
      <w:r>
        <w:rPr>
          <w:rFonts w:ascii="Courier New" w:cs="Courier New" w:eastAsia="Courier New" w:hAnsi="Courier New"/>
          <w:sz w:val="15"/>
          <w:szCs w:val="15"/>
          <w:color w:val="auto"/>
        </w:rPr>
        <w:t>Article 9</w:t>
      </w:r>
    </w:p>
    <w:p>
      <w:pPr>
        <w:ind w:left="2540"/>
        <w:spacing w:after="0" w:line="237" w:lineRule="auto"/>
        <w:rPr>
          <w:sz w:val="20"/>
          <w:szCs w:val="20"/>
          <w:color w:val="auto"/>
        </w:rPr>
      </w:pPr>
      <w:r>
        <w:rPr>
          <w:rFonts w:ascii="Courier New" w:cs="Courier New" w:eastAsia="Courier New" w:hAnsi="Courier New"/>
          <w:sz w:val="15"/>
          <w:szCs w:val="15"/>
          <w:color w:val="auto"/>
        </w:rPr>
        <w:t>DISCHARGE OF INDENTURE</w:t>
      </w:r>
    </w:p>
    <w:p>
      <w:pPr>
        <w:spacing w:after="0" w:line="173"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Section 9.01. Defeasance Within One Year of Payment. Except as otherwise provided in this Section 9.01, the Issuer may terminate its obligations and the obligations of the Cable Guarantors under the Securities of any series, the Cable Guarantees with respect to Securities of such series and this Indenture with respect to Securities of such series if:</w:t>
      </w:r>
    </w:p>
    <w:p>
      <w:pPr>
        <w:spacing w:after="0" w:line="174" w:lineRule="exact"/>
        <w:rPr>
          <w:sz w:val="20"/>
          <w:szCs w:val="20"/>
          <w:color w:val="auto"/>
        </w:rPr>
      </w:pPr>
    </w:p>
    <w:p>
      <w:pPr>
        <w:ind w:left="440" w:right="3319" w:firstLine="444"/>
        <w:spacing w:after="0" w:line="236" w:lineRule="auto"/>
        <w:tabs>
          <w:tab w:leader="none" w:pos="1227" w:val="left"/>
        </w:tabs>
        <w:numPr>
          <w:ilvl w:val="0"/>
          <w:numId w:val="1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Securities of such series previously authenticated and delivered (other than destroyed, lost or wrongfully taken Securities of such series that have been replaced or Securities of such series that are paid pursuant to Section 3.01 or Securities of such series for whose payment money or securities have theretofore been held in trust and thereafter repaid to the Issuer, as provided in Section 9.05) have been delivered to the Trustee for cancellation and the Issuer has paid all sums payable by it hereunder; or</w:t>
      </w:r>
    </w:p>
    <w:p>
      <w:pPr>
        <w:spacing w:after="0" w:line="177" w:lineRule="exact"/>
        <w:rPr>
          <w:rFonts w:ascii="Courier New" w:cs="Courier New" w:eastAsia="Courier New" w:hAnsi="Courier New"/>
          <w:sz w:val="15"/>
          <w:szCs w:val="15"/>
          <w:color w:val="auto"/>
        </w:rPr>
      </w:pPr>
    </w:p>
    <w:p>
      <w:pPr>
        <w:ind w:left="440" w:right="3239" w:firstLine="444"/>
        <w:spacing w:after="0" w:line="254" w:lineRule="auto"/>
        <w:tabs>
          <w:tab w:leader="none" w:pos="1315" w:val="left"/>
        </w:tabs>
        <w:numPr>
          <w:ilvl w:val="0"/>
          <w:numId w:val="1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Error! Bookmark not defined. the Securities of such series mature within one year or all of them are to be called for redemption within one year under arrangements satisfactory to the Trustee for giving the notice of redemption, Error! Bookmark not defined. the Issuer irrevocably deposits in trust with the Trustee, as trust funds solely for the benefit of the Holders of such Securities for that purpose, money or U.S. Government Obligations or a combination thereof sufficient (unless such funds consist solely of money, in the opinion of a nationally recognized firm of independent public accountants expressed in a written certification thereof delivered to the Trustee), without consideration of any reinvestment and after payment of all Federal, state and local taxes or other charges and assessments in respect thereof payable by the Trustee, to pay Principal of and interest on the Securities of such series to maturity or redemption, as the case may be, and to pay all other sums payable by it hereunder, and Error! Bookmark not defined. the Issuer delivers to the Trustee an Officers' Certificate and an Opinion of Counsel, in each case stating that all conditions precedent provided for herein relating to the satisfaction and discharge of this Indenture with respect to the Securities of such series have been complied with.</w:t>
      </w:r>
    </w:p>
    <w:p>
      <w:pPr>
        <w:spacing w:after="0" w:line="343"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With respect to the foregoing clause (i), only the Issuer's obligations under Sections 5.06 and 9.05 in respect of the Securities of such series shall survive. With respect to the foregoing clause (ii), only the Issuer's obligations in Sections 2.03 through 2.11, 3.02, 5.06, 5.09 and 9.05 in respect of the Securities of such series shall survive until such Securities of such series are no longer outstanding. Thereafter, only the Issuer's obligations in Sections 5.06 and 9.05 in respect of the Securities of such series shall survive. After any such irrevocable deposit, the Trustee shall acknowledge in writing the discharge of the Issuer's obligations under the Securities of such series and this Indenture with respect to the Securities of such series except for those surviving obligations specified above.</w:t>
      </w:r>
    </w:p>
    <w:p>
      <w:pPr>
        <w:spacing w:after="0" w:line="180"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Section 9.02. Defeasance. Except as provided below, the Issuer will be deemed to have paid and will be discharged from any and all obligations in respect of the Securities of any series and the provisions of this Indenture and the Cable Guarantees will no longer be in effect with respect to the Securities of such series (and the Trustee, at the expense of the Issuer, shall execute instruments in form and substance satisfactory to the Issuer and the Trustee acknowledging the same); provided that the following conditions shall have been satisfied:</w:t>
      </w:r>
    </w:p>
    <w:p>
      <w:pPr>
        <w:spacing w:after="0" w:line="33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43</w:t>
      </w:r>
    </w:p>
    <w:p>
      <w:pPr>
        <w:sectPr>
          <w:pgSz w:w="11900" w:h="16838" w:orient="portrait"/>
          <w:cols w:equalWidth="0" w:num="1">
            <w:col w:w="10239"/>
          </w:cols>
          <w:pgMar w:left="220" w:top="785" w:right="1440" w:bottom="1440" w:gutter="0" w:footer="0" w:header="0"/>
        </w:sectPr>
      </w:pPr>
    </w:p>
    <w:bookmarkStart w:id="122" w:name="page123"/>
    <w:bookmarkEnd w:id="122"/>
    <w:p>
      <w:pPr>
        <w:ind w:left="440" w:right="3239" w:firstLine="444"/>
        <w:spacing w:after="0" w:line="255" w:lineRule="auto"/>
        <w:tabs>
          <w:tab w:leader="none" w:pos="1227" w:val="left"/>
        </w:tabs>
        <w:numPr>
          <w:ilvl w:val="0"/>
          <w:numId w:val="1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Issuer has irrevocably deposited in trust with the Trustee as trust funds specifically pledged as security for, and dedicated solely to, Holders of the Securities of such series, for payment of the Principal of and interest on the Securities of such series, money or U.S. Government Obligations or a combination thereof sufficient (unless such funds consist solely of money, in the opinion of a nationally recognized firm of independent public accountants expressed in a written certification thereof delivered to the Trustee) without consideration of any reinvestment and after payment of all federal, state and local taxes or other charges and assessments in respect thereof payable by the Trustee, to pay and discharge the Principal of and accrued interest on the outstanding Securities of such series to maturity or earlier redemption (irrevocably provided for under arrangements satisfactory to the Trustee), as the case may be;</w:t>
      </w:r>
    </w:p>
    <w:p>
      <w:pPr>
        <w:spacing w:after="0" w:line="164" w:lineRule="exact"/>
        <w:rPr>
          <w:rFonts w:ascii="Courier New" w:cs="Courier New" w:eastAsia="Courier New" w:hAnsi="Courier New"/>
          <w:sz w:val="14"/>
          <w:szCs w:val="14"/>
          <w:color w:val="auto"/>
        </w:rPr>
      </w:pPr>
    </w:p>
    <w:p>
      <w:pPr>
        <w:ind w:left="440" w:right="3239" w:firstLine="444"/>
        <w:spacing w:after="0" w:line="235" w:lineRule="auto"/>
        <w:tabs>
          <w:tab w:leader="none" w:pos="1315" w:val="left"/>
        </w:tabs>
        <w:numPr>
          <w:ilvl w:val="0"/>
          <w:numId w:val="1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deposit will not result in a breach or violation of, or constitute a default under, this Indenture, the Cable Guarantees or any other material agreement or instrument to which the Issuer is a party or by which it is bound;</w:t>
      </w:r>
    </w:p>
    <w:p>
      <w:pPr>
        <w:spacing w:after="0" w:line="175" w:lineRule="exact"/>
        <w:rPr>
          <w:rFonts w:ascii="Courier New" w:cs="Courier New" w:eastAsia="Courier New" w:hAnsi="Courier New"/>
          <w:sz w:val="15"/>
          <w:szCs w:val="15"/>
          <w:color w:val="auto"/>
        </w:rPr>
      </w:pPr>
    </w:p>
    <w:p>
      <w:pPr>
        <w:ind w:left="440" w:right="3239" w:firstLine="444"/>
        <w:spacing w:after="0" w:line="235" w:lineRule="auto"/>
        <w:tabs>
          <w:tab w:leader="none" w:pos="1402" w:val="left"/>
        </w:tabs>
        <w:numPr>
          <w:ilvl w:val="0"/>
          <w:numId w:val="1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default or Event of Default with respect to the Securities of such series shall have occurred and be continuing on the date of such deposit;</w:t>
      </w:r>
    </w:p>
    <w:p>
      <w:pPr>
        <w:spacing w:after="0" w:line="173" w:lineRule="exact"/>
        <w:rPr>
          <w:rFonts w:ascii="Courier New" w:cs="Courier New" w:eastAsia="Courier New" w:hAnsi="Courier New"/>
          <w:sz w:val="15"/>
          <w:szCs w:val="15"/>
          <w:color w:val="auto"/>
        </w:rPr>
      </w:pPr>
    </w:p>
    <w:p>
      <w:pPr>
        <w:ind w:left="440" w:right="3239" w:firstLine="444"/>
        <w:spacing w:after="0" w:line="237" w:lineRule="auto"/>
        <w:tabs>
          <w:tab w:leader="none" w:pos="1315" w:val="left"/>
        </w:tabs>
        <w:numPr>
          <w:ilvl w:val="0"/>
          <w:numId w:val="1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Issuer shall have delivered to the Trustee Error! Bookmark not defined. either (x) a ruling directed to the Trustee received from the Internal Revenue Service to the effect that the Holders of the Securities of such series will not recognize income, gain or loss for Federal income tax purposes as a result of the Issuer's exercise of its option under this Section 9.02 and will be subject to federal income tax on the same amount and in the same manner and at the same times as would have been the case if such deposit and defeasance had not occurred or (y) an Opinion of Counsel to the same effect as the ruling described in clause (x) above and based upon a change in law and Error! Bookmark not defined. an Opinion of Counsel to the effect that the Holders of the Securities of such series have a valid security interest in the trust funds subject to no prior liens under the UCC; and</w:t>
      </w:r>
    </w:p>
    <w:p>
      <w:pPr>
        <w:spacing w:after="0" w:line="173" w:lineRule="exact"/>
        <w:rPr>
          <w:rFonts w:ascii="Courier New" w:cs="Courier New" w:eastAsia="Courier New" w:hAnsi="Courier New"/>
          <w:sz w:val="15"/>
          <w:szCs w:val="15"/>
          <w:color w:val="auto"/>
        </w:rPr>
      </w:pPr>
    </w:p>
    <w:p>
      <w:pPr>
        <w:ind w:left="440" w:right="3239" w:firstLine="444"/>
        <w:spacing w:after="0" w:line="256" w:lineRule="auto"/>
        <w:tabs>
          <w:tab w:leader="none" w:pos="1227" w:val="left"/>
        </w:tabs>
        <w:numPr>
          <w:ilvl w:val="0"/>
          <w:numId w:val="1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Issuer has delivered to the Trustee an Officers' Certificate and an Opinion of Counsel, in each case stating that all conditions precedent provided for herein relating to the defeasance contemplated by this Section 9.02 of the Securities of such series have been complied with.</w:t>
      </w:r>
    </w:p>
    <w:p>
      <w:pPr>
        <w:spacing w:after="0" w:line="164"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The Issuer's obligations in Sections 2.03 through 2.11, 3.02, 5.06, 5.09 and 9.05 with respect to the Securities of such series shall survive until such Securities are no longer outstanding. Thereafter, only the Issuer's obligations in Sections 5.06 and 9.05 shall survive.</w:t>
      </w:r>
    </w:p>
    <w:p>
      <w:pPr>
        <w:spacing w:after="0" w:line="175"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Section 9.03. Covenant Defeasance. The Issuer may omit to comply with any term, provision or condition set forth in Sections 3.04, 3.08, 3.10 or 3.11 (or any other specific covenant relating to the Securities of any series provided for in a Board Resolution or supplemental indenture pursuant to Section 2.03 which may by its terms be defeased pursuant to this Section 9.03), and such omission shall be deemed not to be an Event of Default under clause (c) of Section 4.01, with respect to the outstanding Securities of such series if:</w:t>
      </w:r>
    </w:p>
    <w:p>
      <w:pPr>
        <w:spacing w:after="0" w:line="166" w:lineRule="exact"/>
        <w:rPr>
          <w:sz w:val="20"/>
          <w:szCs w:val="20"/>
          <w:color w:val="auto"/>
        </w:rPr>
      </w:pPr>
    </w:p>
    <w:p>
      <w:pPr>
        <w:ind w:left="440" w:right="3239" w:firstLine="444"/>
        <w:spacing w:after="0" w:line="235" w:lineRule="auto"/>
        <w:tabs>
          <w:tab w:leader="none" w:pos="1227" w:val="left"/>
        </w:tabs>
        <w:numPr>
          <w:ilvl w:val="0"/>
          <w:numId w:val="1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Issuer has irrevocably deposited in trust with the Trustee as trust funds solely for the benefit of the Holders of the Securities of such series, for payment of the</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44</w:t>
      </w:r>
    </w:p>
    <w:p>
      <w:pPr>
        <w:sectPr>
          <w:pgSz w:w="11900" w:h="16838" w:orient="portrait"/>
          <w:cols w:equalWidth="0" w:num="1">
            <w:col w:w="10239"/>
          </w:cols>
          <w:pgMar w:left="220" w:top="792" w:right="1440" w:bottom="1440" w:gutter="0" w:footer="0" w:header="0"/>
        </w:sectPr>
      </w:pPr>
    </w:p>
    <w:bookmarkStart w:id="123" w:name="page124"/>
    <w:bookmarkEnd w:id="123"/>
    <w:p>
      <w:pPr>
        <w:ind w:left="440" w:right="3239"/>
        <w:spacing w:after="0" w:line="236" w:lineRule="auto"/>
        <w:rPr>
          <w:sz w:val="20"/>
          <w:szCs w:val="20"/>
          <w:color w:val="auto"/>
        </w:rPr>
      </w:pPr>
      <w:r>
        <w:rPr>
          <w:rFonts w:ascii="Courier New" w:cs="Courier New" w:eastAsia="Courier New" w:hAnsi="Courier New"/>
          <w:sz w:val="15"/>
          <w:szCs w:val="15"/>
          <w:color w:val="auto"/>
        </w:rPr>
        <w:t>Principal of and interest, if any, on the Securities of such series, money or U.S. Government Obligations or a combination thereof in an amount sufficient (unless such funds consist solely of money, in the opinion of a nationally recognized firm of independent public accountants expressed in a written certification thereof delivered to the Trustee) without consideration of any reinvestment and after payment of all Federal, state and local taxes or other charges and assessments in respect thereof payable by the Trustee, to pay and discharge the Principal of and interest on the outstanding Securities of such series to maturity or earlier redemption (irrevocably provided for under arrangements satisfactory to the Trustee), as the case may be;</w:t>
      </w:r>
    </w:p>
    <w:p>
      <w:pPr>
        <w:spacing w:after="0" w:line="180" w:lineRule="exact"/>
        <w:rPr>
          <w:sz w:val="20"/>
          <w:szCs w:val="20"/>
          <w:color w:val="auto"/>
        </w:rPr>
      </w:pPr>
    </w:p>
    <w:p>
      <w:pPr>
        <w:ind w:left="440" w:right="3239" w:firstLine="444"/>
        <w:spacing w:after="0" w:line="235" w:lineRule="auto"/>
        <w:tabs>
          <w:tab w:leader="none" w:pos="1315" w:val="left"/>
        </w:tabs>
        <w:numPr>
          <w:ilvl w:val="0"/>
          <w:numId w:val="1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deposit will not result in a breach or violation of, or constitute a default under, this Indenture, the Cable Guarantees or any other material agreement or instrument to which the Issuer is a party or by which it is bound;</w:t>
      </w:r>
    </w:p>
    <w:p>
      <w:pPr>
        <w:spacing w:after="0" w:line="175" w:lineRule="exact"/>
        <w:rPr>
          <w:rFonts w:ascii="Courier New" w:cs="Courier New" w:eastAsia="Courier New" w:hAnsi="Courier New"/>
          <w:sz w:val="15"/>
          <w:szCs w:val="15"/>
          <w:color w:val="auto"/>
        </w:rPr>
      </w:pPr>
    </w:p>
    <w:p>
      <w:pPr>
        <w:ind w:left="440" w:right="3239" w:firstLine="444"/>
        <w:spacing w:after="0" w:line="235" w:lineRule="auto"/>
        <w:tabs>
          <w:tab w:leader="none" w:pos="1402" w:val="left"/>
        </w:tabs>
        <w:numPr>
          <w:ilvl w:val="0"/>
          <w:numId w:val="1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default or Event of Default with respect to the Securities of such series shall have occurred and be continuing on the date of such deposit;</w:t>
      </w:r>
    </w:p>
    <w:p>
      <w:pPr>
        <w:spacing w:after="0" w:line="173" w:lineRule="exact"/>
        <w:rPr>
          <w:rFonts w:ascii="Courier New" w:cs="Courier New" w:eastAsia="Courier New" w:hAnsi="Courier New"/>
          <w:sz w:val="15"/>
          <w:szCs w:val="15"/>
          <w:color w:val="auto"/>
        </w:rPr>
      </w:pPr>
    </w:p>
    <w:p>
      <w:pPr>
        <w:ind w:left="440" w:right="3239" w:firstLine="444"/>
        <w:spacing w:after="0" w:line="236" w:lineRule="auto"/>
        <w:tabs>
          <w:tab w:leader="none" w:pos="1315" w:val="left"/>
        </w:tabs>
        <w:numPr>
          <w:ilvl w:val="0"/>
          <w:numId w:val="1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Issuer has delivered to the Trustee an Opinion of Counsel to the effect that (A) the Holders of the Securities of such series have a valid security interest in the trust funds subject to no prior liens under the UCC and (B) such Holders will not recognize income, gain or loss for Federal income tax purposes as a result of such deposit and covenant defeasance and will be subject to federal income tax on the same amount and in the same manner and at the same times as would have been the case if such deposit and defeasance had not occurred; and</w:t>
      </w:r>
    </w:p>
    <w:p>
      <w:pPr>
        <w:spacing w:after="0" w:line="177" w:lineRule="exact"/>
        <w:rPr>
          <w:rFonts w:ascii="Courier New" w:cs="Courier New" w:eastAsia="Courier New" w:hAnsi="Courier New"/>
          <w:sz w:val="15"/>
          <w:szCs w:val="15"/>
          <w:color w:val="auto"/>
        </w:rPr>
      </w:pPr>
    </w:p>
    <w:p>
      <w:pPr>
        <w:ind w:left="440" w:right="3399" w:firstLine="444"/>
        <w:spacing w:after="0" w:line="236" w:lineRule="auto"/>
        <w:tabs>
          <w:tab w:leader="none" w:pos="1227" w:val="left"/>
        </w:tabs>
        <w:numPr>
          <w:ilvl w:val="0"/>
          <w:numId w:val="1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Issuer has delivered to the Trustee an Officers' Certificate and an Opinion of Counsel, in each case stating that all conditions precedent provided for herein relating to the covenant defeasance contemplated by this Section 9.03 of the Securities of such series have been complied with.</w:t>
      </w:r>
    </w:p>
    <w:p>
      <w:pPr>
        <w:spacing w:after="0" w:line="174"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Section 9.04. Application of Trust Money. Subject to Section 9.05, the Trustee or Paying Agent shall hold in trust money or U.S. Government Obligations deposited with it pursuant to Section 9.01, 9.02, or 9.03, as the case may be, in respect of the Securities of any series and shall apply the deposited money and the proceeds from deposited U.S. Government Obligations in accordance with the Securities of such series and this Indenture to the payment of Principal of and interest on the Securities of such series; but such money need not be segregated from other funds except to the extent required by law. The Issuer shall pay and indemnify the Trustee against any tax, fee or other charge imposed on or assessed against the U.S. Government Obligations deposited pursuant to Section 9.01, 9.02, or 9.03, as the case may be, or the principal and interest received in respect thereof, other than any such tax, fee or other charge that by law is for the account of the Holders.</w:t>
      </w:r>
    </w:p>
    <w:p>
      <w:pPr>
        <w:spacing w:after="0" w:line="164"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Section 9.05. Repayment to Issuer. Subject to Sections 5.06, 9.01, 9.02 and 9.03, the Trustee and the Paying Agent shall promptly pay to the Issuer upon request set forth in an Officers' Certificate any money held by them at any time and not required to make payments hereunder and thereupon shall be relieved from all liability with respect to such money. Subject to applicable escheat or abandoned property laws, the Trustee and the Paying Agent shall pay to the Issuer upon written request any money held by them and required to make payments</w:t>
      </w:r>
    </w:p>
    <w:p>
      <w:pPr>
        <w:spacing w:after="0" w:line="32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45</w:t>
      </w:r>
    </w:p>
    <w:p>
      <w:pPr>
        <w:sectPr>
          <w:pgSz w:w="11900" w:h="16838" w:orient="portrait"/>
          <w:cols w:equalWidth="0" w:num="1">
            <w:col w:w="10239"/>
          </w:cols>
          <w:pgMar w:left="220" w:top="792" w:right="1440" w:bottom="1440" w:gutter="0" w:footer="0" w:header="0"/>
        </w:sectPr>
      </w:pPr>
    </w:p>
    <w:bookmarkStart w:id="124" w:name="page125"/>
    <w:bookmarkEnd w:id="124"/>
    <w:p>
      <w:pPr>
        <w:ind w:right="3239"/>
        <w:spacing w:after="0" w:line="255" w:lineRule="auto"/>
        <w:rPr>
          <w:sz w:val="20"/>
          <w:szCs w:val="20"/>
          <w:color w:val="auto"/>
        </w:rPr>
      </w:pPr>
      <w:r>
        <w:rPr>
          <w:rFonts w:ascii="Courier New" w:cs="Courier New" w:eastAsia="Courier New" w:hAnsi="Courier New"/>
          <w:sz w:val="14"/>
          <w:szCs w:val="14"/>
          <w:color w:val="auto"/>
        </w:rPr>
        <w:t>hereunder under this Indenture that remains unclaimed for two years; provided that the Trustee or such Paying Agent before being required to make any payment shall cause to be published at the expense of the Issuer once in an Authorized Newspaper or mail to each Holder entitled to such money at such Holder's address (as set forth in the register) notice that such money remains unclaimed and that after a date specified therein (which shall be at least 30 days from the date of such publication or mailing) any unclaimed balance of such money then remaining will be repaid to the Issuer. After payment to the Issuer, Holders entitled to such money must look to the Issuer for payment as unsecured general creditors unless an abandoned property law designates another Person, and all liability of the Trustee and such Paying Agent with respect to such money shall cease.</w:t>
      </w:r>
    </w:p>
    <w:p>
      <w:pPr>
        <w:spacing w:after="0" w:line="326"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Article 10</w:t>
      </w:r>
    </w:p>
    <w:p>
      <w:pPr>
        <w:jc w:val="center"/>
        <w:ind w:right="3239"/>
        <w:spacing w:after="0" w:line="237" w:lineRule="auto"/>
        <w:rPr>
          <w:sz w:val="20"/>
          <w:szCs w:val="20"/>
          <w:color w:val="auto"/>
        </w:rPr>
      </w:pPr>
      <w:r>
        <w:rPr>
          <w:rFonts w:ascii="Courier New" w:cs="Courier New" w:eastAsia="Courier New" w:hAnsi="Courier New"/>
          <w:sz w:val="15"/>
          <w:szCs w:val="15"/>
          <w:color w:val="auto"/>
        </w:rPr>
        <w:t>MISCELLANEOUS PROVISIONS</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Section 10.01. Incorporators, Stockholders, Officers and Directors Exempt from Individual Liability. No recourse under or upon any obligation, covenant or agreement contained in this Indenture, the Cable Guarantees or in any Security, or because of any indebtedness evidenced thereby, shall be had against any incorporator, as such, or against any past, present or future stockholder, officer, director or employee, as such, of the Issuer, any Cable Guarantor or of any successor Person thereof, either directly or through the Issuer or any Cable Guarantor or any successor Person thereof, under any rule of law, statute or constitutional provision or by the enforcement of any assessment or by any legal or equitable proceeding or otherwise, all such liability being expressly waived and released by the acceptance of the Securities by the holders thereof and as part of the consideration for the issue of the Securities.</w:t>
      </w:r>
    </w:p>
    <w:p>
      <w:pPr>
        <w:spacing w:after="0" w:line="164"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Section 10.02. Provisions of Indenture for the Sole Benefit of Parties and Securityholders. Nothing in this Indenture or in the Securities, expressed or implied, shall give or be construed to give to any person, firm or corporation, other than the parties hereto and their successors and the Holders of the Securities, any legal or equitable right, remedy or claim under this Indenture or under any covenant or provision herein contained, all such covenants and provisions being for the sole benefit of the parties hereto and their successors and of the Holders of the Securities.</w:t>
      </w:r>
    </w:p>
    <w:p>
      <w:pPr>
        <w:spacing w:after="0" w:line="177"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Section 10.03. Successors and Assigns of Issuer Bound by Indenture. All the covenants, stipulations, promises and agreements in this Indenture contained by or in behalf of the Issuer shall bind its successors and assigns, whether so expressed or not.</w:t>
      </w:r>
    </w:p>
    <w:p>
      <w:pPr>
        <w:spacing w:after="0" w:line="175"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Section 10.04. Notices and Demands on Issuer, Trustee and Securityholders. Any notice or demand which by any provision of this Indenture is required or permitted to be given or served by the Trustee or by the Holders of Securities to or on the Issuer may be given or served by being deposited postage prepaid, first-class mail (except as otherwise specifically provided herein) addressed (until another address of the Issuer is filed by the Issuer with the Trustee) to Comcast Corporation at 1500 Market Street, Philadelphia, Pennsylvania</w:t>
      </w:r>
    </w:p>
    <w:p>
      <w:pPr>
        <w:spacing w:after="0" w:line="2"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19102-2148, Attention: Treasurer. Any notice, direction, request or demand by the Issuer or any Securityholder to or upon the Trustee shall be deemed to have been sufficiently given or made, for all purposes, if given or made at the Corporate Trust Office.</w:t>
      </w:r>
    </w:p>
    <w:p>
      <w:pPr>
        <w:spacing w:after="0" w:line="33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46</w:t>
      </w:r>
    </w:p>
    <w:p>
      <w:pPr>
        <w:sectPr>
          <w:pgSz w:w="11900" w:h="16838" w:orient="portrait"/>
          <w:cols w:equalWidth="0" w:num="1">
            <w:col w:w="10239"/>
          </w:cols>
          <w:pgMar w:left="220" w:top="792" w:right="1440" w:bottom="1440" w:gutter="0" w:footer="0" w:header="0"/>
        </w:sectPr>
      </w:pPr>
    </w:p>
    <w:bookmarkStart w:id="125" w:name="page126"/>
    <w:bookmarkEnd w:id="125"/>
    <w:p>
      <w:pPr>
        <w:ind w:right="3239" w:firstLine="437"/>
        <w:spacing w:after="0" w:line="255" w:lineRule="auto"/>
        <w:rPr>
          <w:sz w:val="20"/>
          <w:szCs w:val="20"/>
          <w:color w:val="auto"/>
        </w:rPr>
      </w:pPr>
      <w:r>
        <w:rPr>
          <w:rFonts w:ascii="Courier New" w:cs="Courier New" w:eastAsia="Courier New" w:hAnsi="Courier New"/>
          <w:sz w:val="14"/>
          <w:szCs w:val="14"/>
          <w:color w:val="auto"/>
        </w:rPr>
        <w:t>Where this Indenture provides for notice to Holders, such notice shall be sufficiently given (unless otherwise herein expressly provided) if in writing and mailed, first-class postage prepaid, to each Holder entitled thereto, at his last address as it appears in the Security register. In any case where notice to Holders is given by mail, neither the failure to mail such notice, nor any defect in any notice so mailed, to any particular Holder shall affect the sufficiency of such notice with respect to other Holders. Where this Indenture provides for notice in any manner, such notice may be waived in writing by the person entitled to receive such notice, either before or after the event, and such waiver shall be the equivalent of such notice. Waivers of notice by Holders shall be filed with the Trustee, but such filing shall not be a condition precedent to the validity of any action taken in reliance upon such waiver.</w:t>
      </w:r>
    </w:p>
    <w:p>
      <w:pPr>
        <w:spacing w:after="0" w:line="164" w:lineRule="exact"/>
        <w:rPr>
          <w:sz w:val="20"/>
          <w:szCs w:val="20"/>
          <w:color w:val="auto"/>
        </w:rPr>
      </w:pPr>
    </w:p>
    <w:p>
      <w:pPr>
        <w:ind w:right="3399" w:firstLine="437"/>
        <w:spacing w:after="0" w:line="236" w:lineRule="auto"/>
        <w:rPr>
          <w:sz w:val="20"/>
          <w:szCs w:val="20"/>
          <w:color w:val="auto"/>
        </w:rPr>
      </w:pPr>
      <w:r>
        <w:rPr>
          <w:rFonts w:ascii="Courier New" w:cs="Courier New" w:eastAsia="Courier New" w:hAnsi="Courier New"/>
          <w:sz w:val="15"/>
          <w:szCs w:val="15"/>
          <w:color w:val="auto"/>
        </w:rPr>
        <w:t>In case, by reason of the suspension of or irregularities in regular mail service, it shall be impracticable to mail notice to the Issuer and Securityholders when such notice is required to be given pursuant to any provision of this Indenture, then any manner of giving such notice as shall be satisfactory to the Trustee shall be deemed to be a sufficient giving of such notice.</w:t>
      </w:r>
    </w:p>
    <w:p>
      <w:pPr>
        <w:spacing w:after="0" w:line="175" w:lineRule="exact"/>
        <w:rPr>
          <w:sz w:val="20"/>
          <w:szCs w:val="20"/>
          <w:color w:val="auto"/>
        </w:rPr>
      </w:pPr>
    </w:p>
    <w:p>
      <w:pPr>
        <w:ind w:right="3399" w:firstLine="437"/>
        <w:spacing w:after="0" w:line="255" w:lineRule="auto"/>
        <w:rPr>
          <w:sz w:val="20"/>
          <w:szCs w:val="20"/>
          <w:color w:val="auto"/>
        </w:rPr>
      </w:pPr>
      <w:r>
        <w:rPr>
          <w:rFonts w:ascii="Courier New" w:cs="Courier New" w:eastAsia="Courier New" w:hAnsi="Courier New"/>
          <w:sz w:val="14"/>
          <w:szCs w:val="14"/>
          <w:color w:val="auto"/>
        </w:rPr>
        <w:t>Section 10.05. Officers' Certificates and Opinions of Counsel; Statements to be Contained Therein. Upon any application or demand by the Issuer to the Trustee to take any action under any of the provisions of this Indenture, the Issuer shall furnish to the Trustee an Officers' Certificate stating that all conditions precedent provided for in this Indenture relating to the proposed action have been complied with and an Opinion of Counsel stating that in the opinion of such counsel all such conditions precedent have been complied with, except that in the case of any such application or demand as to which the furnishing of such documents is specifically required by any provision of this Indenture relating to such particular application or demand, no additional certificate or opinion need be furnished.</w:t>
      </w:r>
    </w:p>
    <w:p>
      <w:pPr>
        <w:spacing w:after="0" w:line="165"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Each certificate or opinion provided for in this Indenture and delivered to the Trustee with respect to compliance with a condition or covenant provided for in this Indenture shall include (a) a statement that the person making such certificate or opinion has read such covenant or condition, (b) a brief statement as to the nature and scope of the examination or investigation upon which the statements or opinions contained in such certificate or opinion are based, (c) a statement that, in the opinion of such person, he has made such examination or investigation as is necessary to enable him to express an informed opinion as to whether or not such covenant or condition has been complied with and (d) a statement as to whether or not, in the opinion of such person, such condition or covenant has been complied with.</w:t>
      </w:r>
    </w:p>
    <w:p>
      <w:pPr>
        <w:spacing w:after="0" w:line="165"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Any certificate, statement or opinion of an officer of the Issuer may be based, insofar as it relates to legal matters, upon a certificate or opinion of or representations by counsel, unless such officer knows that the certificate or opinion or representations with respect to the matters upon which his certificate, statement or opinion may be based as aforesaid are erroneous, or in the exercise of reasonable care should know that the same are erroneous. Any certificate, statement or opinion of counsel may be based, insofar as it relates to factual matters, information with respect to which is in the possession of the Issuer, upon the certificate, statement or opinion of or representations by an officer of officers of the Issuer, unless such counsel knows that the certificate, statement or opinion or representations with respect to the matters upon which his certificate, statement or opinion may be based as aforesaid are erroneous, or in the exercise of reasonable care should know that the same are erroneous.</w:t>
      </w:r>
    </w:p>
    <w:p>
      <w:pPr>
        <w:spacing w:after="0" w:line="33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47</w:t>
      </w:r>
    </w:p>
    <w:p>
      <w:pPr>
        <w:sectPr>
          <w:pgSz w:w="11900" w:h="16838" w:orient="portrait"/>
          <w:cols w:equalWidth="0" w:num="1">
            <w:col w:w="10239"/>
          </w:cols>
          <w:pgMar w:left="220" w:top="792" w:right="1440" w:bottom="1440" w:gutter="0" w:footer="0" w:header="0"/>
        </w:sectPr>
      </w:pPr>
    </w:p>
    <w:bookmarkStart w:id="126" w:name="page127"/>
    <w:bookmarkEnd w:id="126"/>
    <w:p>
      <w:pPr>
        <w:ind w:right="3319" w:firstLine="437"/>
        <w:spacing w:after="0" w:line="236" w:lineRule="auto"/>
        <w:rPr>
          <w:sz w:val="20"/>
          <w:szCs w:val="20"/>
          <w:color w:val="auto"/>
        </w:rPr>
      </w:pPr>
      <w:r>
        <w:rPr>
          <w:rFonts w:ascii="Courier New" w:cs="Courier New" w:eastAsia="Courier New" w:hAnsi="Courier New"/>
          <w:sz w:val="15"/>
          <w:szCs w:val="15"/>
          <w:color w:val="auto"/>
        </w:rPr>
        <w:t>Any certificate, statement or opinion of an officer of the Issuer or of counsel may be based, insofar as it relates to accounting matters, upon a certificate or opinion of or representations by an accountant or firm of accountants in the employ of the Issuer, unless such officer or counsel, as the case may be, knows that the certificate or opinion or representations with respect to the accounting matters upon which his certificate, statement or opinion may be based as aforesaid are erroneous, or in the exercise of reasonable care should know that the same are erroneous.</w:t>
      </w:r>
    </w:p>
    <w:p>
      <w:pPr>
        <w:spacing w:after="0" w:line="177" w:lineRule="exact"/>
        <w:rPr>
          <w:sz w:val="20"/>
          <w:szCs w:val="20"/>
          <w:color w:val="auto"/>
        </w:rPr>
      </w:pPr>
    </w:p>
    <w:p>
      <w:pPr>
        <w:ind w:right="3319" w:firstLine="437"/>
        <w:spacing w:after="0" w:line="261" w:lineRule="auto"/>
        <w:rPr>
          <w:sz w:val="20"/>
          <w:szCs w:val="20"/>
          <w:color w:val="auto"/>
        </w:rPr>
      </w:pPr>
      <w:r>
        <w:rPr>
          <w:rFonts w:ascii="Courier New" w:cs="Courier New" w:eastAsia="Courier New" w:hAnsi="Courier New"/>
          <w:sz w:val="14"/>
          <w:szCs w:val="14"/>
          <w:color w:val="auto"/>
        </w:rPr>
        <w:t>Any certificate or opinion of any independent firm of public accountants filed with the Trustee shall contain a statement that such firm is independent.</w:t>
      </w:r>
    </w:p>
    <w:p>
      <w:pPr>
        <w:spacing w:after="0" w:line="160"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Section 10.06. Payments Due on Saturdays, Sundays and Holidays. If the date of maturity of interest on or principal of the Securities of any series or the date fixed for redemption or repayment of any such Security shall not be a Business Day, then payment of interest or principal need not be made on such date, but may be made on the next succeeding Business Day with the same force and effect as if made on the date of maturity or the date fixed for redemption, and no interest shall accrue for the period after such date.</w:t>
      </w:r>
    </w:p>
    <w:p>
      <w:pPr>
        <w:spacing w:after="0" w:line="176" w:lineRule="exact"/>
        <w:rPr>
          <w:sz w:val="20"/>
          <w:szCs w:val="20"/>
          <w:color w:val="auto"/>
        </w:rPr>
      </w:pPr>
    </w:p>
    <w:p>
      <w:pPr>
        <w:ind w:right="3319" w:firstLine="437"/>
        <w:spacing w:after="0" w:line="256" w:lineRule="auto"/>
        <w:rPr>
          <w:sz w:val="20"/>
          <w:szCs w:val="20"/>
          <w:color w:val="auto"/>
        </w:rPr>
      </w:pPr>
      <w:r>
        <w:rPr>
          <w:rFonts w:ascii="Courier New" w:cs="Courier New" w:eastAsia="Courier New" w:hAnsi="Courier New"/>
          <w:sz w:val="14"/>
          <w:szCs w:val="14"/>
          <w:color w:val="auto"/>
        </w:rPr>
        <w:t>Section 10.07. Conflict of Any Provision of Indenture with Trust Indenture Act of 1939. If and to the extent that any provision of this Indenture limits, qualifies or conflicts with another provision included in this Indenture by operation of Sections 310 to 317, inclusive, of the Trust Indenture Act of 1939 (an "incorporated provision"), such incorporated provision shall control.</w:t>
      </w:r>
    </w:p>
    <w:p>
      <w:pPr>
        <w:spacing w:after="0" w:line="163"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Section 10.08. New York Law to Govern. This Indenture, including any Cable Guarantee, and each Security shall be deemed to be a contract under the laws of the State of New York, and for all purposes shall be construed in accordance with the laws of such State.</w:t>
      </w:r>
    </w:p>
    <w:p>
      <w:pPr>
        <w:spacing w:after="0" w:line="175"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Section 10.09. Counterparts. This Indenture may be executed in any number of counterparts, each of which shall be an original; but such counterparts shall together constitute but one and the same instrument.</w:t>
      </w:r>
    </w:p>
    <w:p>
      <w:pPr>
        <w:spacing w:after="0" w:line="174"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Section 10.10. Effect of Headings. The Article and Section headings herein and the Table of Contents are for convenience only and shall not affect the construction hereof.</w:t>
      </w:r>
    </w:p>
    <w:p>
      <w:pPr>
        <w:spacing w:after="0" w:line="335"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Article 11</w:t>
      </w:r>
    </w:p>
    <w:p>
      <w:pPr>
        <w:jc w:val="center"/>
        <w:ind w:right="3239"/>
        <w:spacing w:after="0" w:line="237" w:lineRule="auto"/>
        <w:rPr>
          <w:sz w:val="20"/>
          <w:szCs w:val="20"/>
          <w:color w:val="auto"/>
        </w:rPr>
      </w:pPr>
      <w:r>
        <w:rPr>
          <w:rFonts w:ascii="Courier New" w:cs="Courier New" w:eastAsia="Courier New" w:hAnsi="Courier New"/>
          <w:sz w:val="15"/>
          <w:szCs w:val="15"/>
          <w:color w:val="auto"/>
        </w:rPr>
        <w:t>REDEMPTION OF SECURITIES AND SINKING FUNDS</w:t>
      </w:r>
    </w:p>
    <w:p>
      <w:pPr>
        <w:spacing w:after="0" w:line="173"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Section 11.01. Applicability of Article. The provisions of this Article shall be applicable to the Securities of any series which are redeemable before their maturity or to any sinking fund for the retirement of Securities of a series except as otherwise specified as contemplated by Section 2.03 for Securities of such series.</w:t>
      </w:r>
    </w:p>
    <w:p>
      <w:pPr>
        <w:spacing w:after="0" w:line="174"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Section 11.02. Notice of Redemption; Partial Redemptions. Notice of redemption to the Holders of Securities of any series to be redeemed as a whole or in part at the option of the Issuer shall be given by mailing notice of such redemption by first class mail, postage prepaid, at least 30 days and not more than 60 days prior to the date fixed for redemption to such Holders of Securities of such series at their last addresses as they shall appear upon the registry books. Any</w:t>
      </w:r>
    </w:p>
    <w:p>
      <w:pPr>
        <w:spacing w:after="0" w:line="33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48</w:t>
      </w:r>
    </w:p>
    <w:p>
      <w:pPr>
        <w:sectPr>
          <w:pgSz w:w="11900" w:h="16838" w:orient="portrait"/>
          <w:cols w:equalWidth="0" w:num="1">
            <w:col w:w="10239"/>
          </w:cols>
          <w:pgMar w:left="220" w:top="792" w:right="1440" w:bottom="1440" w:gutter="0" w:footer="0" w:header="0"/>
        </w:sectPr>
      </w:pPr>
    </w:p>
    <w:bookmarkStart w:id="127" w:name="page128"/>
    <w:bookmarkEnd w:id="127"/>
    <w:p>
      <w:pPr>
        <w:ind w:right="3239"/>
        <w:spacing w:after="0" w:line="236" w:lineRule="auto"/>
        <w:rPr>
          <w:sz w:val="20"/>
          <w:szCs w:val="20"/>
          <w:color w:val="auto"/>
        </w:rPr>
      </w:pPr>
      <w:r>
        <w:rPr>
          <w:rFonts w:ascii="Courier New" w:cs="Courier New" w:eastAsia="Courier New" w:hAnsi="Courier New"/>
          <w:sz w:val="15"/>
          <w:szCs w:val="15"/>
          <w:color w:val="auto"/>
        </w:rPr>
        <w:t>notice which is mailed in the manner herein provided shall be conclusively presumed to have been duly given, whether or not the Holder receives the notice. Failure to give notice by mail, or any defect in the notice to the Holder of any Security of a series designated for redemption as a whole or in part shall not affect the validity of the proceedings for the redemption of any other Security of such series.</w:t>
      </w:r>
    </w:p>
    <w:p>
      <w:pPr>
        <w:spacing w:after="0" w:line="175"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The notice of redemption to each such Holder shall specify the CUSIP numbers of such Securities to be redeemed, the principal amount of each Security of such series held by such Holder to be redeemed, the date fixed for redemption, the redemption price, the place or places of payment, that payment will be made upon presentation and surrender of such Securities, that such redemption is pursuant to the mandatory or optional sinking fund, or both, if such be the case, that interest accrued to the date fixed for redemption will be paid as specified in such notice and that on and after said date interest thereon or on the portions thereof to be redeemed will cease to accrue. In case any Security of a series is to be redeemed in part only the notice of redemption shall state the portion of the principal amount thereof to be redeemed, the method the Trustee shall use to determine such Securities to be redeemed as specified in the last paragraph of this Section 11.02, if applicable, and shall state that on and after the date fixed for redemption, upon surrender of such Security, a new Security or Securities of such series in principal amount equal to the unredeemed portion thereof will be issued.</w:t>
      </w:r>
    </w:p>
    <w:p>
      <w:pPr>
        <w:spacing w:after="0" w:line="332" w:lineRule="exact"/>
        <w:rPr>
          <w:sz w:val="20"/>
          <w:szCs w:val="20"/>
          <w:color w:val="auto"/>
        </w:rPr>
      </w:pPr>
    </w:p>
    <w:p>
      <w:pPr>
        <w:ind w:right="3319" w:firstLine="437"/>
        <w:spacing w:after="0" w:line="258" w:lineRule="auto"/>
        <w:rPr>
          <w:sz w:val="20"/>
          <w:szCs w:val="20"/>
          <w:color w:val="auto"/>
        </w:rPr>
      </w:pPr>
      <w:r>
        <w:rPr>
          <w:rFonts w:ascii="Courier New" w:cs="Courier New" w:eastAsia="Courier New" w:hAnsi="Courier New"/>
          <w:sz w:val="14"/>
          <w:szCs w:val="14"/>
          <w:color w:val="auto"/>
        </w:rPr>
        <w:t>The notice of redemption of Securities of any series to be redeemed at the option of the Issuer shall be given by the Issuer or, at the Issuer's written request, by the Trustee in the name and at the expense of the Issuer.</w:t>
      </w:r>
    </w:p>
    <w:p>
      <w:pPr>
        <w:spacing w:after="0" w:line="161"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By 10:00 a.m. (New York City time) on the redemption date specified in the notice of redemption given as provided in this Section, the Issuer will deposit with the Trustee or with one or more paying agents (or, if the Issuer is acting as its own paying agent, set aside, segregate and hold in trust as provided in Section 3.03) an amount of money sufficient to redeem on the redemption date all the Securities of such series so called for redemption at the appropriate redemption price, together with accrued interest to the date fixed for redemption. If less than all the outstanding Securities of a series are to be redeemed, the Issuer will deliver to the Trustee at least 70 days (unless a shorter period shall be satisfactory to the Trustee) prior to the date fixed for redemption an Officers' Certificate stating the aggregate principal amount of Securities to be redeemed.</w:t>
      </w:r>
    </w:p>
    <w:p>
      <w:pPr>
        <w:spacing w:after="0" w:line="173" w:lineRule="exact"/>
        <w:rPr>
          <w:sz w:val="20"/>
          <w:szCs w:val="20"/>
          <w:color w:val="auto"/>
        </w:rPr>
      </w:pPr>
    </w:p>
    <w:p>
      <w:pPr>
        <w:ind w:right="3499" w:firstLine="437"/>
        <w:spacing w:after="0" w:line="235" w:lineRule="auto"/>
        <w:rPr>
          <w:sz w:val="20"/>
          <w:szCs w:val="20"/>
          <w:color w:val="auto"/>
        </w:rPr>
      </w:pPr>
      <w:r>
        <w:rPr>
          <w:rFonts w:ascii="Courier New" w:cs="Courier New" w:eastAsia="Courier New" w:hAnsi="Courier New"/>
          <w:sz w:val="15"/>
          <w:szCs w:val="15"/>
          <w:color w:val="auto"/>
        </w:rPr>
        <w:t>In the case of the redemption of all of the Securities of a series outstanding, the Issuer shall notify the Trustee in writing of the redemption date 45 days (unless a shorter period shall be satisfactory to the Trustee) prior to the redemption date.</w:t>
      </w:r>
    </w:p>
    <w:p>
      <w:pPr>
        <w:spacing w:after="0" w:line="175" w:lineRule="exact"/>
        <w:rPr>
          <w:sz w:val="20"/>
          <w:szCs w:val="20"/>
          <w:color w:val="auto"/>
        </w:rPr>
      </w:pPr>
    </w:p>
    <w:p>
      <w:pPr>
        <w:jc w:val="both"/>
        <w:ind w:right="3239" w:firstLine="437"/>
        <w:spacing w:after="0" w:line="254" w:lineRule="auto"/>
        <w:rPr>
          <w:sz w:val="20"/>
          <w:szCs w:val="20"/>
          <w:color w:val="auto"/>
        </w:rPr>
      </w:pPr>
      <w:r>
        <w:rPr>
          <w:rFonts w:ascii="Courier New" w:cs="Courier New" w:eastAsia="Courier New" w:hAnsi="Courier New"/>
          <w:sz w:val="14"/>
          <w:szCs w:val="14"/>
          <w:color w:val="auto"/>
        </w:rPr>
        <w:t>If less than all the Securities of a series are to be redeemed, the Trustee shall select, pro rata or by lot or in such manner as it shall deem appropriate and fair, Securities of such series to be redeemed in whole or in part.</w:t>
      </w:r>
    </w:p>
    <w:p>
      <w:pPr>
        <w:spacing w:after="0" w:line="1"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Securities of a series may be redeemed in part in multiples equal to the minimum authorized denomination for Securities of such series or any multiple thereof. The Trustee shall promptly notify the Issuer in writing of the Securities of such series selected for redemption and, in the case of any Securities of such series selected for partial redemption, the principal amount thereof to be redeemed. For all purposes of this Indenture, unless the context otherwise requires, all provisions relating to the redemption of Securities of</w:t>
      </w:r>
    </w:p>
    <w:p>
      <w:pPr>
        <w:spacing w:after="0" w:line="32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49</w:t>
      </w:r>
    </w:p>
    <w:p>
      <w:pPr>
        <w:sectPr>
          <w:pgSz w:w="11900" w:h="16838" w:orient="portrait"/>
          <w:cols w:equalWidth="0" w:num="1">
            <w:col w:w="10239"/>
          </w:cols>
          <w:pgMar w:left="220" w:top="792" w:right="1440" w:bottom="1440" w:gutter="0" w:footer="0" w:header="0"/>
        </w:sectPr>
      </w:pPr>
    </w:p>
    <w:bookmarkStart w:id="128" w:name="page129"/>
    <w:bookmarkEnd w:id="128"/>
    <w:p>
      <w:pPr>
        <w:jc w:val="both"/>
        <w:ind w:right="3319"/>
        <w:spacing w:after="0" w:line="235" w:lineRule="auto"/>
        <w:rPr>
          <w:sz w:val="20"/>
          <w:szCs w:val="20"/>
          <w:color w:val="auto"/>
        </w:rPr>
      </w:pPr>
      <w:r>
        <w:rPr>
          <w:rFonts w:ascii="Courier New" w:cs="Courier New" w:eastAsia="Courier New" w:hAnsi="Courier New"/>
          <w:sz w:val="15"/>
          <w:szCs w:val="15"/>
          <w:color w:val="auto"/>
        </w:rPr>
        <w:t>any series shall relate, in the case of any Security redeemed or to be redeemed only in part, to the portion of the principal amount of such Security which has been or is to be redeemed.</w:t>
      </w:r>
    </w:p>
    <w:p>
      <w:pPr>
        <w:spacing w:after="0" w:line="174"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Section 11.03. Payment of Securities Called for Redemption. If notice of redemption has been given as above provided, the Securities or portions of Securities specified in such notice shall become due and payable on the date and at the place stated in such notice at the applicable redemption price, together with interest accrued to the date fixed for redemption, and on and after said date (unless the Issuer shall default in the payment of such Securities at the redemption price, together with interest accrued to said date) interest on the Securities or portions of Securities so called for redemption shall cease to accrue and, except as provided in Sections 5.05 and 9.04, such Securities shall cease from and after the date fixed for redemption to be entitled to any benefit or security under this Indenture, and the Holders thereof shall have no right in respect of such Securities except the right to receive the redemption price thereof and unpaid interest to the date fixed for redemption. On presentation and surrender of such Securities at a place of payment specified in said notice, said Securities or the specified portions thereof shall be paid and redeemed by the Issuer at the applicable redemption price, together with interest accrued thereon to the date fixed for redemption; provided that any semiannual payment of interest becoming due on the date fixed for redemption shall be payable to the Holders of such Securities registered as such on the relevant record date subject to the terms and provisions of Section 2.07 hereof.</w:t>
      </w:r>
    </w:p>
    <w:p>
      <w:pPr>
        <w:spacing w:after="0" w:line="175"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If any Security called for redemption shall not be so paid upon surrender thereof for redemption, the principal shall, until paid or duly provided for, bear interest from the date fixed for redemption at the rate of interest or Yield to Maturity (in the case of an Original Issue Discount Security) borne by the Security.</w:t>
      </w:r>
    </w:p>
    <w:p>
      <w:pPr>
        <w:spacing w:after="0" w:line="174"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Upon presentation of any Security redeemed in part only, the Issuer shall execute and the Trustee shall authenticate and deliver to or on the order of the Holder thereof, at the expense of the Issuer, a new Security or Securities of such series, of authorized denominations, in principal amount equal to the unredeemed portion of the Security so presented pursuant to Sections 2.04, 2.05 and 2.06.</w:t>
      </w:r>
    </w:p>
    <w:p>
      <w:pPr>
        <w:spacing w:after="0" w:line="175"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Section 11.04. Exclusion of Certain Securities from Eligibility for Selection for Redemption. Securities shall be excluded from eligibility for selection for redemption if they are identified by registration and certificate number in a written statement signed by an authorized officer of the Issuer and delivered to the Trustee at least 40 days prior to the last date on which notice of redemption may be given as being owned of record and beneficially by, and not pledged or hypothecated by either (a) the Issuer or (b) an entity specifically identified in such written statement directly or indirectly controlling or controlled by or under direct or indirect common control with the Issuer.</w:t>
      </w:r>
    </w:p>
    <w:p>
      <w:pPr>
        <w:spacing w:after="0" w:line="165"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Section 11.05. Mandatory and Optional Sinking Funds. The minimum amount of any sinking fund payment provided for by the terms of Securities of any series is herein referred to as a "mandatory sinking fund payment", and any payment in excess of such minimum amount provided for by the terms of Securities of any series is herein referred to as an "optional sinking fund payment". The date on which a sinking fund payment is to be made is herein referred to as the "sinking fund payment date".</w:t>
      </w:r>
    </w:p>
    <w:p>
      <w:pPr>
        <w:spacing w:after="0" w:line="33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50</w:t>
      </w:r>
    </w:p>
    <w:p>
      <w:pPr>
        <w:sectPr>
          <w:pgSz w:w="11900" w:h="16838" w:orient="portrait"/>
          <w:cols w:equalWidth="0" w:num="1">
            <w:col w:w="10239"/>
          </w:cols>
          <w:pgMar w:left="220" w:top="792" w:right="1440" w:bottom="1440" w:gutter="0" w:footer="0" w:header="0"/>
        </w:sectPr>
      </w:pPr>
    </w:p>
    <w:bookmarkStart w:id="129" w:name="page130"/>
    <w:bookmarkEnd w:id="129"/>
    <w:p>
      <w:pPr>
        <w:ind w:right="3399" w:firstLine="437"/>
        <w:spacing w:after="0" w:line="254" w:lineRule="auto"/>
        <w:rPr>
          <w:sz w:val="20"/>
          <w:szCs w:val="20"/>
          <w:color w:val="auto"/>
        </w:rPr>
      </w:pPr>
      <w:r>
        <w:rPr>
          <w:rFonts w:ascii="Courier New" w:cs="Courier New" w:eastAsia="Courier New" w:hAnsi="Courier New"/>
          <w:sz w:val="14"/>
          <w:szCs w:val="14"/>
          <w:color w:val="auto"/>
        </w:rPr>
        <w:t>In lieu of making all or any part of any mandatory sinking fund payment with respect to any series of Securities in cash, the Issuer may at its option</w:t>
      </w:r>
    </w:p>
    <w:p>
      <w:pPr>
        <w:spacing w:after="0" w:line="1" w:lineRule="exact"/>
        <w:rPr>
          <w:sz w:val="20"/>
          <w:szCs w:val="20"/>
          <w:color w:val="auto"/>
        </w:rPr>
      </w:pPr>
    </w:p>
    <w:p>
      <w:pPr>
        <w:ind w:right="3239" w:firstLine="10"/>
        <w:spacing w:after="0" w:line="255" w:lineRule="auto"/>
        <w:tabs>
          <w:tab w:leader="none" w:pos="350" w:val="left"/>
        </w:tabs>
        <w:numPr>
          <w:ilvl w:val="0"/>
          <w:numId w:val="1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deliver to the Trustee Securities of such series theretofore purchased or otherwise acquired (except upon redemption pursuant to the mandatory sinking fund) by the Issuer or receive credit for Securities of such series (not previously so credited) theretofore purchased or otherwise acquired (except as aforesaid) by the Issuer and delivered to the Trustee for cancellation pursuant to Section 2.10, (b) receive credit for optional sinking fund payments (not previously so credited) made pursuant to this Section, or (c) receive credit for Securities of such series (not previously so credited) redeemed by the Issuer through any optional redemption provision contained in the terms of such series. Securities so delivered or credited shall be received or credited by the Trustee at the sinking fund redemption price specified in such Securities.</w:t>
      </w:r>
    </w:p>
    <w:p>
      <w:pPr>
        <w:spacing w:after="0" w:line="165"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On or before the sixtieth day next preceding each sinking fund payment date for any series, the Issuer will deliver to the Trustee an Officers' Certificate</w:t>
      </w:r>
    </w:p>
    <w:p>
      <w:pPr>
        <w:spacing w:after="0" w:line="1" w:lineRule="exact"/>
        <w:rPr>
          <w:sz w:val="20"/>
          <w:szCs w:val="20"/>
          <w:color w:val="auto"/>
        </w:rPr>
      </w:pPr>
    </w:p>
    <w:p>
      <w:pPr>
        <w:ind w:right="3239" w:firstLine="10"/>
        <w:spacing w:after="0" w:line="254" w:lineRule="auto"/>
        <w:tabs>
          <w:tab w:leader="none" w:pos="350" w:val="left"/>
        </w:tabs>
        <w:numPr>
          <w:ilvl w:val="0"/>
          <w:numId w:val="1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specifying the portion of the mandatory sinking fund payment to be satisfied by payment of cash and the portion to be satisfied by credit of Securities of such series, (b) stating that none of the Securities of such series has theretofore been so credited, (c) stating that no defaults in the payment of interest or Events of Default with respect to such series have occurred (which have not been waived or cured) and are continuing and (d) stating whether or not the Issuer intends to exercise its right to make an optional sinking fund payment with respect to such series and, if so, specifying the amount of such optional sinking fund payment which the Issuer intends to pay on or before the next succeeding sinking fund payment date. Any Securities of such series to be credited and required to be delivered to the Trustee in order for the Issuer to be entitled to credit therefor as aforesaid which have not theretofore been delivered to the Trustee shall be delivered for cancellation pursuant to Section 2.10 to the Trustee with such written statement (or reasonably promptly thereafter if acceptable to the Trustee). Such Officers' Certificate shall be irrevocable and upon its receipt by the Trustee the Issuer shall become unconditionally obligated to make all the cash payments or payments therein referred to, if any, on or before the next succeeding sinking fund payment date. Failure of the Issuer, on or before any such sixtieth day, to deliver such written statement and Securities specified in this paragraph, if any, shall not constitute a default but shall constitute, on and as of such date, the irrevocable election of the Issuer (i) that the mandatory sinking fund payment for such series due on the next succeeding sinking fund payment date shall be paid entirely in cash without the option to deliver or credit Securities of such series in respect thereof and (ii) that the Issuer will make no optional sinking fund payment with respect to such series as provided in this Section.</w:t>
      </w:r>
    </w:p>
    <w:p>
      <w:pPr>
        <w:spacing w:after="0" w:line="345"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If any sinking fund payment or payments (mandatory or optional or both) to be made in cash on the next succeeding sinking fund payment date plus any unused balance of any preceding sinking fund payments made in cash shall exceed $50,000 (or a lesser sum if the Issuer shall so request in writing) with respect to the Securities of any particular series, such cash shall be applied on the next succeeding sinking fund payment date to the redemption of Securities of such series at the sinking fund redemption price together with accrued interest to the date fixed for redemption. If such amount shall be $50,000 or less and the Issuer makes no such request then it shall be carried over until a sum in excess of $50,000 is available together with accrued interest to the date fixed for redemption. The Trustee shall select, in the manner provided in Section 11.02, for redemption on such sinking fund payment date a sufficient principal amount of Securities of such series to absorb said cash, as nearly as may be, and shall (if requested in</w:t>
      </w:r>
    </w:p>
    <w:p>
      <w:pPr>
        <w:spacing w:after="0" w:line="33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51</w:t>
      </w:r>
    </w:p>
    <w:p>
      <w:pPr>
        <w:sectPr>
          <w:pgSz w:w="11900" w:h="16838" w:orient="portrait"/>
          <w:cols w:equalWidth="0" w:num="1">
            <w:col w:w="10239"/>
          </w:cols>
          <w:pgMar w:left="220" w:top="792" w:right="1440" w:bottom="1440" w:gutter="0" w:footer="0" w:header="0"/>
        </w:sectPr>
      </w:pPr>
    </w:p>
    <w:bookmarkStart w:id="130" w:name="page131"/>
    <w:bookmarkEnd w:id="130"/>
    <w:p>
      <w:pPr>
        <w:ind w:right="3239"/>
        <w:spacing w:after="0" w:line="237" w:lineRule="auto"/>
        <w:rPr>
          <w:sz w:val="20"/>
          <w:szCs w:val="20"/>
          <w:color w:val="auto"/>
        </w:rPr>
      </w:pPr>
      <w:r>
        <w:rPr>
          <w:rFonts w:ascii="Courier New" w:cs="Courier New" w:eastAsia="Courier New" w:hAnsi="Courier New"/>
          <w:sz w:val="15"/>
          <w:szCs w:val="15"/>
          <w:color w:val="auto"/>
        </w:rPr>
        <w:t>writing by the Issuer) inform the Issuer of the serial numbers of the Securities of such series (or portions thereof) so selected. Securities of any series which are identified in an Officers' Certificate at least 60 days prior to the sinking fund payment date as being beneficially owned by, and not pledged or hypothecated by, the Issuer or an entity directly or indirectly controlling or controlled by or under direct or indirect common control with the Issuer shall be excluded from Securities of such series eligible for selection for redemption. The Issuer or the Trustee, in the name and at the expense of the Issuer (if the Issuer shall so request the Trustee in writing) shall cause notice of redemption of the Securities of such series to be given in the manner provided in Section 11.02 (and with the effect provided in Section 11.03) for the redemption of Securities of such series in part at the option of the Issuer. The amount of any sinking fund payments not so applied or allocated to the redemption of Securities of such series shall be added to the next cash sinking fund payment for such series and, together with such payment, shall be applied in accordance with the provisions of this Section. Any and all sinking fund moneys held on the stated maturity date of the Securities of any particular series (or earlier, if such maturity is accelerated), which are not held for the payment or redemption of particular Securities of such series shall be applied, together with other moneys, if necessary, sufficient for the purpose, to the payment of the principal of, and interest on, the Securities of such series at maturity.</w:t>
      </w:r>
    </w:p>
    <w:p>
      <w:pPr>
        <w:spacing w:after="0" w:line="177"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At least one Business Day before each sinking fund payment date, the Issuer shall pay to the Trustee in cash or shall otherwise provide for the payment of all interest accrued to the date fixed for redemption on Securities to be redeemed on the next following sinking fund payment date.</w:t>
      </w:r>
    </w:p>
    <w:p>
      <w:pPr>
        <w:spacing w:after="0" w:line="175"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The Trustee shall not redeem or cause to be redeemed any Securities of a series with sinking fund moneys or mail any notice of redemption of Securities for such series by operation of the sinking fund during the continuance of a default in payment of interest on such Securities or of any Event of Default if the Trustee has received written notice thereof at least three Business Days prior to any payment hereunder except that, where the mailing of notice of redemption of any Securities shall theretofore have been made, the Trustee shall redeem or cause to be redeemed such Securities, provided that it shall have received from the Issuer a sum sufficient for such redemption. Except as aforesaid, if the Trustee has received written notice of such default or Event of Default at least three Business Days prior to any payment hereunder, any moneys in the sinking fund for such series at the time when any such default or Event of Default shall occur, and any moneys thereafter paid into the sinking fund, shall, during the continuance of such default or Event of Default, be deemed to have been collected under Article 4 and held for the payment of all such Securities. In case such Event of Default shall have been waived as provided in Section 4.10 or the default cured on or before the sixtieth day preceding the sinking fund payment date in any year, such moneys shall thereafter be applied on the next succeeding sinking fund payment date in accordance with this section to the redemption of such Securities.</w:t>
      </w:r>
    </w:p>
    <w:p>
      <w:pPr>
        <w:spacing w:after="0" w:line="34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Section 11.06. Conversion Arrangement On Call For Redemption. In connection with any redemption of Securities, the Issuer shall deposit the amount due in connection with such redemption as required by Section 11.02 or it may arrange for the purchase and conversion of any Securities called for redemption by an agreement with one or more investment bankers or other purchasers to purchase such Securities and to make the deposit required of it by Section 11.02 on its behalf by paying to the Trustee or the Paying Agent in trust for the Securityholders,</w:t>
      </w:r>
    </w:p>
    <w:p>
      <w:pPr>
        <w:spacing w:after="0" w:line="33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52</w:t>
      </w:r>
    </w:p>
    <w:p>
      <w:pPr>
        <w:sectPr>
          <w:pgSz w:w="11900" w:h="16838" w:orient="portrait"/>
          <w:cols w:equalWidth="0" w:num="1">
            <w:col w:w="10239"/>
          </w:cols>
          <w:pgMar w:left="220" w:top="792" w:right="1440" w:bottom="1440" w:gutter="0" w:footer="0" w:header="0"/>
        </w:sectPr>
      </w:pPr>
    </w:p>
    <w:bookmarkStart w:id="131" w:name="page132"/>
    <w:bookmarkEnd w:id="131"/>
    <w:p>
      <w:pPr>
        <w:ind w:right="3239"/>
        <w:spacing w:after="0" w:line="254" w:lineRule="auto"/>
        <w:rPr>
          <w:sz w:val="20"/>
          <w:szCs w:val="20"/>
          <w:color w:val="auto"/>
        </w:rPr>
      </w:pPr>
      <w:r>
        <w:rPr>
          <w:rFonts w:ascii="Courier New" w:cs="Courier New" w:eastAsia="Courier New" w:hAnsi="Courier New"/>
          <w:sz w:val="14"/>
          <w:szCs w:val="14"/>
          <w:color w:val="auto"/>
        </w:rPr>
        <w:t>on or before 10:00 a.m. New York time on the redemption date, an amount no less than the redemption price, together with interest, if any, accrued to the redemption date of such Securities, in immediately available funds. Notwithstanding anytime to the contrary contained in this Article 11, the obligation of the Issuer to pay the redemption price of such Securities, including all accrued interest, if any, shall be deemed to be satisfied and discharged to the extent such amount is so paid by such purchasers. If such an agreement is entered into, any Securities not duly surrendered for conversion by the holders thereof may, at the option of the Issuer, be deemed, to the fullest extent permitted by law, acquired by such purchasers from such holders and (notwithstanding anything to the contrary contained in Article 12) surrendered by such purchasers for conversion, all as of immediately prior to the close of business on the last day on which Securities of such series called for redemption may be converted in accordance with this Indenture and the terms of such Securities, subject to payment of the above amount aforesaid. The Trustee or the Paying Agent shall hold and pay to the Securityholders whose Securities are selected for redemption any such amount paid to it in the same manner as it would moneys deposited with it by the Issuer for the redemption of Securities. Without the Trustee's and the Paying Agent's prior written consent, no arrangement between the Issuer and such purchasers for the purchase and conversion of any Securities shall increase or otherwise affect any of the powers, duties, responsibilities or obligations of the Trustee as set forth in this Indenture, and the Issuer agrees to indemnify the Trustee from, and hold it harmless against, any loss, liability or expense arising out of or in connection with any such arrangement for the purchase and conversion of any Securities between the Issuer and such purchasers, including the costs and expenses incurred by the Trustee and the Paying Agent in the defense of any claim or liability arising out of or in connection with the exercise or performance of any of its powers, duties, responsibilities or obligations under this Indenture.</w:t>
      </w:r>
    </w:p>
    <w:p>
      <w:pPr>
        <w:spacing w:after="0" w:line="200" w:lineRule="exact"/>
        <w:rPr>
          <w:sz w:val="20"/>
          <w:szCs w:val="20"/>
          <w:color w:val="auto"/>
        </w:rPr>
      </w:pPr>
    </w:p>
    <w:p>
      <w:pPr>
        <w:spacing w:after="0" w:line="308"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Article 12</w:t>
      </w:r>
    </w:p>
    <w:p>
      <w:pPr>
        <w:jc w:val="center"/>
        <w:ind w:right="3239"/>
        <w:spacing w:after="0" w:line="237" w:lineRule="auto"/>
        <w:rPr>
          <w:sz w:val="20"/>
          <w:szCs w:val="20"/>
          <w:color w:val="auto"/>
        </w:rPr>
      </w:pPr>
      <w:r>
        <w:rPr>
          <w:rFonts w:ascii="Courier New" w:cs="Courier New" w:eastAsia="Courier New" w:hAnsi="Courier New"/>
          <w:sz w:val="15"/>
          <w:szCs w:val="15"/>
          <w:color w:val="auto"/>
        </w:rPr>
        <w:t>CONVERSION OF SECURITIES</w:t>
      </w:r>
    </w:p>
    <w:p>
      <w:pPr>
        <w:spacing w:after="0" w:line="173"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Section 12.01. Applicability of Article. Securities of any series which are convertible into Capital Stock at the option of the Securityholder shall be convertible in accordance with their terms and (unless otherwise specified as contemplated by Section 2.03 for Securities of any series) in accordance with this Article. Each reference in this Article 12 to "a Security" or "the Securities" refers to the Securities of the particular series that is convertible into Capital Stock. Each reference in this Article to "Capital Stock" into which Securities of any series are convertible refers to the class of Capital Stock into which the Securities of such series are convertible in accordance with their terms (as specified as contemplated by Section 2.03). If more than one series of Securities with conversion privileges are outstanding at any time, the provisions of this Article 12 shall be applied separately to each such series.</w:t>
      </w:r>
    </w:p>
    <w:p>
      <w:pPr>
        <w:spacing w:after="0" w:line="173" w:lineRule="exact"/>
        <w:rPr>
          <w:sz w:val="20"/>
          <w:szCs w:val="20"/>
          <w:color w:val="auto"/>
        </w:rPr>
      </w:pPr>
    </w:p>
    <w:p>
      <w:pPr>
        <w:ind w:right="3399" w:firstLine="437"/>
        <w:spacing w:after="0" w:line="236" w:lineRule="auto"/>
        <w:rPr>
          <w:sz w:val="20"/>
          <w:szCs w:val="20"/>
          <w:color w:val="auto"/>
        </w:rPr>
      </w:pPr>
      <w:r>
        <w:rPr>
          <w:rFonts w:ascii="Courier New" w:cs="Courier New" w:eastAsia="Courier New" w:hAnsi="Courier New"/>
          <w:sz w:val="15"/>
          <w:szCs w:val="15"/>
          <w:color w:val="auto"/>
        </w:rPr>
        <w:t>Section 12.02. Right of Securityholders to Convert Securities. Subject to and upon compliance with the terms of the Securities and the provisions of Section 11.06 and this Article 12, at the option of the holder thereof, any Security of any series of any authorized denomination, or any portion of the principal amount thereof which is $1,000 or any integral multiple of $1,000, may, at any time during the period specified in the Securities of such series, or in case such Security or portion thereof shall have been called for redemption, then in respect of such Security or portion thereof until and including, but not after (unless the Issuer shall</w:t>
      </w:r>
    </w:p>
    <w:p>
      <w:pPr>
        <w:spacing w:after="0" w:line="34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53</w:t>
      </w:r>
    </w:p>
    <w:p>
      <w:pPr>
        <w:sectPr>
          <w:pgSz w:w="11900" w:h="16838" w:orient="portrait"/>
          <w:cols w:equalWidth="0" w:num="1">
            <w:col w:w="10239"/>
          </w:cols>
          <w:pgMar w:left="220" w:top="792" w:right="1440" w:bottom="1440" w:gutter="0" w:footer="0" w:header="0"/>
        </w:sectPr>
      </w:pPr>
    </w:p>
    <w:bookmarkStart w:id="132" w:name="page133"/>
    <w:bookmarkEnd w:id="132"/>
    <w:p>
      <w:pPr>
        <w:ind w:right="3239"/>
        <w:spacing w:after="0" w:line="254" w:lineRule="auto"/>
        <w:rPr>
          <w:sz w:val="20"/>
          <w:szCs w:val="20"/>
          <w:color w:val="auto"/>
        </w:rPr>
      </w:pPr>
      <w:r>
        <w:rPr>
          <w:rFonts w:ascii="Courier New" w:cs="Courier New" w:eastAsia="Courier New" w:hAnsi="Courier New"/>
          <w:sz w:val="14"/>
          <w:szCs w:val="14"/>
          <w:color w:val="auto"/>
        </w:rPr>
        <w:t>default in payment due upon the redemption thereof) the close of business on the Business Day prior to the date fixed for redemption except that in the case of redemption at the option of the Securityholder, if specified in the terms of such Securities, such right shall terminate upon receipt of written notice of the exercise of such option, be converted into duly authorized, validly issued, fully paid and nonassessable shares of the class of Class A Common Stock and Class A Special Common Stock, or combination thereof, as specified in such Security, at the conversion rate for each $1,000 principal amount of Securities (such initial conversion rate reflecting an initial conversion price specified in such Security) in effect on the conversion date, or, in case an adjustment in the conversion rate has taken place pursuant to the provisions of Section 12.05, then at the applicable conversion rate as so adjusted, upon surrender of the Security or Securities, the principal amount of which is so to be converted, to the Issuer at any time during usual business hours at the office or agency to be maintained by it in accordance with the provisions of Section 3.02, accompanied by a written notice of election to convert as provided in Section 12.03 and, if so required by the Issuer and the Trustee, by a written instrument or instruments of transfer in form satisfactory to the Issuer and the Trustee duly executed by the registered holder or his attorney duly authorized in writing. All Securities surrendered for conversion shall, if surrendered to the Issuer or any conversion agent, be delivered to the Trustee for cancellation and cancelled by it, or shall, if surrendered to the Trustee, be cancelled by it, as provided in Section 2.10.</w:t>
      </w:r>
    </w:p>
    <w:p>
      <w:pPr>
        <w:spacing w:after="0" w:line="344"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initial conversion price or conversion rate in respect of a series of Securities shall be as specified in the Securities of such series. The conversion price or conversion rate will be subject to adjustment on the terms set forth in Section 12.05 or such other or different terms, if any, as may be specified by Section 2.03 for Securities of such series. Provisions of this Indenture that apply to conversion of all of a Security also apply to conversion of a portion of it.</w:t>
      </w:r>
    </w:p>
    <w:p>
      <w:pPr>
        <w:spacing w:after="0" w:line="176"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Section 12.03. Issuance of Shares of Capital Stock on Conversion. As promptly as practicable after the surrender, as herein provided, of any Security or Securities for conversion, the Issuer shall deliver or cause to be delivered at its said office or agency to or upon the written order of the holder of the Security or Securities so surrendered a certificate or certificates representing the number of duly authorized, validly issued, fully paid and nonassessable shares of Capital Stock into which such Security or Securities may be converted in accordance with the terms thereof and the provisions of this Article 12. Prior to delivery of such certificate or certificates, the Issuer shall require a written notice at its said office or agency from the holder of the Security or Securities so surrendered stating that the holder irrevocably elects to convert such Security or Securities, or, if less than the entire principal amount thereof is to be converted, stating the portion thereof to be converted. Such notice shall also state the name or names (with address and social security or other taxpayer identification number) in which said certificate or certificates are to be issued. Such conversion shall be deemed to have been made at the time that such Security or Securities shall have been surrendered for conversion and such notice shall have been received by the Issuer or the Trustee, the rights of the holder of such Security or Securities as a Securityholder shall cease at such time, the person or persons entitled to receive the shares of Capital Stock upon conversion of such Security or Securities shall be treated for all purposes as having become the record holder or holders of such shares of Capital Stock at such time and such conversion shall be at the conversion rate in effect at such time. In the case of any Security of any series which is converted in part only, upon such conversion, the Issuer shall execute and the Trustee shall authenticate and deliver to the holder thereof, as requested by such holder, a</w:t>
      </w:r>
    </w:p>
    <w:p>
      <w:pPr>
        <w:spacing w:after="0" w:line="33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54</w:t>
      </w:r>
    </w:p>
    <w:p>
      <w:pPr>
        <w:sectPr>
          <w:pgSz w:w="11900" w:h="16838" w:orient="portrait"/>
          <w:cols w:equalWidth="0" w:num="1">
            <w:col w:w="10239"/>
          </w:cols>
          <w:pgMar w:left="220" w:top="792" w:right="1440" w:bottom="1440" w:gutter="0" w:footer="0" w:header="0"/>
        </w:sectPr>
      </w:pPr>
    </w:p>
    <w:bookmarkStart w:id="133" w:name="page134"/>
    <w:bookmarkEnd w:id="133"/>
    <w:p>
      <w:pPr>
        <w:ind w:right="3499"/>
        <w:spacing w:after="0" w:line="261" w:lineRule="auto"/>
        <w:rPr>
          <w:sz w:val="20"/>
          <w:szCs w:val="20"/>
          <w:color w:val="auto"/>
        </w:rPr>
      </w:pPr>
      <w:r>
        <w:rPr>
          <w:rFonts w:ascii="Courier New" w:cs="Courier New" w:eastAsia="Courier New" w:hAnsi="Courier New"/>
          <w:sz w:val="14"/>
          <w:szCs w:val="14"/>
          <w:color w:val="auto"/>
        </w:rPr>
        <w:t>new Security or Securities of such series of authorized denominations in aggregate principal amount equal to the unconverted portion of such Security.</w:t>
      </w:r>
    </w:p>
    <w:p>
      <w:pPr>
        <w:spacing w:after="0" w:line="160" w:lineRule="exact"/>
        <w:rPr>
          <w:sz w:val="20"/>
          <w:szCs w:val="20"/>
          <w:color w:val="auto"/>
        </w:rPr>
      </w:pPr>
    </w:p>
    <w:p>
      <w:pPr>
        <w:jc w:val="both"/>
        <w:ind w:right="3319" w:firstLine="437"/>
        <w:spacing w:after="0" w:line="258" w:lineRule="auto"/>
        <w:rPr>
          <w:sz w:val="20"/>
          <w:szCs w:val="20"/>
          <w:color w:val="auto"/>
        </w:rPr>
      </w:pPr>
      <w:r>
        <w:rPr>
          <w:rFonts w:ascii="Courier New" w:cs="Courier New" w:eastAsia="Courier New" w:hAnsi="Courier New"/>
          <w:sz w:val="14"/>
          <w:szCs w:val="14"/>
          <w:color w:val="auto"/>
        </w:rPr>
        <w:t>If the last day on which a Security may be converted is not a Business Day in a place where a conversion agent is located, the Security may be surrendered to that conversion agent on the next succeeding day that is a Business Day.</w:t>
      </w:r>
    </w:p>
    <w:p>
      <w:pPr>
        <w:spacing w:after="0" w:line="161"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Issuer will not be required to deliver certificates for shares of Capital Stock upon conversion while its stock transfer books are closed for a meeting of shareholders or for the payment of dividends or for any other purpose, but certificates for shares of Capital Stock shall be delivered as soon as the stock transfer books shall again be opened.</w:t>
      </w:r>
    </w:p>
    <w:p>
      <w:pPr>
        <w:spacing w:after="0" w:line="174"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Section 12.04. No Payment or Adjustment for Interest or Dividends. Unless otherwise specified as contemplated by Section 2.03 for Securities of such series, Securities surrendered for conversion during the period from the close of business on any regular record date (or special record date for payment of defaulted interest) next preceding any interest payment date to the opening of business on such interest payment date (except Securities called for redemption on a redemption date within such period) when surrendered for conversion must be accompanied by payment of an amount equal to the interest thereon which the registered holder is to receive on such interest payment date. Payment of interest shall be made, as of such interest payment date or such date, as the case may be, to the holder of record of the Securities as of such regular, or special record date, as applicable. Except where Securities surrendered for conversion must be accompanied by payment as described above, no interest on converted Securities will be payable by the Issuer on any interest payment date subsequent to the date of conversion. No other payment or adjustment for interest or dividends is to be made upon conversion. Notwithstanding the foregoing, upon conversion of any Security with original issue discount, the fixed number of shares of Capital Stock into which such Security is convertible delivered by the Issuer to the holder thereof shall be applied, first, to pay the accrued original issue discount attributable to the period from the date of issuance to the date of conversion of such Security, and, second, to pay the balance of the principal amount of such Security.</w:t>
      </w:r>
    </w:p>
    <w:p>
      <w:pPr>
        <w:spacing w:after="0" w:line="344" w:lineRule="exact"/>
        <w:rPr>
          <w:sz w:val="20"/>
          <w:szCs w:val="20"/>
          <w:color w:val="auto"/>
        </w:rPr>
      </w:pPr>
    </w:p>
    <w:p>
      <w:pPr>
        <w:jc w:val="both"/>
        <w:ind w:right="3239" w:firstLine="437"/>
        <w:spacing w:after="0" w:line="258" w:lineRule="auto"/>
        <w:rPr>
          <w:sz w:val="20"/>
          <w:szCs w:val="20"/>
          <w:color w:val="auto"/>
        </w:rPr>
      </w:pPr>
      <w:r>
        <w:rPr>
          <w:rFonts w:ascii="Courier New" w:cs="Courier New" w:eastAsia="Courier New" w:hAnsi="Courier New"/>
          <w:sz w:val="14"/>
          <w:szCs w:val="14"/>
          <w:color w:val="auto"/>
        </w:rPr>
        <w:t>Section 12.05. Adjustment of Conversion Rate. Unless otherwise specified as contemplated by Section 2.03 for Securities of such series, the conversion rate for Securities in effect at any time shall be subject to adjustment as follows:</w:t>
      </w:r>
    </w:p>
    <w:p>
      <w:pPr>
        <w:spacing w:after="0" w:line="161" w:lineRule="exact"/>
        <w:rPr>
          <w:sz w:val="20"/>
          <w:szCs w:val="20"/>
          <w:color w:val="auto"/>
        </w:rPr>
      </w:pPr>
    </w:p>
    <w:p>
      <w:pPr>
        <w:ind w:right="3239" w:firstLine="447"/>
        <w:spacing w:after="0" w:line="255" w:lineRule="auto"/>
        <w:tabs>
          <w:tab w:leader="none" w:pos="787" w:val="left"/>
        </w:tabs>
        <w:numPr>
          <w:ilvl w:val="0"/>
          <w:numId w:val="1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case the Issuer shall Error! Bookmark not defined. declare a dividend or make a distribution on the class of Capital Stock into which Securities of such series are convertible in shares of its Capital Stock, Error! Bookmark not defined. subdivide the outstanding shares of the class of Capital Stock into which Securities of such series are convertible into a greater number of shares, Error! Bookmark not defined. combine the outstanding shares of the class of Capital Stock into which Securities of such series are convertible into a smaller number of shares, or Error! Bookmark not defined. issue by reclassification of the shares, of the class of Capital Stock into which Securities of such series are convertible (including any such reclassification in connection with a consolidation or merger in which the Issuer is the continuing corporation) any shares, the conversion rate for the Securities of such series in effect at the time of the record date for such dividend or distribution, or the effective date of such subdivision, combination or reclassification, shall be proportionately adjusted so that the holder of any Security of such series surrendered for conversion after such time shall be entitled to receive the number and kind of shares which he would have owned or have been entitled to receive had such Security been</w:t>
      </w:r>
    </w:p>
    <w:p>
      <w:pPr>
        <w:spacing w:after="0" w:line="200" w:lineRule="exact"/>
        <w:rPr>
          <w:sz w:val="20"/>
          <w:szCs w:val="20"/>
          <w:color w:val="auto"/>
        </w:rPr>
      </w:pPr>
    </w:p>
    <w:p>
      <w:pPr>
        <w:spacing w:after="0" w:line="29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55</w:t>
      </w:r>
    </w:p>
    <w:p>
      <w:pPr>
        <w:sectPr>
          <w:pgSz w:w="11900" w:h="16838" w:orient="portrait"/>
          <w:cols w:equalWidth="0" w:num="1">
            <w:col w:w="10239"/>
          </w:cols>
          <w:pgMar w:left="220" w:top="792" w:right="1440" w:bottom="1440" w:gutter="0" w:footer="0" w:header="0"/>
        </w:sectPr>
      </w:pPr>
    </w:p>
    <w:bookmarkStart w:id="134" w:name="page135"/>
    <w:bookmarkEnd w:id="134"/>
    <w:p>
      <w:pPr>
        <w:ind w:right="3679"/>
        <w:spacing w:after="0" w:line="234" w:lineRule="auto"/>
        <w:rPr>
          <w:sz w:val="20"/>
          <w:szCs w:val="20"/>
          <w:color w:val="auto"/>
        </w:rPr>
      </w:pPr>
      <w:r>
        <w:rPr>
          <w:rFonts w:ascii="Courier New" w:cs="Courier New" w:eastAsia="Courier New" w:hAnsi="Courier New"/>
          <w:sz w:val="15"/>
          <w:szCs w:val="15"/>
          <w:color w:val="auto"/>
        </w:rPr>
        <w:t>converted immediately prior to such time. Similar adjustments shall be made whenever any event listed above shall occur.</w:t>
      </w:r>
    </w:p>
    <w:p>
      <w:pPr>
        <w:spacing w:after="0" w:line="173" w:lineRule="exact"/>
        <w:rPr>
          <w:sz w:val="20"/>
          <w:szCs w:val="20"/>
          <w:color w:val="auto"/>
        </w:rPr>
      </w:pPr>
    </w:p>
    <w:p>
      <w:pPr>
        <w:ind w:right="3239" w:firstLine="447"/>
        <w:spacing w:after="0" w:line="254" w:lineRule="auto"/>
        <w:tabs>
          <w:tab w:leader="none" w:pos="787" w:val="left"/>
        </w:tabs>
        <w:numPr>
          <w:ilvl w:val="0"/>
          <w:numId w:val="1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case the Issuer shall fix a record date for the issuance of rights or warrants to all holders of the class of Capital Stock into which Securities of such series are convertible entitling them (for a period expiring within 45 days after such record date) to subscribe for or purchase shares of such class of Capital Stock (or securities convertible into shares of such class of Capital Stock) at a price per share (or, in the case of a right or warrant to purchase securities convertible into such class of Capital Stock, having a conversion price per share, after adding thereto the exercise price, computed on the basis of the maximum number of shares of such class of Capital Stock issuable upon conversion of such convertible securities, per share of such class of Capital Stock, so issuable) less than the current market price per share of such class of Capital Stock (as defined in subsection (e) below) on the date on which such issuance was declared or otherwise announced by the Issuer (the "Determination Date"), the number of shares of such class of Capital Stock into which each $1,000 principal amount of Securities shall be convertible after such record date shall be determined by multiplying the number of shares of such class of Capital Stock into which such principal amount of Securities was convertible immediately prior to such record date by a fraction, of which the numerator shall be the number of shares of such class of Capital Stock outstanding on the Determination Date plus the number of additional shares of such class of Capital Stock offered for subscription or purchase (or in the case of a right or warrant to purchase securities convertible into such class of Capital Stock, the aggregate number of additional shares of such class of Capital Stock into which the convertible securities so offered are initially convertible), and of which the denominator shall be the number of shares of such class of Capital Stock outstanding on the Determination Date plus the number of shares of such class of Capital Stock obtained by dividing the aggregate offering price of the total number of shares so offered (or, in the case of a right or warrant to purchase securities convertible into such class of Capital Stock, the aggregate initial conversion price of the convertible securities so offered, after adding thereto the aggregate exercise price of such rights or warrants computed on the basis of the maximum number of shares of such class of Capital Stock issuable upon conversion of such convertible securities) by such current market price. Shares of such class of Capital Stock of the Issuer owned by or held for the account of the Issuer shall not be deemed outstanding for the purpose of any such computation. Such adjustment shall be made successively whenever such a record date is fixed; and to the extent that shares of such class of Capital Stock are not delivered (or securities convertible into shares of such class of Capital Stock are not delivered) after the expiration of such rights or warrants (or, in the case of rights or warrants to purchase securities convertible into such class of Capital Stock once exercised, the expiration of the conversion right of such securities) the conversion rate shall be readjusted to the conversion rate which would then be in effect had the adjustments made upon the issuance of such rights or warrants (or securities convertible into shares) been made upon the basis of delivery of only the number of shares actually delivered. In the event that such rights or warrants are not so issued, the conversion rate shall again be adjusted to be the conversion rate which would then be in effect if such record date had not been fixed.</w:t>
      </w:r>
    </w:p>
    <w:p>
      <w:pPr>
        <w:spacing w:after="0" w:line="200" w:lineRule="exact"/>
        <w:rPr>
          <w:rFonts w:ascii="Courier New" w:cs="Courier New" w:eastAsia="Courier New" w:hAnsi="Courier New"/>
          <w:sz w:val="14"/>
          <w:szCs w:val="14"/>
          <w:color w:val="auto"/>
        </w:rPr>
      </w:pPr>
    </w:p>
    <w:p>
      <w:pPr>
        <w:spacing w:after="0" w:line="320" w:lineRule="exact"/>
        <w:rPr>
          <w:rFonts w:ascii="Courier New" w:cs="Courier New" w:eastAsia="Courier New" w:hAnsi="Courier New"/>
          <w:sz w:val="14"/>
          <w:szCs w:val="14"/>
          <w:color w:val="auto"/>
        </w:rPr>
      </w:pPr>
    </w:p>
    <w:p>
      <w:pPr>
        <w:ind w:right="3319" w:firstLine="447"/>
        <w:spacing w:after="0" w:line="256" w:lineRule="auto"/>
        <w:tabs>
          <w:tab w:leader="none" w:pos="787" w:val="left"/>
        </w:tabs>
        <w:numPr>
          <w:ilvl w:val="0"/>
          <w:numId w:val="1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case the Issuer shall fix a record date for the making of a distribution to all holders of the class of Capital Stock into which Securities of such series are convertible (including any such distribution made in connection with a consolidation or merger in which the Issuer is the continuing corporation) of evidences of its indebtedness or assets (excluding any</w:t>
      </w:r>
    </w:p>
    <w:p>
      <w:pPr>
        <w:spacing w:after="0" w:line="32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56</w:t>
      </w:r>
    </w:p>
    <w:p>
      <w:pPr>
        <w:sectPr>
          <w:pgSz w:w="11900" w:h="16838" w:orient="portrait"/>
          <w:cols w:equalWidth="0" w:num="1">
            <w:col w:w="10239"/>
          </w:cols>
          <w:pgMar w:left="220" w:top="792" w:right="1440" w:bottom="1440" w:gutter="0" w:footer="0" w:header="0"/>
        </w:sectPr>
      </w:pPr>
    </w:p>
    <w:bookmarkStart w:id="135" w:name="page136"/>
    <w:bookmarkEnd w:id="135"/>
    <w:p>
      <w:pPr>
        <w:ind w:right="3239"/>
        <w:spacing w:after="0" w:line="254" w:lineRule="auto"/>
        <w:rPr>
          <w:sz w:val="20"/>
          <w:szCs w:val="20"/>
          <w:color w:val="auto"/>
        </w:rPr>
      </w:pPr>
      <w:r>
        <w:rPr>
          <w:rFonts w:ascii="Courier New" w:cs="Courier New" w:eastAsia="Courier New" w:hAnsi="Courier New"/>
          <w:sz w:val="14"/>
          <w:szCs w:val="14"/>
          <w:color w:val="auto"/>
        </w:rPr>
        <w:t>cash dividends paid from retained earnings and dividends payable in Capital Stock for which adjustment is made pursuant to subsection (a) above or (d) below) or subscription rights or warrants (excluding subscription rights or warrants to purchase the class of Capital Stock into which Securities of such series are convertible), the number of shares of such class of Capital Stock into which each $1,000 principal amount of Securities of such series shall be convertible after such record date shall be determined by multiplying the number of shares of such class of Capital Stock into which such principal amount of Securities was convertible immediately prior to such record date by a fraction, of which the numerator shall be the fair market value of the assets of the Issuer, after deducting therefrom all liabilities of the Issuer and all preferences (including accrued but unpaid dividends) in respect of classes of Capital Stock having a preference with respect to the assets of the Issuer over such class of Capital Stock (all as determined by the Board of Directors, whose determination shall be conclusive, and described in a certificate signed by any vice chairmen of the board, vice president or assistant vice president and treasurer of the Issuer, filed with the Trustee and each conversion agent) on such record date, and of which the denominator shall be such fair market value after deducting therefrom such liabilities and preferences, less the fair market value (as determined by the Board of Directors, whose determination shall be conclusive, and described in a statement filed with the Trustee and each conversion agent) of the assets or evidences of indebtedness, so distributed or of such subscription rights or warrants applicable, so distributed. Such adjustment shall be made successively whenever such a record date is fixed; and in the event that such distribution is not so made, the conversion rate shall again be adjusted to the conversion rate which would then be in effect if such record date had not been fixed.</w:t>
      </w:r>
    </w:p>
    <w:p>
      <w:pPr>
        <w:spacing w:after="0" w:line="345" w:lineRule="exact"/>
        <w:rPr>
          <w:sz w:val="20"/>
          <w:szCs w:val="20"/>
          <w:color w:val="auto"/>
        </w:rPr>
      </w:pPr>
    </w:p>
    <w:p>
      <w:pPr>
        <w:ind w:right="3239" w:firstLine="447"/>
        <w:spacing w:after="0" w:line="254" w:lineRule="auto"/>
        <w:tabs>
          <w:tab w:leader="none" w:pos="787" w:val="left"/>
        </w:tabs>
        <w:numPr>
          <w:ilvl w:val="0"/>
          <w:numId w:val="1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case the Issuer shall, by dividend or otherwise, distribute to all holders of its Capital Stock cash (excluding (x) any quarterly cash dividend on the Capital Stock to the extent the aggregate cash dividend per share of Capital Stock in any fiscal quarter does not exceed the greater of (A) the amount per share of Capital Stock of the next preceding quarterly cash dividend on the Capital Stock to the extent such preceding quarterly dividend did not require any adjustment of the conversion rate pursuant to this Section 12.05(d) (as adjusted to reflect subdivisions or combinations of the Capital Stock), and (B) 3.75% of the current market price of the Capital Stock (determined as provided in Section 12.05(e)) on the date of declaration of such dividend and (y) any dividend or distribution in connection with the liquidation, dissolution or winding up of the Issuer, whether voluntary or involuntary), then, in such case, unless the Issuer elects to reserve such cash for distribution to the holders of the Securities upon the conversion of the Securities so that any such holder converting Securities will receive upon such conversion, in addition to the shares of Capital Stock to which such holder is entitled, the amount of cash which such holder would have received if such holder had, immediately prior to the record date for such distribution of cash, converted its Securities into Capital Stock, the conversion rate shall be adjusted so that the same shall equal the rate determined by multiplying the conversion rate in effect immediately prior to the record date by a fraction of which the denominator shall be the current market price of the Capital Stock (determined as provided in Section 12.05(e)) on the record date less the amount of cash so distributed (and not excluded as provided above) applicable to one share of Capital Stock and the numerator shall be such current market price of the Capital Stock (determined as provided in Section 12.05(e)), such adjusted to be effective immediately prior to the opening of business on the day following the record date; provided, however, that in the event the portion of the cash so distributed applicable to one share of Capital Stock is equal to or greater than the current market price of the Capital Stock (determined as</w:t>
      </w:r>
    </w:p>
    <w:p>
      <w:pPr>
        <w:spacing w:after="0" w:line="200" w:lineRule="exact"/>
        <w:rPr>
          <w:sz w:val="20"/>
          <w:szCs w:val="20"/>
          <w:color w:val="auto"/>
        </w:rPr>
      </w:pPr>
    </w:p>
    <w:p>
      <w:pPr>
        <w:spacing w:after="0" w:line="30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57</w:t>
      </w:r>
    </w:p>
    <w:p>
      <w:pPr>
        <w:sectPr>
          <w:pgSz w:w="11900" w:h="16838" w:orient="portrait"/>
          <w:cols w:equalWidth="0" w:num="1">
            <w:col w:w="10239"/>
          </w:cols>
          <w:pgMar w:left="220" w:top="792" w:right="1440" w:bottom="1440" w:gutter="0" w:footer="0" w:header="0"/>
        </w:sectPr>
      </w:pPr>
    </w:p>
    <w:bookmarkStart w:id="136" w:name="page137"/>
    <w:bookmarkEnd w:id="136"/>
    <w:p>
      <w:pPr>
        <w:ind w:right="3319"/>
        <w:spacing w:after="0" w:line="255" w:lineRule="auto"/>
        <w:rPr>
          <w:sz w:val="20"/>
          <w:szCs w:val="20"/>
          <w:color w:val="auto"/>
        </w:rPr>
      </w:pPr>
      <w:r>
        <w:rPr>
          <w:rFonts w:ascii="Courier New" w:cs="Courier New" w:eastAsia="Courier New" w:hAnsi="Courier New"/>
          <w:sz w:val="14"/>
          <w:szCs w:val="14"/>
          <w:color w:val="auto"/>
        </w:rPr>
        <w:t>provided in Section 12.05(e)) on the record date, in lieu of the foregoing adjustment, adequate provision shall be made so that each Securityholder shall have the right to receive upon conversion the amount of cash such holder would have received had such holder converted each Security on the record date. If such dividend or distribution is not so paid or made, the conversion rate shall again be adjusted to be the conversion rate which would then be in effect if such dividend or distribution had not been declared.</w:t>
      </w:r>
    </w:p>
    <w:p>
      <w:pPr>
        <w:spacing w:after="0" w:line="166" w:lineRule="exact"/>
        <w:rPr>
          <w:sz w:val="20"/>
          <w:szCs w:val="20"/>
          <w:color w:val="auto"/>
        </w:rPr>
      </w:pPr>
    </w:p>
    <w:p>
      <w:pPr>
        <w:ind w:right="3319" w:firstLine="447"/>
        <w:spacing w:after="0" w:line="236" w:lineRule="auto"/>
        <w:tabs>
          <w:tab w:leader="none" w:pos="787" w:val="left"/>
        </w:tabs>
        <w:numPr>
          <w:ilvl w:val="0"/>
          <w:numId w:val="1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the purpose of any computation under subsections (b) and (d) above and Section 12.06, the current market price per share of the Capital Stock on any date as of which such price is to be computed shall mean the average of the Closing Prices for the 30 consecutive Business Days commencing 45 Business Days before such date.</w:t>
      </w:r>
    </w:p>
    <w:p>
      <w:pPr>
        <w:spacing w:after="0" w:line="173" w:lineRule="exact"/>
        <w:rPr>
          <w:rFonts w:ascii="Courier New" w:cs="Courier New" w:eastAsia="Courier New" w:hAnsi="Courier New"/>
          <w:sz w:val="15"/>
          <w:szCs w:val="15"/>
          <w:color w:val="auto"/>
        </w:rPr>
      </w:pPr>
    </w:p>
    <w:p>
      <w:pPr>
        <w:ind w:right="3239" w:firstLine="447"/>
        <w:spacing w:after="0" w:line="254" w:lineRule="auto"/>
        <w:tabs>
          <w:tab w:leader="none" w:pos="787" w:val="left"/>
        </w:tabs>
        <w:numPr>
          <w:ilvl w:val="0"/>
          <w:numId w:val="1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adjustment in the conversion rate shall be required unless such adjustment would require a cumulative increase or decrease of at least 1% in such rate; provided, however, that any adjustments which by reason of this subsection (e) are not required to be made shall be carried forward and taken into account in any subsequent adjustment, and provided, further, that adjustments shall be required and made in accordance with the provisions of this Article 12 (other than this subsection (e)) not later than such time as may be required in order to preserve the tax-free nature of a distribution for United States income tax purposes to the holders of Securities or the class of Capital Stock into which such Securities are convertible. All calculations under this Article 12 shall be made to the nearest cent or to the nearest one-thousandth of a share, as the case may be. Anything in this Section 12.05 to the contrary notwithstanding, the Issuer shall be entitled to make such adjustments in the conversion rate, in addition to those required by this Section 12.05, as it in its discretion shall determine to be advisable in order that any stock dividend, subdivision of shares, distribution of rights to purchase stock or securities, or distribution of securities convertible into or exchangeable for stock hereafter made by the Issuer to its shareholders shall not be taxable for United States income tax purposes.</w:t>
      </w:r>
    </w:p>
    <w:p>
      <w:pPr>
        <w:spacing w:after="0" w:line="342" w:lineRule="exact"/>
        <w:rPr>
          <w:rFonts w:ascii="Courier New" w:cs="Courier New" w:eastAsia="Courier New" w:hAnsi="Courier New"/>
          <w:sz w:val="14"/>
          <w:szCs w:val="14"/>
          <w:color w:val="auto"/>
        </w:rPr>
      </w:pPr>
    </w:p>
    <w:p>
      <w:pPr>
        <w:ind w:right="3239" w:firstLine="447"/>
        <w:spacing w:after="0" w:line="237" w:lineRule="auto"/>
        <w:tabs>
          <w:tab w:leader="none" w:pos="787" w:val="left"/>
        </w:tabs>
        <w:numPr>
          <w:ilvl w:val="0"/>
          <w:numId w:val="1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Whenever the conversion rate is adjusted, as herein provided, the Issuer shall promptly file with the Trustee and with the office or agency maintained by the Issuer for the conversion of Securities of such series pursuant to Section 3.02, a certificate of a firm of independent public accountants of recognized national standing selected by the Board of Directors (who may be the regular accountants employed by the Issuer) setting forth the conversion rate after such adjustment and setting forth a brief statement of the facts requiring such adjustment and a computation thereof. Such certificate shall be conclusive evidence of the correctness of such adjustment. Neither the Trustee nor any conversion agent shall be under any duty or responsibility with respect to any such certificate or any facts or computations set forth therein, except to exhibit said certificate from time to time to any Securityholder of such series desiring to inspect the same. The Issuer shall promptly cause a notice setting forth the adjusted conversion rate to be mailed to the holders of Securities of such series, as their names and addresses appear upon the register of the Issuer.</w:t>
      </w:r>
    </w:p>
    <w:p>
      <w:pPr>
        <w:spacing w:after="0" w:line="174" w:lineRule="exact"/>
        <w:rPr>
          <w:rFonts w:ascii="Courier New" w:cs="Courier New" w:eastAsia="Courier New" w:hAnsi="Courier New"/>
          <w:sz w:val="15"/>
          <w:szCs w:val="15"/>
          <w:color w:val="auto"/>
        </w:rPr>
      </w:pPr>
    </w:p>
    <w:p>
      <w:pPr>
        <w:ind w:right="3239" w:firstLine="447"/>
        <w:spacing w:after="0" w:line="236" w:lineRule="auto"/>
        <w:tabs>
          <w:tab w:leader="none" w:pos="787" w:val="left"/>
        </w:tabs>
        <w:numPr>
          <w:ilvl w:val="0"/>
          <w:numId w:val="1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that at any time, as a result of shares of any other class of Capital Stock becoming issuable in exchange or substitution for or in lieu of shares of the class of Capital Stock into which such Securities are convertible or as a result of an adjustment made pursuant to subsection (a) above, the holder of any Security of such series thereafter surrendered for conversion shall become entitled to receive any shares of the Issuer other than shares of the class</w:t>
      </w:r>
    </w:p>
    <w:p>
      <w:pPr>
        <w:spacing w:after="0" w:line="33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58</w:t>
      </w:r>
    </w:p>
    <w:p>
      <w:pPr>
        <w:sectPr>
          <w:pgSz w:w="11900" w:h="16838" w:orient="portrait"/>
          <w:cols w:equalWidth="0" w:num="1">
            <w:col w:w="10239"/>
          </w:cols>
          <w:pgMar w:left="220" w:top="792" w:right="1440" w:bottom="1440" w:gutter="0" w:footer="0" w:header="0"/>
        </w:sectPr>
      </w:pPr>
    </w:p>
    <w:bookmarkStart w:id="137" w:name="page138"/>
    <w:bookmarkEnd w:id="137"/>
    <w:p>
      <w:pPr>
        <w:ind w:right="3319"/>
        <w:spacing w:after="0" w:line="236" w:lineRule="auto"/>
        <w:rPr>
          <w:sz w:val="20"/>
          <w:szCs w:val="20"/>
          <w:color w:val="auto"/>
        </w:rPr>
      </w:pPr>
      <w:r>
        <w:rPr>
          <w:rFonts w:ascii="Courier New" w:cs="Courier New" w:eastAsia="Courier New" w:hAnsi="Courier New"/>
          <w:sz w:val="15"/>
          <w:szCs w:val="15"/>
          <w:color w:val="auto"/>
        </w:rPr>
        <w:t>of Capital Stock into which the Issuer of such series are convertible, thereafter the number of such other shares so receivable upon conversion of any Security shall be subject to adjustment from time to time in a manner and on terms as nearly equivalent as practicable to the provisions with respect to the class of Capital Stock into which the Securities of such series are convertible contained in subsections (a) to (f), inclusive, above, and the provisions of this Article 12 with respect to the class of Capital Stock into which the Securities of such series are convertible shall apply on like terms to any such other shares.</w:t>
      </w:r>
    </w:p>
    <w:p>
      <w:pPr>
        <w:spacing w:after="0" w:line="178" w:lineRule="exact"/>
        <w:rPr>
          <w:sz w:val="20"/>
          <w:szCs w:val="20"/>
          <w:color w:val="auto"/>
        </w:rPr>
      </w:pPr>
    </w:p>
    <w:p>
      <w:pPr>
        <w:ind w:right="3319" w:firstLine="447"/>
        <w:spacing w:after="0" w:line="235" w:lineRule="auto"/>
        <w:tabs>
          <w:tab w:leader="none" w:pos="787" w:val="left"/>
        </w:tabs>
        <w:numPr>
          <w:ilvl w:val="0"/>
          <w:numId w:val="1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conversion rate with respect to any Securities with original issue discount, the terms of which provide for convertibility, shall not be adjusted during the term of such Original Issue Discount Security for accrued original issue discount.</w:t>
      </w:r>
    </w:p>
    <w:p>
      <w:pPr>
        <w:spacing w:after="0" w:line="175" w:lineRule="exact"/>
        <w:rPr>
          <w:rFonts w:ascii="Courier New" w:cs="Courier New" w:eastAsia="Courier New" w:hAnsi="Courier New"/>
          <w:sz w:val="15"/>
          <w:szCs w:val="15"/>
          <w:color w:val="auto"/>
        </w:rPr>
      </w:pPr>
    </w:p>
    <w:p>
      <w:pPr>
        <w:ind w:right="3239" w:firstLine="447"/>
        <w:spacing w:after="0" w:line="235" w:lineRule="auto"/>
        <w:tabs>
          <w:tab w:leader="none" w:pos="787" w:val="left"/>
        </w:tabs>
        <w:numPr>
          <w:ilvl w:val="0"/>
          <w:numId w:val="1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that the Securities of any series are convertible into more than one class of Capital Stock, the provisions of this Section 12.05 shall apply separately to events affecting each such class.</w:t>
      </w:r>
    </w:p>
    <w:p>
      <w:pPr>
        <w:spacing w:after="0" w:line="174"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Section 12.06. No Fractional Shares to Be Issued. No fractional shares of Capital Stock shall be issued upon conversions of Securities. If more than one Security of any series shall be surrendered for conversion at one time by the same holder, the number of full shares which shall be issuable upon conversion thereof shall be computed on the basis of the aggregate principal amount of the Securities of such series (or specified portions thereof to the extent permitted hereby) so surrendered. Instead of a fraction of a share of Capital Stock which would otherwise be issuable upon conversion of any Security or Securities (or specified portions thereof), the Issuer shall pay a cash adjustment in respect of such fraction of a share in an amount equal to the same fractional interest of the current market price (as defined in Section 12.05) per share of Capital Stock on the Business Day next preceding the day of conversion.</w:t>
      </w:r>
    </w:p>
    <w:p>
      <w:pPr>
        <w:spacing w:after="0" w:line="164"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Section 12.07. Preservation of Conversion Rights Upon Consolidation, Merger, Sale or Conveyance. In case of any consolidation of the Issuer with, or merger of the Issuer into, any other corporation (other than a consolidation or merger in which the Issuer is the continuing corporation), or in the case of any sale or transfer of all or substantially all of the assets of the Issuer, the corporation formed by such consolidation or the corporation into which the Issuer shall have been merged or the corporation which shall have acquired such assets, as the case may be, shall execute and deliver to the Trustee, a supplemental indenture, subject to the provisions of Articles 7 and 8 as they relate to supplemental indentures, providing that the holder of each Security then Outstanding of a series which was convertible into Capital Stock shall have the right thereafter to convert such Security into the kind and amount of shares of stock and other securities and property, including cash, receivable upon such consolidation, merger, sale or transfer by a holder of the number of shares of Capital Stock of the Issuer into which such Securities might have been converted immediately prior to such consolidation, merger, sale or transfer. Such supplemental indenture shall conform to the provisions of the Trust Indenture Act of 1939 as then in effect and shall provide for adjustments which shall be as nearly equivalent as may be practicable to the adjustments provided for in this Article 12. Neither the Trustee nor any conversion agent shall be under any responsibility to determine the correctness of any provision contained in any such supplemental indenture relating either to the kind or amount of shares of stock or other securities or property receivable by Securityholders upon the conversion of their Securities after any such consolidation, merger, sale or transfer, or to any adjustment to be made with respect there to and, subject to the provisions of Article 5, may accept as conclusive</w:t>
      </w:r>
    </w:p>
    <w:p>
      <w:pPr>
        <w:spacing w:after="0" w:line="33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59</w:t>
      </w:r>
    </w:p>
    <w:p>
      <w:pPr>
        <w:sectPr>
          <w:pgSz w:w="11900" w:h="16838" w:orient="portrait"/>
          <w:cols w:equalWidth="0" w:num="1">
            <w:col w:w="10239"/>
          </w:cols>
          <w:pgMar w:left="220" w:top="792" w:right="1440" w:bottom="1440" w:gutter="0" w:footer="0" w:header="0"/>
        </w:sectPr>
      </w:pPr>
    </w:p>
    <w:bookmarkStart w:id="138" w:name="page139"/>
    <w:bookmarkEnd w:id="138"/>
    <w:p>
      <w:pPr>
        <w:ind w:right="3319"/>
        <w:spacing w:after="0" w:line="255" w:lineRule="auto"/>
        <w:rPr>
          <w:sz w:val="20"/>
          <w:szCs w:val="20"/>
          <w:color w:val="auto"/>
        </w:rPr>
      </w:pPr>
      <w:r>
        <w:rPr>
          <w:rFonts w:ascii="Courier New" w:cs="Courier New" w:eastAsia="Courier New" w:hAnsi="Courier New"/>
          <w:sz w:val="14"/>
          <w:szCs w:val="14"/>
          <w:color w:val="auto"/>
        </w:rPr>
        <w:t>evidence of the correctness of any such provisions, and shall be protected in relying upon, an Opinion of Counsel with respect thereto. If in the case of any such consolidation, merger, sale or transfer, the stock or other securities and property receivable by a holder of the Securities includes stock or other securities and property of a corporation other than the successor or purchasing corporation, then such supplemental indenture shall also be executed by such other corporation and shall contain such additional provisions to protect the interests of the holders of the Securities as the Board of Directors shall reasonably consider necessary. The above provisions of this Section 12.07 shall similarly apply to successive consolidations, mergers, sales or transfers.</w:t>
      </w:r>
    </w:p>
    <w:p>
      <w:pPr>
        <w:spacing w:after="0" w:line="159"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Section 12.08. Notice to Security Holders of a Series Prior to Taking</w:t>
      </w:r>
    </w:p>
    <w:p>
      <w:pPr>
        <w:spacing w:after="0" w:line="5"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4"/>
          <w:szCs w:val="14"/>
          <w:color w:val="auto"/>
        </w:rPr>
        <w:t>Certain Types of Action. With respect to the Securities of any series, in case:</w:t>
      </w:r>
    </w:p>
    <w:p>
      <w:pPr>
        <w:spacing w:after="0" w:line="178" w:lineRule="exact"/>
        <w:rPr>
          <w:sz w:val="20"/>
          <w:szCs w:val="20"/>
          <w:color w:val="auto"/>
        </w:rPr>
      </w:pPr>
    </w:p>
    <w:p>
      <w:pPr>
        <w:jc w:val="both"/>
        <w:ind w:right="3319" w:firstLine="447"/>
        <w:spacing w:after="0" w:line="235" w:lineRule="auto"/>
        <w:tabs>
          <w:tab w:leader="none" w:pos="787" w:val="left"/>
        </w:tabs>
        <w:numPr>
          <w:ilvl w:val="0"/>
          <w:numId w:val="1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Issuer shall authorize the issuance to all holders of the class of Capital Stock into which Securities of such series are convertible of rights or warrants to subscribe for or purchase shares of its Capital Stock or of any other right;</w:t>
      </w:r>
    </w:p>
    <w:p>
      <w:pPr>
        <w:spacing w:after="0" w:line="175" w:lineRule="exact"/>
        <w:rPr>
          <w:rFonts w:ascii="Courier New" w:cs="Courier New" w:eastAsia="Courier New" w:hAnsi="Courier New"/>
          <w:sz w:val="15"/>
          <w:szCs w:val="15"/>
          <w:color w:val="auto"/>
        </w:rPr>
      </w:pPr>
    </w:p>
    <w:p>
      <w:pPr>
        <w:ind w:right="3239" w:firstLine="447"/>
        <w:spacing w:after="0" w:line="235" w:lineRule="auto"/>
        <w:tabs>
          <w:tab w:leader="none" w:pos="787" w:val="left"/>
        </w:tabs>
        <w:numPr>
          <w:ilvl w:val="0"/>
          <w:numId w:val="1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Issuer shall authorize the distribution to all holders of the class of Capital Stock into which Securities of such series are convertible of evidences of its indebtedness or assets (except for the exclusions with respect to certain dividends set forth in Section 12.05(c));</w:t>
      </w:r>
    </w:p>
    <w:p>
      <w:pPr>
        <w:spacing w:after="0" w:line="175" w:lineRule="exact"/>
        <w:rPr>
          <w:rFonts w:ascii="Courier New" w:cs="Courier New" w:eastAsia="Courier New" w:hAnsi="Courier New"/>
          <w:sz w:val="15"/>
          <w:szCs w:val="15"/>
          <w:color w:val="auto"/>
        </w:rPr>
      </w:pPr>
    </w:p>
    <w:p>
      <w:pPr>
        <w:jc w:val="both"/>
        <w:ind w:right="3239" w:firstLine="447"/>
        <w:spacing w:after="0" w:line="236" w:lineRule="auto"/>
        <w:tabs>
          <w:tab w:leader="none" w:pos="787" w:val="left"/>
        </w:tabs>
        <w:numPr>
          <w:ilvl w:val="0"/>
          <w:numId w:val="1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of any subdivision, combination or reclassification of the class of Capital Stock into which Securities of such series are convertible or of any consolidation or merger to which the Issuer is a party and for which approval by the shareholders of the Issuer is required, or of the sale or transfer of all or substantially all of the assets of the Issuer; or</w:t>
      </w:r>
    </w:p>
    <w:p>
      <w:pPr>
        <w:spacing w:after="0" w:line="173" w:lineRule="exact"/>
        <w:rPr>
          <w:rFonts w:ascii="Courier New" w:cs="Courier New" w:eastAsia="Courier New" w:hAnsi="Courier New"/>
          <w:sz w:val="15"/>
          <w:szCs w:val="15"/>
          <w:color w:val="auto"/>
        </w:rPr>
      </w:pPr>
    </w:p>
    <w:p>
      <w:pPr>
        <w:ind w:right="3319" w:firstLine="447"/>
        <w:spacing w:after="0" w:line="234" w:lineRule="auto"/>
        <w:tabs>
          <w:tab w:leader="none" w:pos="787" w:val="left"/>
        </w:tabs>
        <w:numPr>
          <w:ilvl w:val="0"/>
          <w:numId w:val="1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of the voluntary or involuntary dissolution, liquidation or winding up of the Issuer;</w:t>
      </w:r>
    </w:p>
    <w:p>
      <w:pPr>
        <w:spacing w:after="0" w:line="173" w:lineRule="exact"/>
        <w:rPr>
          <w:sz w:val="20"/>
          <w:szCs w:val="20"/>
          <w:color w:val="auto"/>
        </w:rPr>
      </w:pPr>
    </w:p>
    <w:p>
      <w:pPr>
        <w:ind w:right="3239"/>
        <w:spacing w:after="0" w:line="237" w:lineRule="auto"/>
        <w:rPr>
          <w:sz w:val="20"/>
          <w:szCs w:val="20"/>
          <w:color w:val="auto"/>
        </w:rPr>
      </w:pPr>
      <w:r>
        <w:rPr>
          <w:rFonts w:ascii="Courier New" w:cs="Courier New" w:eastAsia="Courier New" w:hAnsi="Courier New"/>
          <w:sz w:val="15"/>
          <w:szCs w:val="15"/>
          <w:color w:val="auto"/>
        </w:rPr>
        <w:t>then the Issuer shall cause to be filed with the Trustee and at the office or agency maintained for the purpose of conversion of Securities of such series pursuant to Section 3.02, and shall cause to be mailed to the holders of Securities of such series, at their last addresses as they shall appear upon the register of the Issuer, at least ten days prior to the applicable record date hereinafter specified, a notice stating Error! Bookmark not defined. the date as of which the holders of such class of Capital Stock to be entitled to receive any such rights, warrants or distribution are to be determined, or Error! Bookmark not defined. the date on which any such subdivision, combination, reclassification, consolidation, merger, sale, transfer, dissolution, liquidation, winding up or other action is expected to become effective, and the date as of which it is expected that holders of record of such class of Capital Stock shall be entitled to exchange their Capital Stock of such class for securities or other property, if any, deliverable upon such subdivision, combination, reclassification, consolidation, merger, sale, transfer, dissolution, liquidation, winding up or other action. The failure to give the notice required by this Section 12.08 or any defect therein shall not affect the legality or validity of any distribution, right, warrant, subdivision, combination, reclassification, consolidation, merger, sale, transfer, dissolution, liquidation, winding up or other action, or the vote upon any of the foregoing. Such notice shall also be published by and at the expense of the Issuer not later than the aforesaid filing date at least once in an Authorized Newspaper.</w:t>
      </w:r>
    </w:p>
    <w:p>
      <w:pPr>
        <w:spacing w:after="0" w:line="177" w:lineRule="exact"/>
        <w:rPr>
          <w:sz w:val="20"/>
          <w:szCs w:val="20"/>
          <w:color w:val="auto"/>
        </w:rPr>
      </w:pPr>
    </w:p>
    <w:p>
      <w:pPr>
        <w:jc w:val="both"/>
        <w:ind w:right="3579" w:firstLine="437"/>
        <w:spacing w:after="0" w:line="235" w:lineRule="auto"/>
        <w:rPr>
          <w:sz w:val="20"/>
          <w:szCs w:val="20"/>
          <w:color w:val="auto"/>
        </w:rPr>
      </w:pPr>
      <w:r>
        <w:rPr>
          <w:rFonts w:ascii="Courier New" w:cs="Courier New" w:eastAsia="Courier New" w:hAnsi="Courier New"/>
          <w:sz w:val="15"/>
          <w:szCs w:val="15"/>
          <w:color w:val="auto"/>
        </w:rPr>
        <w:t>Section 12.09. Covenant to Reserve Shares for Issuance on Conversion of Securities. The Issuer covenants that at all times it will reserve and keep available out of each class of its</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60</w:t>
      </w:r>
    </w:p>
    <w:p>
      <w:pPr>
        <w:sectPr>
          <w:pgSz w:w="11900" w:h="16838" w:orient="portrait"/>
          <w:cols w:equalWidth="0" w:num="1">
            <w:col w:w="10239"/>
          </w:cols>
          <w:pgMar w:left="220" w:top="792" w:right="1440" w:bottom="1440" w:gutter="0" w:footer="0" w:header="0"/>
        </w:sectPr>
      </w:pPr>
    </w:p>
    <w:bookmarkStart w:id="139" w:name="page140"/>
    <w:bookmarkEnd w:id="139"/>
    <w:p>
      <w:pPr>
        <w:ind w:right="3239"/>
        <w:spacing w:after="0" w:line="236" w:lineRule="auto"/>
        <w:rPr>
          <w:sz w:val="20"/>
          <w:szCs w:val="20"/>
          <w:color w:val="auto"/>
        </w:rPr>
      </w:pPr>
      <w:r>
        <w:rPr>
          <w:rFonts w:ascii="Courier New" w:cs="Courier New" w:eastAsia="Courier New" w:hAnsi="Courier New"/>
          <w:sz w:val="15"/>
          <w:szCs w:val="15"/>
          <w:color w:val="auto"/>
        </w:rPr>
        <w:t>authorized Capital Stock, free from preemptive rights, solely for the purpose of issue upon conversion of Securities of any series as herein provided, such number of shares of Capital Stock of such class as shall then be issuable upon the conversion of all Outstanding Securities of such series. The Issuer covenants that an shares of Capital Stock which shall be so issuable shall, when issued or delivered, be duly and validly issued shares of the class of authorized Capital Stock into which Securities of such series are convertible, and shall be fully paid and nonassessable, free of all liens and charges and not subject to preemptive rights and that, upon conversion, the appropriate capital stock accounts of the Issuer will be duly credited.</w:t>
      </w:r>
    </w:p>
    <w:p>
      <w:pPr>
        <w:spacing w:after="0" w:line="179"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Section 12.10. Compliance with Governmental Requirements. The Issuer covenants that if any shares of Capital Stock required to be reserved for purposes of conversion of Securities hereunder require registration or listing with or approval of any governmental authority under any Federal or State law, pursuant to the Securities Act of 1933, as amended, or the Securities Exchange Act of 1934, as amended, or any national or regional securities exchange on which such Capital Stock is listed at the time of delivery of any shares of such Capital Stock, before such shares may be issued upon conversion, the Issuer will use its best efforts to cause such shares to be duly registered, listed or approved, as the case may be.</w:t>
      </w:r>
    </w:p>
    <w:p>
      <w:pPr>
        <w:spacing w:after="0" w:line="179"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Section 12.11. Payment of Taxes Upon Certificates for Shares Issued Upon Conversion. The issuance of certificates for shares of Capital Stock upon the conversion of Securities shall be made without charge to the converting Securityholders for any tax (including, without limitation, all documentary and stamp taxes) in respect of the issuance and delivery of such certificates, and such certificates shall be issued in the respective names of, or in such names as may be directed by, the holders of the Securities converted; provided, however, that the Issuer shall not be required to pay any tax which may be payable in respect of any transfer involved in the issuance and delivery of any such certificate in a name other than that of the holder of the Security converted, and the Issuer shall not be required to issue or deliver such certificates unless or until the person or persons requesting the issuance thereof shall have paid to the Issuer the amount of such tax or shall have established to the satisfaction of the Issuer that such tax has been paid.</w:t>
      </w:r>
    </w:p>
    <w:p>
      <w:pPr>
        <w:spacing w:after="0" w:line="164"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Section 12.12. Trustee's Duties with Respect to Conversion Provisions. The Trustee and any conversion agent shall not at any time be under any duty or responsibility to any Securityholder to determine whether any facts exist which may require any adjustment of the conversion rate or conversion price, or with respect to the nature or extent of any such adjustment when made, or with respect to the method employed, or herein or in any supplemental indenture provided to be employed, in making the same. Neither the Trustee nor any conversion agent shall be accountable with respect to the registration under securities laws, listing, validity or value (or the kind or amount) of any shares of Capital Stock, or of any other securities or property, which may at any time be issued or delivered upon the conversion of any Security; and neither the Trustee nor any conversion agent makes any representation with respect thereto. Neither the Trustee nor any conversion agent shall be responsible for any failure of the Issuer to make any cash payment or to issue, transfer or deliver any shares of stock or stock certificates or other securities or property upon the surrender of any Security for the purpose of conversion; and the Trustee, subject to the provisions of Article 5, and any conversion agent shall not be responsible for any failure of the Issuer to comply with any of the covenants of the Issuer contained in this Article 12.</w:t>
      </w:r>
    </w:p>
    <w:p>
      <w:pPr>
        <w:spacing w:after="0" w:line="200" w:lineRule="exact"/>
        <w:rPr>
          <w:sz w:val="20"/>
          <w:szCs w:val="20"/>
          <w:color w:val="auto"/>
        </w:rPr>
      </w:pPr>
    </w:p>
    <w:p>
      <w:pPr>
        <w:spacing w:after="0" w:line="304"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61</w:t>
      </w:r>
    </w:p>
    <w:p>
      <w:pPr>
        <w:sectPr>
          <w:pgSz w:w="11900" w:h="16838" w:orient="portrait"/>
          <w:cols w:equalWidth="0" w:num="1">
            <w:col w:w="10239"/>
          </w:cols>
          <w:pgMar w:left="220" w:top="792" w:right="1440" w:bottom="1440" w:gutter="0" w:footer="0" w:header="0"/>
        </w:sectPr>
      </w:pPr>
    </w:p>
    <w:bookmarkStart w:id="140" w:name="page141"/>
    <w:bookmarkEnd w:id="140"/>
    <w:p>
      <w:pPr>
        <w:ind w:left="3080"/>
        <w:spacing w:after="0"/>
        <w:rPr>
          <w:sz w:val="20"/>
          <w:szCs w:val="20"/>
          <w:color w:val="auto"/>
        </w:rPr>
      </w:pPr>
      <w:r>
        <w:rPr>
          <w:rFonts w:ascii="Courier New" w:cs="Courier New" w:eastAsia="Courier New" w:hAnsi="Courier New"/>
          <w:sz w:val="15"/>
          <w:szCs w:val="15"/>
          <w:color w:val="auto"/>
        </w:rPr>
        <w:t>Article 13</w:t>
      </w:r>
    </w:p>
    <w:p>
      <w:pPr>
        <w:ind w:left="3080"/>
        <w:spacing w:after="0" w:line="237" w:lineRule="auto"/>
        <w:rPr>
          <w:sz w:val="20"/>
          <w:szCs w:val="20"/>
          <w:color w:val="auto"/>
        </w:rPr>
      </w:pPr>
      <w:r>
        <w:rPr>
          <w:rFonts w:ascii="Courier New" w:cs="Courier New" w:eastAsia="Courier New" w:hAnsi="Courier New"/>
          <w:sz w:val="15"/>
          <w:szCs w:val="15"/>
          <w:color w:val="auto"/>
        </w:rPr>
        <w:t>GUARANTEES</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Section 13.01. The Cable Guarantees. Subject to the provisions of this Article, each Cable Guarantor hereby irrevocably, fully and unconditionally guarantees, jointly and severally, on an unsecured basis, the full and punctual payment (whether at maturity, upon redemption, or otherwise) of the Principal of and interest on, and all other amounts payable under, each Security, and the full and punctual payment of all other amounts payable by the Issuer under the Indenture. Upon failure by the Issuer to pay punctually any such amount, each Cable Guarantor shall forthwith on demand pay the amount not so paid at the place and in the manner specified in the Indenture.</w:t>
      </w:r>
    </w:p>
    <w:p>
      <w:pPr>
        <w:spacing w:after="0" w:line="178" w:lineRule="exact"/>
        <w:rPr>
          <w:sz w:val="20"/>
          <w:szCs w:val="20"/>
          <w:color w:val="auto"/>
        </w:rPr>
      </w:pPr>
    </w:p>
    <w:p>
      <w:pPr>
        <w:ind w:right="3579" w:firstLine="437"/>
        <w:spacing w:after="0" w:line="235" w:lineRule="auto"/>
        <w:rPr>
          <w:sz w:val="20"/>
          <w:szCs w:val="20"/>
          <w:color w:val="auto"/>
        </w:rPr>
      </w:pPr>
      <w:r>
        <w:rPr>
          <w:rFonts w:ascii="Courier New" w:cs="Courier New" w:eastAsia="Courier New" w:hAnsi="Courier New"/>
          <w:sz w:val="15"/>
          <w:szCs w:val="15"/>
          <w:color w:val="auto"/>
        </w:rPr>
        <w:t>Section 13.02. Guarantee Unconditional. The obligations of each Cable Guarantor hereunder are unconditional and absolute and, without limiting the generality of the foregoing, will not be released, discharged or otherwise affected by</w:t>
      </w:r>
    </w:p>
    <w:p>
      <w:pPr>
        <w:spacing w:after="0" w:line="175" w:lineRule="exact"/>
        <w:rPr>
          <w:sz w:val="20"/>
          <w:szCs w:val="20"/>
          <w:color w:val="auto"/>
        </w:rPr>
      </w:pPr>
    </w:p>
    <w:p>
      <w:pPr>
        <w:ind w:right="3319" w:firstLine="447"/>
        <w:spacing w:after="0" w:line="235" w:lineRule="auto"/>
        <w:tabs>
          <w:tab w:leader="none" w:pos="787" w:val="left"/>
        </w:tabs>
        <w:numPr>
          <w:ilvl w:val="0"/>
          <w:numId w:val="1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extension, renewal, settlement, compromise, waiver or release in respect of any obligation of the Issuer under the Indenture or any Security, by operation of law or otherwise;</w:t>
      </w:r>
    </w:p>
    <w:p>
      <w:pPr>
        <w:spacing w:after="0" w:line="173" w:lineRule="exact"/>
        <w:rPr>
          <w:rFonts w:ascii="Courier New" w:cs="Courier New" w:eastAsia="Courier New" w:hAnsi="Courier New"/>
          <w:sz w:val="15"/>
          <w:szCs w:val="15"/>
          <w:color w:val="auto"/>
        </w:rPr>
      </w:pPr>
    </w:p>
    <w:p>
      <w:pPr>
        <w:ind w:left="800" w:hanging="353"/>
        <w:spacing w:after="0"/>
        <w:tabs>
          <w:tab w:leader="none" w:pos="800" w:val="left"/>
        </w:tabs>
        <w:numPr>
          <w:ilvl w:val="0"/>
          <w:numId w:val="1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modification or amendment of or supplement to the Indenture or any</w:t>
      </w:r>
    </w:p>
    <w:p>
      <w:pPr>
        <w:spacing w:after="0" w:line="4" w:lineRule="exact"/>
        <w:rPr>
          <w:rFonts w:ascii="Courier New" w:cs="Courier New" w:eastAsia="Courier New" w:hAnsi="Courier New"/>
          <w:sz w:val="14"/>
          <w:szCs w:val="14"/>
          <w:color w:val="auto"/>
        </w:rPr>
      </w:pPr>
    </w:p>
    <w:p>
      <w:pPr>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Security;</w:t>
      </w:r>
    </w:p>
    <w:p>
      <w:pPr>
        <w:spacing w:after="0" w:line="173" w:lineRule="exact"/>
        <w:rPr>
          <w:rFonts w:ascii="Courier New" w:cs="Courier New" w:eastAsia="Courier New" w:hAnsi="Courier New"/>
          <w:sz w:val="14"/>
          <w:szCs w:val="14"/>
          <w:color w:val="auto"/>
        </w:rPr>
      </w:pPr>
    </w:p>
    <w:p>
      <w:pPr>
        <w:ind w:right="3499" w:firstLine="447"/>
        <w:spacing w:after="0" w:line="236" w:lineRule="auto"/>
        <w:tabs>
          <w:tab w:leader="none" w:pos="787" w:val="left"/>
        </w:tabs>
        <w:numPr>
          <w:ilvl w:val="0"/>
          <w:numId w:val="1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change in the corporate existence, structure or ownership of the Issuer, or any insolvency, bankruptcy, reorganization or other similar proceeding affecting the Issuer or its assets or any resulting release or discharge of any obligation of the Issuer contained in the Indenture or any Security;</w:t>
      </w:r>
    </w:p>
    <w:p>
      <w:pPr>
        <w:spacing w:after="0" w:line="173" w:lineRule="exact"/>
        <w:rPr>
          <w:rFonts w:ascii="Courier New" w:cs="Courier New" w:eastAsia="Courier New" w:hAnsi="Courier New"/>
          <w:sz w:val="15"/>
          <w:szCs w:val="15"/>
          <w:color w:val="auto"/>
        </w:rPr>
      </w:pPr>
    </w:p>
    <w:p>
      <w:pPr>
        <w:ind w:right="3319" w:firstLine="447"/>
        <w:spacing w:after="0" w:line="256" w:lineRule="auto"/>
        <w:tabs>
          <w:tab w:leader="none" w:pos="787" w:val="left"/>
        </w:tabs>
        <w:numPr>
          <w:ilvl w:val="0"/>
          <w:numId w:val="1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existence of any claim, set-off or other rights which any Cable Guarantor may have at any time against the Issuer, the Trustee, any other Cable Guarantor or any other Person, whether in connection with the Indenture or an unrelated transactions, provided that nothing herein prevents the assertion of any such claim by separate suit or compulsory counterclaim;</w:t>
      </w:r>
    </w:p>
    <w:p>
      <w:pPr>
        <w:spacing w:after="0" w:line="163" w:lineRule="exact"/>
        <w:rPr>
          <w:rFonts w:ascii="Courier New" w:cs="Courier New" w:eastAsia="Courier New" w:hAnsi="Courier New"/>
          <w:sz w:val="14"/>
          <w:szCs w:val="14"/>
          <w:color w:val="auto"/>
        </w:rPr>
      </w:pPr>
    </w:p>
    <w:p>
      <w:pPr>
        <w:ind w:right="3239" w:firstLine="447"/>
        <w:spacing w:after="0" w:line="236" w:lineRule="auto"/>
        <w:tabs>
          <w:tab w:leader="none" w:pos="787" w:val="left"/>
        </w:tabs>
        <w:numPr>
          <w:ilvl w:val="0"/>
          <w:numId w:val="1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invalidity, irregularity or unenforceability relating to or against the Issuer for any reason of the Indenture or any Security, or any provision of applicable law or regulation purporting to prohibit the payment by the Issuer of the principal of or interest on any Security or any other amount payable by the Issuer under the Indenture; or</w:t>
      </w:r>
    </w:p>
    <w:p>
      <w:pPr>
        <w:spacing w:after="0" w:line="173" w:lineRule="exact"/>
        <w:rPr>
          <w:rFonts w:ascii="Courier New" w:cs="Courier New" w:eastAsia="Courier New" w:hAnsi="Courier New"/>
          <w:sz w:val="15"/>
          <w:szCs w:val="15"/>
          <w:color w:val="auto"/>
        </w:rPr>
      </w:pPr>
    </w:p>
    <w:p>
      <w:pPr>
        <w:ind w:right="3239" w:firstLine="447"/>
        <w:spacing w:after="0" w:line="256" w:lineRule="auto"/>
        <w:tabs>
          <w:tab w:leader="none" w:pos="787" w:val="left"/>
        </w:tabs>
        <w:numPr>
          <w:ilvl w:val="0"/>
          <w:numId w:val="1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other act or omission to act or delay of any kind by the Issuer, the Trustee or any other Person or any other circumstance whatsoever which might, but for the provisions of this paragraph, constitute a legal or equitable discharge of or defense to such Cable Guarantor's obligations hereunder.</w:t>
      </w:r>
    </w:p>
    <w:p>
      <w:pPr>
        <w:spacing w:after="0" w:line="164"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Section 13.03. Discharge; Reinstatement. Each Cable Guarantor's obligations hereunder will remain in full force and effect until the Principal of and interest on the Securities of each series and all other amounts payable by the Issuer under the Indenture have been paid in full. If at any time any payment of the Principal of or interest on any Security or any other amount payable by the Issuer under the Indenture is rescinded or must be otherwise restored or returned upon the insolvency, bankruptcy or reorganization of the Issuer or otherwise, each Cable</w:t>
      </w:r>
    </w:p>
    <w:p>
      <w:pPr>
        <w:spacing w:after="0" w:line="33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62</w:t>
      </w:r>
    </w:p>
    <w:p>
      <w:pPr>
        <w:sectPr>
          <w:pgSz w:w="11900" w:h="16838" w:orient="portrait"/>
          <w:cols w:equalWidth="0" w:num="1">
            <w:col w:w="10239"/>
          </w:cols>
          <w:pgMar w:left="220" w:top="785" w:right="1440" w:bottom="1440" w:gutter="0" w:footer="0" w:header="0"/>
        </w:sectPr>
      </w:pPr>
    </w:p>
    <w:bookmarkStart w:id="141" w:name="page142"/>
    <w:bookmarkEnd w:id="141"/>
    <w:p>
      <w:pPr>
        <w:ind w:right="3839"/>
        <w:spacing w:after="0" w:line="261" w:lineRule="auto"/>
        <w:rPr>
          <w:sz w:val="20"/>
          <w:szCs w:val="20"/>
          <w:color w:val="auto"/>
        </w:rPr>
      </w:pPr>
      <w:r>
        <w:rPr>
          <w:rFonts w:ascii="Courier New" w:cs="Courier New" w:eastAsia="Courier New" w:hAnsi="Courier New"/>
          <w:sz w:val="14"/>
          <w:szCs w:val="14"/>
          <w:color w:val="auto"/>
        </w:rPr>
        <w:t>Guarantor's obligations hereunder with respect to such payment will be reinstated as though such payment had been due but not made at such time.</w:t>
      </w:r>
    </w:p>
    <w:p>
      <w:pPr>
        <w:spacing w:after="0" w:line="160"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Section 13.04. Waiver by the Cable Guarantors. Each Cable Guarantor irrevocably waives acceptance hereof, presentment, demand, protest and any notice not provided for herein, as well as any requirement that at any time any action be taken by any Person against the Company or any other Person.</w:t>
      </w:r>
    </w:p>
    <w:p>
      <w:pPr>
        <w:spacing w:after="0" w:line="175"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Section 13.05. Subrogation and Contribution. Upon making any payment with respect to any obligation of the Issuer under this Article, the Cable Guarantor making such payment will be subrogated to the rights of the payee against the Issuer with respect to such obligation, provided that the Cable Guarantor may not enforce either any right of subrogation, or any right to receive payment in the nature of contribution, or otherwise, from any other Cable Guarantor, with respect to such payment so long as any amount payable by the Issuer hereunder or under the Securities remains unpaid.</w:t>
      </w:r>
    </w:p>
    <w:p>
      <w:pPr>
        <w:spacing w:after="0" w:line="177" w:lineRule="exact"/>
        <w:rPr>
          <w:sz w:val="20"/>
          <w:szCs w:val="20"/>
          <w:color w:val="auto"/>
        </w:rPr>
      </w:pPr>
    </w:p>
    <w:p>
      <w:pPr>
        <w:ind w:right="3499" w:firstLine="437"/>
        <w:spacing w:after="0" w:line="236" w:lineRule="auto"/>
        <w:rPr>
          <w:sz w:val="20"/>
          <w:szCs w:val="20"/>
          <w:color w:val="auto"/>
        </w:rPr>
      </w:pPr>
      <w:r>
        <w:rPr>
          <w:rFonts w:ascii="Courier New" w:cs="Courier New" w:eastAsia="Courier New" w:hAnsi="Courier New"/>
          <w:sz w:val="15"/>
          <w:szCs w:val="15"/>
          <w:color w:val="auto"/>
        </w:rPr>
        <w:t>Section 13.06. Stay of Acceleration. If acceleration of the time for payment of any amount payable by the Issuer under the Indenture or the Securities is stayed upon the insolvency, bankruptcy or reorganization of the Issuer, all such amounts otherwise subject to acceleration under the terms of the Indenture are nonetheless payable by the Cable Guarantors hereunder forthwith on demand by the Trustee or the Holders.</w:t>
      </w:r>
    </w:p>
    <w:p>
      <w:pPr>
        <w:spacing w:after="0" w:line="175"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Section 13.07. Limitation on Amount of Cable Guarantee. Notwithstanding anything to the contrary in this Article, each Cable Guarantor, and by its acceptance of Securities, each Holder, hereby confirms that it is the intention of all such parties that the Cable Guarantee of such Cable Guarantor not constitute a fraudulent conveyance under applicable fraudulent conveyance provisions of the United States Bankruptcy Code or any comparable provision of other U.S. and non-U.S. law. To effectuate that intention, the Trustee, the Holders and the Cable Guarantors hereby irrevocably agree that the obligations of each Cable Guarantor under its Cable Guarantee are limited to the maximum amount that would not render the Cable Guarantor's obligations subject to avoidance under applicable fraudulent conveyance provisions of the United States Bankruptcy Code or any comparable provision of other U.S. and non-U.S. law.</w:t>
      </w:r>
    </w:p>
    <w:p>
      <w:pPr>
        <w:spacing w:after="0" w:line="164"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Section 13.08. Execution and Delivery of Cable Guarantee. The execution by each Cable Guarantor of the Indenture evidences the Cable Guarantee of such Cable Guarantor, whether or not the person signing as an officer of the Cable Guarantor still holds that office at the time of authentication of any Security. The delivery of any Security by the Trustee after authentication constitutes due delivery of the Cable Guarantee set forth in the Indenture on behalf of each Cable Guarantor.</w:t>
      </w:r>
    </w:p>
    <w:p>
      <w:pPr>
        <w:spacing w:after="0" w:line="176" w:lineRule="exact"/>
        <w:rPr>
          <w:sz w:val="20"/>
          <w:szCs w:val="20"/>
          <w:color w:val="auto"/>
        </w:rPr>
      </w:pPr>
    </w:p>
    <w:p>
      <w:pPr>
        <w:ind w:right="3319" w:firstLine="437"/>
        <w:spacing w:after="0" w:line="234" w:lineRule="auto"/>
        <w:rPr>
          <w:sz w:val="20"/>
          <w:szCs w:val="20"/>
          <w:color w:val="auto"/>
        </w:rPr>
      </w:pPr>
      <w:r>
        <w:rPr>
          <w:rFonts w:ascii="Courier New" w:cs="Courier New" w:eastAsia="Courier New" w:hAnsi="Courier New"/>
          <w:sz w:val="15"/>
          <w:szCs w:val="15"/>
          <w:color w:val="auto"/>
        </w:rPr>
        <w:t>Section 13.09. Release of Cable Guarantee. This Cable Guarantee of a Cable Guarantor will terminate upon</w:t>
      </w:r>
    </w:p>
    <w:p>
      <w:pPr>
        <w:spacing w:after="0" w:line="173" w:lineRule="exact"/>
        <w:rPr>
          <w:sz w:val="20"/>
          <w:szCs w:val="20"/>
          <w:color w:val="auto"/>
        </w:rPr>
      </w:pPr>
    </w:p>
    <w:p>
      <w:pPr>
        <w:ind w:right="3319" w:firstLine="447"/>
        <w:spacing w:after="0" w:line="236" w:lineRule="auto"/>
        <w:tabs>
          <w:tab w:leader="none" w:pos="787" w:val="left"/>
        </w:tabs>
        <w:numPr>
          <w:ilvl w:val="0"/>
          <w:numId w:val="1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sale or other disposition (including by way of consolidation or merger) of the Cable Guarantor or the sale or disposition of all or substantially all the assets of the Cable Guarantor (in each case other than to the Issuer or a Cable Guarantor or a Person who, prior to such sale or other disposition, is an affiliate of the Issuer or a Cable Guarantor); or</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63</w:t>
      </w:r>
    </w:p>
    <w:p>
      <w:pPr>
        <w:sectPr>
          <w:pgSz w:w="11900" w:h="16838" w:orient="portrait"/>
          <w:cols w:equalWidth="0" w:num="1">
            <w:col w:w="10239"/>
          </w:cols>
          <w:pgMar w:left="220" w:top="792" w:right="1440" w:bottom="1440" w:gutter="0" w:footer="0" w:header="0"/>
        </w:sectPr>
      </w:pPr>
    </w:p>
    <w:bookmarkStart w:id="142" w:name="page143"/>
    <w:bookmarkEnd w:id="142"/>
    <w:p>
      <w:pPr>
        <w:ind w:left="-447" w:right="3499" w:firstLine="447"/>
        <w:spacing w:after="0" w:line="236" w:lineRule="auto"/>
        <w:tabs>
          <w:tab w:leader="none" w:pos="340" w:val="left"/>
        </w:tabs>
        <w:numPr>
          <w:ilvl w:val="0"/>
          <w:numId w:val="1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Defeasance or discharge of the Securities, as provided in Article 9. Upon delivery by the Issuer to the Trustee of an Officers' Certificate and an Opinion of Counsel to the foregoing effect, the Trustee will execute any documents reasonably required in order to evidence the release of the Cable Guarantor from its obligations under its Cable Guarantee.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2973"/>
        <w:spacing w:after="0"/>
        <w:rPr>
          <w:sz w:val="20"/>
          <w:szCs w:val="20"/>
          <w:color w:val="auto"/>
        </w:rPr>
      </w:pPr>
      <w:r>
        <w:rPr>
          <w:rFonts w:ascii="Courier New" w:cs="Courier New" w:eastAsia="Courier New" w:hAnsi="Courier New"/>
          <w:sz w:val="15"/>
          <w:szCs w:val="15"/>
          <w:color w:val="auto"/>
        </w:rPr>
        <w:t>64</w:t>
      </w:r>
    </w:p>
    <w:p>
      <w:pPr>
        <w:sectPr>
          <w:pgSz w:w="11900" w:h="16838" w:orient="portrait"/>
          <w:cols w:equalWidth="0" w:num="1">
            <w:col w:w="9792"/>
          </w:cols>
          <w:pgMar w:left="667" w:top="792" w:right="1440" w:bottom="1440" w:gutter="0" w:footer="0" w:header="0"/>
        </w:sectPr>
      </w:pPr>
    </w:p>
    <w:bookmarkStart w:id="143" w:name="page144"/>
    <w:bookmarkEnd w:id="143"/>
    <w:p>
      <w:pPr>
        <w:ind w:right="3399" w:firstLine="437"/>
        <w:spacing w:after="0" w:line="235" w:lineRule="auto"/>
        <w:rPr>
          <w:sz w:val="20"/>
          <w:szCs w:val="20"/>
          <w:color w:val="auto"/>
        </w:rPr>
      </w:pPr>
      <w:r>
        <w:rPr>
          <w:rFonts w:ascii="Courier New" w:cs="Courier New" w:eastAsia="Courier New" w:hAnsi="Courier New"/>
          <w:sz w:val="15"/>
          <w:szCs w:val="15"/>
          <w:color w:val="auto"/>
        </w:rPr>
        <w:t>IN WITNESS WHEREOF, the parties hereto have caused this Indenture to be duly executed, and their respective corporate seals to be hereunto affixed and attested, all as of the first date written above.</w:t>
      </w:r>
    </w:p>
    <w:p>
      <w:pPr>
        <w:spacing w:after="0" w:line="335" w:lineRule="exact"/>
        <w:rPr>
          <w:sz w:val="20"/>
          <w:szCs w:val="20"/>
          <w:color w:val="auto"/>
        </w:rPr>
      </w:pPr>
    </w:p>
    <w:p>
      <w:pPr>
        <w:ind w:left="3860"/>
        <w:spacing w:after="0"/>
        <w:rPr>
          <w:sz w:val="20"/>
          <w:szCs w:val="20"/>
          <w:color w:val="auto"/>
        </w:rPr>
      </w:pPr>
      <w:r>
        <w:rPr>
          <w:rFonts w:ascii="Courier New" w:cs="Courier New" w:eastAsia="Courier New" w:hAnsi="Courier New"/>
          <w:sz w:val="15"/>
          <w:szCs w:val="15"/>
          <w:color w:val="auto"/>
        </w:rPr>
        <w:t>COMCAST CORPORATION, as Issuer</w:t>
      </w:r>
    </w:p>
    <w:p>
      <w:pPr>
        <w:spacing w:after="0" w:line="166" w:lineRule="exact"/>
        <w:rPr>
          <w:sz w:val="20"/>
          <w:szCs w:val="20"/>
          <w:color w:val="auto"/>
        </w:rPr>
      </w:pPr>
    </w:p>
    <w:p>
      <w:pPr>
        <w:ind w:left="3860"/>
        <w:spacing w:after="0"/>
        <w:rPr>
          <w:sz w:val="20"/>
          <w:szCs w:val="20"/>
          <w:color w:val="auto"/>
        </w:rPr>
      </w:pPr>
      <w:r>
        <w:rPr>
          <w:rFonts w:ascii="Courier New" w:cs="Courier New" w:eastAsia="Courier New" w:hAnsi="Courier New"/>
          <w:sz w:val="15"/>
          <w:szCs w:val="15"/>
          <w:color w:val="auto"/>
        </w:rPr>
        <w:t>By:</w:t>
      </w:r>
    </w:p>
    <w:p>
      <w:pPr>
        <w:spacing w:after="0" w:line="5" w:lineRule="exact"/>
        <w:rPr>
          <w:sz w:val="20"/>
          <w:szCs w:val="20"/>
          <w:color w:val="auto"/>
        </w:rPr>
      </w:pPr>
    </w:p>
    <w:p>
      <w:pPr>
        <w:ind w:left="420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4200"/>
        <w:spacing w:after="0"/>
        <w:rPr>
          <w:sz w:val="20"/>
          <w:szCs w:val="20"/>
          <w:color w:val="auto"/>
        </w:rPr>
      </w:pPr>
      <w:r>
        <w:rPr>
          <w:rFonts w:ascii="Courier New" w:cs="Courier New" w:eastAsia="Courier New" w:hAnsi="Courier New"/>
          <w:sz w:val="15"/>
          <w:szCs w:val="15"/>
          <w:color w:val="auto"/>
        </w:rPr>
        <w:t>Name:</w:t>
      </w:r>
    </w:p>
    <w:p>
      <w:pPr>
        <w:ind w:left="4200"/>
        <w:spacing w:after="0" w:line="237" w:lineRule="auto"/>
        <w:rPr>
          <w:sz w:val="20"/>
          <w:szCs w:val="20"/>
          <w:color w:val="auto"/>
        </w:rPr>
      </w:pPr>
      <w:r>
        <w:rPr>
          <w:rFonts w:ascii="Courier New" w:cs="Courier New" w:eastAsia="Courier New" w:hAnsi="Courier New"/>
          <w:sz w:val="15"/>
          <w:szCs w:val="15"/>
          <w:color w:val="auto"/>
        </w:rPr>
        <w:t>Title:</w:t>
      </w:r>
    </w:p>
    <w:p>
      <w:pPr>
        <w:spacing w:after="0" w:line="238" w:lineRule="auto"/>
        <w:rPr>
          <w:sz w:val="20"/>
          <w:szCs w:val="20"/>
          <w:color w:val="auto"/>
        </w:rPr>
      </w:pPr>
      <w:r>
        <w:rPr>
          <w:rFonts w:ascii="Courier New" w:cs="Courier New" w:eastAsia="Courier New" w:hAnsi="Courier New"/>
          <w:sz w:val="15"/>
          <w:szCs w:val="15"/>
          <w:color w:val="auto"/>
        </w:rPr>
        <w:t>[CORPORATE SEAL]</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Attest:</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w:t>
      </w:r>
    </w:p>
    <w:p>
      <w:pPr>
        <w:ind w:left="360"/>
        <w:spacing w:after="0" w:line="237" w:lineRule="auto"/>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303" w:lineRule="exact"/>
        <w:rPr>
          <w:sz w:val="20"/>
          <w:szCs w:val="20"/>
          <w:color w:val="auto"/>
        </w:rPr>
      </w:pPr>
    </w:p>
    <w:p>
      <w:pPr>
        <w:ind w:left="3860"/>
        <w:spacing w:after="0"/>
        <w:rPr>
          <w:sz w:val="20"/>
          <w:szCs w:val="20"/>
          <w:color w:val="auto"/>
        </w:rPr>
      </w:pPr>
      <w:r>
        <w:rPr>
          <w:rFonts w:ascii="Courier New" w:cs="Courier New" w:eastAsia="Courier New" w:hAnsi="Courier New"/>
          <w:sz w:val="15"/>
          <w:szCs w:val="15"/>
          <w:color w:val="auto"/>
        </w:rPr>
        <w:t>THE BANK OF NEW YORK, as Trustee</w:t>
      </w:r>
    </w:p>
    <w:p>
      <w:pPr>
        <w:spacing w:after="0" w:line="166" w:lineRule="exact"/>
        <w:rPr>
          <w:sz w:val="20"/>
          <w:szCs w:val="20"/>
          <w:color w:val="auto"/>
        </w:rPr>
      </w:pPr>
    </w:p>
    <w:p>
      <w:pPr>
        <w:ind w:left="3860"/>
        <w:spacing w:after="0"/>
        <w:rPr>
          <w:sz w:val="20"/>
          <w:szCs w:val="20"/>
          <w:color w:val="auto"/>
        </w:rPr>
      </w:pPr>
      <w:r>
        <w:rPr>
          <w:rFonts w:ascii="Courier New" w:cs="Courier New" w:eastAsia="Courier New" w:hAnsi="Courier New"/>
          <w:sz w:val="15"/>
          <w:szCs w:val="15"/>
          <w:color w:val="auto"/>
        </w:rPr>
        <w:t>By:</w:t>
      </w:r>
    </w:p>
    <w:p>
      <w:pPr>
        <w:spacing w:after="0" w:line="5" w:lineRule="exact"/>
        <w:rPr>
          <w:sz w:val="20"/>
          <w:szCs w:val="20"/>
          <w:color w:val="auto"/>
        </w:rPr>
      </w:pPr>
    </w:p>
    <w:p>
      <w:pPr>
        <w:ind w:left="420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4200"/>
        <w:spacing w:after="0"/>
        <w:rPr>
          <w:sz w:val="20"/>
          <w:szCs w:val="20"/>
          <w:color w:val="auto"/>
        </w:rPr>
      </w:pPr>
      <w:r>
        <w:rPr>
          <w:rFonts w:ascii="Courier New" w:cs="Courier New" w:eastAsia="Courier New" w:hAnsi="Courier New"/>
          <w:sz w:val="15"/>
          <w:szCs w:val="15"/>
          <w:color w:val="auto"/>
        </w:rPr>
        <w:t>Name:</w:t>
      </w:r>
    </w:p>
    <w:p>
      <w:pPr>
        <w:ind w:left="4200"/>
        <w:spacing w:after="0" w:line="237" w:lineRule="auto"/>
        <w:rPr>
          <w:sz w:val="20"/>
          <w:szCs w:val="20"/>
          <w:color w:val="auto"/>
        </w:rPr>
      </w:pPr>
      <w:r>
        <w:rPr>
          <w:rFonts w:ascii="Courier New" w:cs="Courier New" w:eastAsia="Courier New" w:hAnsi="Courier New"/>
          <w:sz w:val="15"/>
          <w:szCs w:val="15"/>
          <w:color w:val="auto"/>
        </w:rPr>
        <w:t>Title:</w:t>
      </w:r>
    </w:p>
    <w:p>
      <w:pPr>
        <w:spacing w:after="0" w:line="238" w:lineRule="auto"/>
        <w:rPr>
          <w:sz w:val="20"/>
          <w:szCs w:val="20"/>
          <w:color w:val="auto"/>
        </w:rPr>
      </w:pPr>
      <w:r>
        <w:rPr>
          <w:rFonts w:ascii="Courier New" w:cs="Courier New" w:eastAsia="Courier New" w:hAnsi="Courier New"/>
          <w:sz w:val="15"/>
          <w:szCs w:val="15"/>
          <w:color w:val="auto"/>
        </w:rPr>
        <w:t>[CORPORATE SEAL]</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Attest:</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w:t>
      </w:r>
    </w:p>
    <w:p>
      <w:pPr>
        <w:ind w:left="360"/>
        <w:spacing w:after="0" w:line="237" w:lineRule="auto"/>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303" w:lineRule="exact"/>
        <w:rPr>
          <w:sz w:val="20"/>
          <w:szCs w:val="20"/>
          <w:color w:val="auto"/>
        </w:rPr>
      </w:pPr>
    </w:p>
    <w:p>
      <w:pPr>
        <w:ind w:left="3860"/>
        <w:spacing w:after="0"/>
        <w:rPr>
          <w:sz w:val="20"/>
          <w:szCs w:val="20"/>
          <w:color w:val="auto"/>
        </w:rPr>
      </w:pPr>
      <w:r>
        <w:rPr>
          <w:rFonts w:ascii="Courier New" w:cs="Courier New" w:eastAsia="Courier New" w:hAnsi="Courier New"/>
          <w:sz w:val="15"/>
          <w:szCs w:val="15"/>
          <w:color w:val="auto"/>
        </w:rPr>
        <w:t>COMCAST CABLE COMMUNICATIONS, INC.</w:t>
      </w:r>
    </w:p>
    <w:p>
      <w:pPr>
        <w:spacing w:after="0" w:line="166" w:lineRule="exact"/>
        <w:rPr>
          <w:sz w:val="20"/>
          <w:szCs w:val="20"/>
          <w:color w:val="auto"/>
        </w:rPr>
      </w:pPr>
    </w:p>
    <w:p>
      <w:pPr>
        <w:ind w:left="3860"/>
        <w:spacing w:after="0"/>
        <w:rPr>
          <w:sz w:val="20"/>
          <w:szCs w:val="20"/>
          <w:color w:val="auto"/>
        </w:rPr>
      </w:pPr>
      <w:r>
        <w:rPr>
          <w:rFonts w:ascii="Courier New" w:cs="Courier New" w:eastAsia="Courier New" w:hAnsi="Courier New"/>
          <w:sz w:val="15"/>
          <w:szCs w:val="15"/>
          <w:color w:val="auto"/>
        </w:rPr>
        <w:t>By:</w:t>
      </w:r>
    </w:p>
    <w:p>
      <w:pPr>
        <w:spacing w:after="0" w:line="5" w:lineRule="exact"/>
        <w:rPr>
          <w:sz w:val="20"/>
          <w:szCs w:val="20"/>
          <w:color w:val="auto"/>
        </w:rPr>
      </w:pPr>
    </w:p>
    <w:p>
      <w:pPr>
        <w:ind w:left="420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4200"/>
        <w:spacing w:after="0"/>
        <w:rPr>
          <w:sz w:val="20"/>
          <w:szCs w:val="20"/>
          <w:color w:val="auto"/>
        </w:rPr>
      </w:pPr>
      <w:r>
        <w:rPr>
          <w:rFonts w:ascii="Courier New" w:cs="Courier New" w:eastAsia="Courier New" w:hAnsi="Courier New"/>
          <w:sz w:val="15"/>
          <w:szCs w:val="15"/>
          <w:color w:val="auto"/>
        </w:rPr>
        <w:t>Name:</w:t>
      </w:r>
    </w:p>
    <w:p>
      <w:pPr>
        <w:ind w:left="4200"/>
        <w:spacing w:after="0" w:line="237" w:lineRule="auto"/>
        <w:rPr>
          <w:sz w:val="20"/>
          <w:szCs w:val="20"/>
          <w:color w:val="auto"/>
        </w:rPr>
      </w:pPr>
      <w:r>
        <w:rPr>
          <w:rFonts w:ascii="Courier New" w:cs="Courier New" w:eastAsia="Courier New" w:hAnsi="Courier New"/>
          <w:sz w:val="15"/>
          <w:szCs w:val="15"/>
          <w:color w:val="auto"/>
        </w:rPr>
        <w:t>Title:</w:t>
      </w:r>
    </w:p>
    <w:p>
      <w:pPr>
        <w:spacing w:after="0" w:line="238" w:lineRule="auto"/>
        <w:rPr>
          <w:sz w:val="20"/>
          <w:szCs w:val="20"/>
          <w:color w:val="auto"/>
        </w:rPr>
      </w:pPr>
      <w:r>
        <w:rPr>
          <w:rFonts w:ascii="Courier New" w:cs="Courier New" w:eastAsia="Courier New" w:hAnsi="Courier New"/>
          <w:sz w:val="15"/>
          <w:szCs w:val="15"/>
          <w:color w:val="auto"/>
        </w:rPr>
        <w:t>[CORPORATE SEAL]</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Attest:</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w:t>
      </w:r>
    </w:p>
    <w:p>
      <w:pPr>
        <w:ind w:left="360"/>
        <w:spacing w:after="0" w:line="237" w:lineRule="auto"/>
        <w:rPr>
          <w:sz w:val="20"/>
          <w:szCs w:val="20"/>
          <w:color w:val="auto"/>
        </w:rPr>
      </w:pPr>
      <w:r>
        <w:rPr>
          <w:rFonts w:ascii="Courier New" w:cs="Courier New" w:eastAsia="Courier New" w:hAnsi="Courier New"/>
          <w:sz w:val="15"/>
          <w:szCs w:val="15"/>
          <w:color w:val="auto"/>
        </w:rPr>
        <w:t>--------------------------------</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65</w:t>
      </w:r>
    </w:p>
    <w:p>
      <w:pPr>
        <w:sectPr>
          <w:pgSz w:w="11900" w:h="16838" w:orient="portrait"/>
          <w:cols w:equalWidth="0" w:num="1">
            <w:col w:w="10239"/>
          </w:cols>
          <w:pgMar w:left="220" w:top="792" w:right="1440" w:bottom="1440" w:gutter="0" w:footer="0" w:header="0"/>
        </w:sectPr>
      </w:pPr>
    </w:p>
    <w:bookmarkStart w:id="144" w:name="page145"/>
    <w:bookmarkEnd w:id="144"/>
    <w:p>
      <w:pPr>
        <w:ind w:left="3860"/>
        <w:spacing w:after="0"/>
        <w:rPr>
          <w:sz w:val="20"/>
          <w:szCs w:val="20"/>
          <w:color w:val="auto"/>
        </w:rPr>
      </w:pPr>
      <w:r>
        <w:rPr>
          <w:rFonts w:ascii="Courier New" w:cs="Courier New" w:eastAsia="Courier New" w:hAnsi="Courier New"/>
          <w:sz w:val="15"/>
          <w:szCs w:val="15"/>
          <w:color w:val="auto"/>
        </w:rPr>
        <w:t>COMCAST CABLE COMMUNICATIONS,</w:t>
      </w:r>
    </w:p>
    <w:p>
      <w:pPr>
        <w:ind w:left="3860"/>
        <w:spacing w:after="0" w:line="237" w:lineRule="auto"/>
        <w:rPr>
          <w:sz w:val="20"/>
          <w:szCs w:val="20"/>
          <w:color w:val="auto"/>
        </w:rPr>
      </w:pPr>
      <w:r>
        <w:rPr>
          <w:rFonts w:ascii="Courier New" w:cs="Courier New" w:eastAsia="Courier New" w:hAnsi="Courier New"/>
          <w:sz w:val="15"/>
          <w:szCs w:val="15"/>
          <w:color w:val="auto"/>
        </w:rPr>
        <w:t>HOLDINGS, INC.</w:t>
      </w:r>
    </w:p>
    <w:p>
      <w:pPr>
        <w:spacing w:after="0" w:line="167" w:lineRule="exact"/>
        <w:rPr>
          <w:sz w:val="20"/>
          <w:szCs w:val="20"/>
          <w:color w:val="auto"/>
        </w:rPr>
      </w:pPr>
    </w:p>
    <w:p>
      <w:pPr>
        <w:ind w:left="3860"/>
        <w:spacing w:after="0"/>
        <w:rPr>
          <w:sz w:val="20"/>
          <w:szCs w:val="20"/>
          <w:color w:val="auto"/>
        </w:rPr>
      </w:pPr>
      <w:r>
        <w:rPr>
          <w:rFonts w:ascii="Courier New" w:cs="Courier New" w:eastAsia="Courier New" w:hAnsi="Courier New"/>
          <w:sz w:val="15"/>
          <w:szCs w:val="15"/>
          <w:color w:val="auto"/>
        </w:rPr>
        <w:t>By:</w:t>
      </w:r>
    </w:p>
    <w:p>
      <w:pPr>
        <w:spacing w:after="0" w:line="5" w:lineRule="exact"/>
        <w:rPr>
          <w:sz w:val="20"/>
          <w:szCs w:val="20"/>
          <w:color w:val="auto"/>
        </w:rPr>
      </w:pPr>
    </w:p>
    <w:p>
      <w:pPr>
        <w:ind w:left="430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4300"/>
        <w:spacing w:after="0"/>
        <w:rPr>
          <w:sz w:val="20"/>
          <w:szCs w:val="20"/>
          <w:color w:val="auto"/>
        </w:rPr>
      </w:pPr>
      <w:r>
        <w:rPr>
          <w:rFonts w:ascii="Courier New" w:cs="Courier New" w:eastAsia="Courier New" w:hAnsi="Courier New"/>
          <w:sz w:val="15"/>
          <w:szCs w:val="15"/>
          <w:color w:val="auto"/>
        </w:rPr>
        <w:t>Name:</w:t>
      </w:r>
    </w:p>
    <w:p>
      <w:pPr>
        <w:ind w:left="4300"/>
        <w:spacing w:after="0" w:line="237" w:lineRule="auto"/>
        <w:rPr>
          <w:sz w:val="20"/>
          <w:szCs w:val="20"/>
          <w:color w:val="auto"/>
        </w:rPr>
      </w:pPr>
      <w:r>
        <w:rPr>
          <w:rFonts w:ascii="Courier New" w:cs="Courier New" w:eastAsia="Courier New" w:hAnsi="Courier New"/>
          <w:sz w:val="15"/>
          <w:szCs w:val="15"/>
          <w:color w:val="auto"/>
        </w:rPr>
        <w:t>Title:</w:t>
      </w:r>
    </w:p>
    <w:p>
      <w:pPr>
        <w:spacing w:after="0" w:line="238" w:lineRule="auto"/>
        <w:rPr>
          <w:sz w:val="20"/>
          <w:szCs w:val="20"/>
          <w:color w:val="auto"/>
        </w:rPr>
      </w:pPr>
      <w:r>
        <w:rPr>
          <w:rFonts w:ascii="Courier New" w:cs="Courier New" w:eastAsia="Courier New" w:hAnsi="Courier New"/>
          <w:sz w:val="15"/>
          <w:szCs w:val="15"/>
          <w:color w:val="auto"/>
        </w:rPr>
        <w:t>[CORPORATE SEAL]</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Attest:</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w:t>
      </w:r>
    </w:p>
    <w:p>
      <w:pPr>
        <w:ind w:left="360"/>
        <w:spacing w:after="0" w:line="237" w:lineRule="auto"/>
        <w:rPr>
          <w:sz w:val="20"/>
          <w:szCs w:val="20"/>
          <w:color w:val="auto"/>
        </w:rPr>
      </w:pPr>
      <w:r>
        <w:rPr>
          <w:rFonts w:ascii="Courier New" w:cs="Courier New" w:eastAsia="Courier New" w:hAnsi="Courier New"/>
          <w:sz w:val="15"/>
          <w:szCs w:val="15"/>
          <w:color w:val="auto"/>
        </w:rPr>
        <w:t>--------------------------------</w:t>
      </w:r>
    </w:p>
    <w:p>
      <w:pPr>
        <w:spacing w:after="0" w:line="335" w:lineRule="exact"/>
        <w:rPr>
          <w:sz w:val="20"/>
          <w:szCs w:val="20"/>
          <w:color w:val="auto"/>
        </w:rPr>
      </w:pPr>
    </w:p>
    <w:p>
      <w:pPr>
        <w:ind w:left="3860"/>
        <w:spacing w:after="0"/>
        <w:rPr>
          <w:sz w:val="20"/>
          <w:szCs w:val="20"/>
          <w:color w:val="auto"/>
        </w:rPr>
      </w:pPr>
      <w:r>
        <w:rPr>
          <w:rFonts w:ascii="Courier New" w:cs="Courier New" w:eastAsia="Courier New" w:hAnsi="Courier New"/>
          <w:sz w:val="15"/>
          <w:szCs w:val="15"/>
          <w:color w:val="auto"/>
        </w:rPr>
        <w:t>COMCAST CABLE HOLDINGS, LLC</w:t>
      </w:r>
    </w:p>
    <w:p>
      <w:pPr>
        <w:spacing w:after="0" w:line="166" w:lineRule="exact"/>
        <w:rPr>
          <w:sz w:val="20"/>
          <w:szCs w:val="20"/>
          <w:color w:val="auto"/>
        </w:rPr>
      </w:pPr>
    </w:p>
    <w:p>
      <w:pPr>
        <w:ind w:left="3860"/>
        <w:spacing w:after="0"/>
        <w:rPr>
          <w:sz w:val="20"/>
          <w:szCs w:val="20"/>
          <w:color w:val="auto"/>
        </w:rPr>
      </w:pPr>
      <w:r>
        <w:rPr>
          <w:rFonts w:ascii="Courier New" w:cs="Courier New" w:eastAsia="Courier New" w:hAnsi="Courier New"/>
          <w:sz w:val="15"/>
          <w:szCs w:val="15"/>
          <w:color w:val="auto"/>
        </w:rPr>
        <w:t>By:</w:t>
      </w:r>
    </w:p>
    <w:p>
      <w:pPr>
        <w:spacing w:after="0" w:line="5" w:lineRule="exact"/>
        <w:rPr>
          <w:sz w:val="20"/>
          <w:szCs w:val="20"/>
          <w:color w:val="auto"/>
        </w:rPr>
      </w:pPr>
    </w:p>
    <w:p>
      <w:pPr>
        <w:ind w:left="420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4200"/>
        <w:spacing w:after="0"/>
        <w:rPr>
          <w:sz w:val="20"/>
          <w:szCs w:val="20"/>
          <w:color w:val="auto"/>
        </w:rPr>
      </w:pPr>
      <w:r>
        <w:rPr>
          <w:rFonts w:ascii="Courier New" w:cs="Courier New" w:eastAsia="Courier New" w:hAnsi="Courier New"/>
          <w:sz w:val="15"/>
          <w:szCs w:val="15"/>
          <w:color w:val="auto"/>
        </w:rPr>
        <w:t>Name:</w:t>
      </w:r>
    </w:p>
    <w:p>
      <w:pPr>
        <w:ind w:left="4200"/>
        <w:spacing w:after="0" w:line="237" w:lineRule="auto"/>
        <w:rPr>
          <w:sz w:val="20"/>
          <w:szCs w:val="20"/>
          <w:color w:val="auto"/>
        </w:rPr>
      </w:pPr>
      <w:r>
        <w:rPr>
          <w:rFonts w:ascii="Courier New" w:cs="Courier New" w:eastAsia="Courier New" w:hAnsi="Courier New"/>
          <w:sz w:val="15"/>
          <w:szCs w:val="15"/>
          <w:color w:val="auto"/>
        </w:rPr>
        <w:t>Title:</w:t>
      </w:r>
    </w:p>
    <w:p>
      <w:pPr>
        <w:spacing w:after="0" w:line="238" w:lineRule="auto"/>
        <w:rPr>
          <w:sz w:val="20"/>
          <w:szCs w:val="20"/>
          <w:color w:val="auto"/>
        </w:rPr>
      </w:pPr>
      <w:r>
        <w:rPr>
          <w:rFonts w:ascii="Courier New" w:cs="Courier New" w:eastAsia="Courier New" w:hAnsi="Courier New"/>
          <w:sz w:val="15"/>
          <w:szCs w:val="15"/>
          <w:color w:val="auto"/>
        </w:rPr>
        <w:t>[CORPORATE SEAL]</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Attest:</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w:t>
      </w:r>
    </w:p>
    <w:p>
      <w:pPr>
        <w:ind w:left="360"/>
        <w:spacing w:after="0" w:line="237" w:lineRule="auto"/>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303" w:lineRule="exact"/>
        <w:rPr>
          <w:sz w:val="20"/>
          <w:szCs w:val="20"/>
          <w:color w:val="auto"/>
        </w:rPr>
      </w:pPr>
    </w:p>
    <w:p>
      <w:pPr>
        <w:ind w:left="3860"/>
        <w:spacing w:after="0"/>
        <w:rPr>
          <w:sz w:val="20"/>
          <w:szCs w:val="20"/>
          <w:color w:val="auto"/>
        </w:rPr>
      </w:pPr>
      <w:r>
        <w:rPr>
          <w:rFonts w:ascii="Courier New" w:cs="Courier New" w:eastAsia="Courier New" w:hAnsi="Courier New"/>
          <w:sz w:val="15"/>
          <w:szCs w:val="15"/>
          <w:color w:val="auto"/>
        </w:rPr>
        <w:t>COMCAST MO GROUP, INC.</w:t>
      </w:r>
    </w:p>
    <w:p>
      <w:pPr>
        <w:spacing w:after="0" w:line="166" w:lineRule="exact"/>
        <w:rPr>
          <w:sz w:val="20"/>
          <w:szCs w:val="20"/>
          <w:color w:val="auto"/>
        </w:rPr>
      </w:pPr>
    </w:p>
    <w:p>
      <w:pPr>
        <w:ind w:left="3860"/>
        <w:spacing w:after="0"/>
        <w:rPr>
          <w:sz w:val="20"/>
          <w:szCs w:val="20"/>
          <w:color w:val="auto"/>
        </w:rPr>
      </w:pPr>
      <w:r>
        <w:rPr>
          <w:rFonts w:ascii="Courier New" w:cs="Courier New" w:eastAsia="Courier New" w:hAnsi="Courier New"/>
          <w:sz w:val="15"/>
          <w:szCs w:val="15"/>
          <w:color w:val="auto"/>
        </w:rPr>
        <w:t>By:</w:t>
      </w:r>
    </w:p>
    <w:p>
      <w:pPr>
        <w:spacing w:after="0" w:line="5" w:lineRule="exact"/>
        <w:rPr>
          <w:sz w:val="20"/>
          <w:szCs w:val="20"/>
          <w:color w:val="auto"/>
        </w:rPr>
      </w:pPr>
    </w:p>
    <w:p>
      <w:pPr>
        <w:ind w:left="420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4200"/>
        <w:spacing w:after="0"/>
        <w:rPr>
          <w:sz w:val="20"/>
          <w:szCs w:val="20"/>
          <w:color w:val="auto"/>
        </w:rPr>
      </w:pPr>
      <w:r>
        <w:rPr>
          <w:rFonts w:ascii="Courier New" w:cs="Courier New" w:eastAsia="Courier New" w:hAnsi="Courier New"/>
          <w:sz w:val="15"/>
          <w:szCs w:val="15"/>
          <w:color w:val="auto"/>
        </w:rPr>
        <w:t>Name:</w:t>
      </w:r>
    </w:p>
    <w:p>
      <w:pPr>
        <w:ind w:left="4200"/>
        <w:spacing w:after="0" w:line="237" w:lineRule="auto"/>
        <w:rPr>
          <w:sz w:val="20"/>
          <w:szCs w:val="20"/>
          <w:color w:val="auto"/>
        </w:rPr>
      </w:pPr>
      <w:r>
        <w:rPr>
          <w:rFonts w:ascii="Courier New" w:cs="Courier New" w:eastAsia="Courier New" w:hAnsi="Courier New"/>
          <w:sz w:val="15"/>
          <w:szCs w:val="15"/>
          <w:color w:val="auto"/>
        </w:rPr>
        <w:t>Title:</w:t>
      </w:r>
    </w:p>
    <w:p>
      <w:pPr>
        <w:spacing w:after="0" w:line="238" w:lineRule="auto"/>
        <w:rPr>
          <w:sz w:val="20"/>
          <w:szCs w:val="20"/>
          <w:color w:val="auto"/>
        </w:rPr>
      </w:pPr>
      <w:r>
        <w:rPr>
          <w:rFonts w:ascii="Courier New" w:cs="Courier New" w:eastAsia="Courier New" w:hAnsi="Courier New"/>
          <w:sz w:val="15"/>
          <w:szCs w:val="15"/>
          <w:color w:val="auto"/>
        </w:rPr>
        <w:t>[SEAL]</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Attest:</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w:t>
      </w:r>
    </w:p>
    <w:p>
      <w:pPr>
        <w:ind w:left="360"/>
        <w:spacing w:after="0" w:line="237" w:lineRule="auto"/>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66</w:t>
      </w:r>
    </w:p>
    <w:p>
      <w:pPr>
        <w:sectPr>
          <w:pgSz w:w="11900" w:h="16838" w:orient="portrait"/>
          <w:cols w:equalWidth="0" w:num="1">
            <w:col w:w="10239"/>
          </w:cols>
          <w:pgMar w:left="220" w:top="785" w:right="1440" w:bottom="1440" w:gutter="0" w:footer="0" w:header="0"/>
        </w:sectPr>
      </w:pPr>
    </w:p>
    <w:bookmarkStart w:id="145" w:name="page146"/>
    <w:bookmarkEnd w:id="145"/>
    <w:p>
      <w:pPr>
        <w:ind w:left="6040"/>
        <w:spacing w:after="0"/>
        <w:rPr>
          <w:sz w:val="20"/>
          <w:szCs w:val="20"/>
          <w:color w:val="auto"/>
        </w:rPr>
      </w:pPr>
      <w:r>
        <w:rPr>
          <w:rFonts w:ascii="Courier New" w:cs="Courier New" w:eastAsia="Courier New" w:hAnsi="Courier New"/>
          <w:sz w:val="14"/>
          <w:szCs w:val="14"/>
          <w:color w:val="auto"/>
        </w:rPr>
        <w:t>Exhibit 4.6</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40"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COMCAST CORPORATION, as Issuer</w:t>
      </w:r>
    </w:p>
    <w:p>
      <w:pPr>
        <w:spacing w:after="0" w:line="335"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THE CABLE GUARANTORS PARTY HERETO</w:t>
      </w:r>
    </w:p>
    <w:p>
      <w:pPr>
        <w:spacing w:after="0" w:line="166"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and</w:t>
      </w:r>
    </w:p>
    <w:p>
      <w:pPr>
        <w:spacing w:after="0" w:line="166"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THE BANK OF NEW YORK, as Trustee</w:t>
      </w:r>
    </w:p>
    <w:p>
      <w:pPr>
        <w:spacing w:after="0" w:line="335"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INDENTURE</w:t>
      </w:r>
    </w:p>
    <w:p>
      <w:pPr>
        <w:spacing w:after="0" w:line="335"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Dated as of [ ]</w:t>
      </w:r>
    </w:p>
    <w:p>
      <w:pPr>
        <w:spacing w:after="0" w:line="335"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w:t>
      </w:r>
    </w:p>
    <w:p>
      <w:pPr>
        <w:spacing w:after="0" w:line="335"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Subordinated Debt Securities</w:t>
      </w:r>
    </w:p>
    <w:p>
      <w:pPr>
        <w:spacing w:after="0" w:line="34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TABLE OF CONTENTS</w:t>
      </w:r>
    </w:p>
    <w:p>
      <w:pPr>
        <w:spacing w:after="0" w:line="166"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PAGE</w:t>
      </w:r>
    </w:p>
    <w:p>
      <w:pPr>
        <w:jc w:val="right"/>
        <w:ind w:right="3239"/>
        <w:spacing w:after="0" w:line="237" w:lineRule="auto"/>
        <w:rPr>
          <w:sz w:val="20"/>
          <w:szCs w:val="20"/>
          <w:color w:val="auto"/>
        </w:rPr>
      </w:pPr>
      <w:r>
        <w:rPr>
          <w:rFonts w:ascii="Courier New" w:cs="Courier New" w:eastAsia="Courier New" w:hAnsi="Courier New"/>
          <w:sz w:val="15"/>
          <w:szCs w:val="15"/>
          <w:color w:val="auto"/>
        </w:rPr>
        <w:t>----</w:t>
      </w:r>
    </w:p>
    <w:p>
      <w:pPr>
        <w:spacing w:after="0" w:line="167"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ARTICLE 1</w:t>
      </w:r>
    </w:p>
    <w:p>
      <w:pPr>
        <w:ind w:left="3080"/>
        <w:spacing w:after="0" w:line="237" w:lineRule="auto"/>
        <w:rPr>
          <w:sz w:val="20"/>
          <w:szCs w:val="20"/>
          <w:color w:val="auto"/>
        </w:rPr>
      </w:pPr>
      <w:r>
        <w:rPr>
          <w:rFonts w:ascii="Courier New" w:cs="Courier New" w:eastAsia="Courier New" w:hAnsi="Courier New"/>
          <w:sz w:val="15"/>
          <w:szCs w:val="15"/>
          <w:color w:val="auto"/>
        </w:rPr>
        <w:t>DEFINITIONS</w:t>
      </w:r>
    </w:p>
    <w:p>
      <w:pPr>
        <w:spacing w:after="0" w:line="167" w:lineRule="exact"/>
        <w:rPr>
          <w:sz w:val="20"/>
          <w:szCs w:val="20"/>
          <w:color w:val="auto"/>
        </w:rPr>
      </w:pPr>
    </w:p>
    <w:p>
      <w:pPr>
        <w:spacing w:after="0"/>
        <w:tabs>
          <w:tab w:leader="none" w:pos="1300" w:val="left"/>
          <w:tab w:leader="dot" w:pos="6900" w:val="left"/>
        </w:tabs>
        <w:rPr>
          <w:sz w:val="20"/>
          <w:szCs w:val="20"/>
          <w:color w:val="auto"/>
        </w:rPr>
      </w:pPr>
      <w:r>
        <w:rPr>
          <w:rFonts w:ascii="Courier New" w:cs="Courier New" w:eastAsia="Courier New" w:hAnsi="Courier New"/>
          <w:sz w:val="15"/>
          <w:szCs w:val="15"/>
          <w:color w:val="auto"/>
        </w:rPr>
        <w:t>Section 1.01.</w:t>
        <w:tab/>
        <w:t>Certain Terms Defined</w:t>
      </w:r>
      <w:r>
        <w:rPr>
          <w:sz w:val="20"/>
          <w:szCs w:val="20"/>
          <w:color w:val="auto"/>
        </w:rPr>
        <w:tab/>
      </w:r>
      <w:r>
        <w:rPr>
          <w:rFonts w:ascii="Courier New" w:cs="Courier New" w:eastAsia="Courier New" w:hAnsi="Courier New"/>
          <w:sz w:val="12"/>
          <w:szCs w:val="12"/>
          <w:color w:val="auto"/>
        </w:rPr>
        <w:t>1</w:t>
      </w:r>
    </w:p>
    <w:p>
      <w:pPr>
        <w:spacing w:after="0" w:line="335"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ARTICLE 2</w:t>
      </w:r>
    </w:p>
    <w:p>
      <w:pPr>
        <w:ind w:left="3080"/>
        <w:spacing w:after="0" w:line="237" w:lineRule="auto"/>
        <w:rPr>
          <w:sz w:val="20"/>
          <w:szCs w:val="20"/>
          <w:color w:val="auto"/>
        </w:rPr>
      </w:pPr>
      <w:r>
        <w:rPr>
          <w:rFonts w:ascii="Courier New" w:cs="Courier New" w:eastAsia="Courier New" w:hAnsi="Courier New"/>
          <w:sz w:val="15"/>
          <w:szCs w:val="15"/>
          <w:color w:val="auto"/>
        </w:rPr>
        <w:t>SECURITIES</w:t>
      </w:r>
    </w:p>
    <w:p>
      <w:pPr>
        <w:spacing w:after="0" w:line="167" w:lineRule="exact"/>
        <w:rPr>
          <w:sz w:val="20"/>
          <w:szCs w:val="20"/>
          <w:color w:val="auto"/>
        </w:rPr>
      </w:pPr>
    </w:p>
    <w:p>
      <w:pPr>
        <w:spacing w:after="0"/>
        <w:tabs>
          <w:tab w:leader="none" w:pos="1300" w:val="left"/>
          <w:tab w:leader="dot" w:pos="6820" w:val="left"/>
        </w:tabs>
        <w:rPr>
          <w:sz w:val="20"/>
          <w:szCs w:val="20"/>
          <w:color w:val="auto"/>
        </w:rPr>
      </w:pPr>
      <w:r>
        <w:rPr>
          <w:rFonts w:ascii="Courier New" w:cs="Courier New" w:eastAsia="Courier New" w:hAnsi="Courier New"/>
          <w:sz w:val="15"/>
          <w:szCs w:val="15"/>
          <w:color w:val="auto"/>
        </w:rPr>
        <w:t>Section 2.01.</w:t>
        <w:tab/>
        <w:t>Forms Generally</w:t>
      </w:r>
      <w:r>
        <w:rPr>
          <w:sz w:val="20"/>
          <w:szCs w:val="20"/>
          <w:color w:val="auto"/>
        </w:rPr>
        <w:tab/>
      </w:r>
      <w:r>
        <w:rPr>
          <w:rFonts w:ascii="Courier New" w:cs="Courier New" w:eastAsia="Courier New" w:hAnsi="Courier New"/>
          <w:sz w:val="12"/>
          <w:szCs w:val="12"/>
          <w:color w:val="auto"/>
        </w:rPr>
        <w:t>12</w:t>
      </w:r>
    </w:p>
    <w:p>
      <w:pPr>
        <w:spacing w:after="0"/>
        <w:tabs>
          <w:tab w:leader="none" w:pos="1300" w:val="left"/>
          <w:tab w:leader="dot" w:pos="6820" w:val="left"/>
        </w:tabs>
        <w:rPr>
          <w:sz w:val="20"/>
          <w:szCs w:val="20"/>
          <w:color w:val="auto"/>
        </w:rPr>
      </w:pPr>
      <w:r>
        <w:rPr>
          <w:rFonts w:ascii="Courier New" w:cs="Courier New" w:eastAsia="Courier New" w:hAnsi="Courier New"/>
          <w:sz w:val="15"/>
          <w:szCs w:val="15"/>
          <w:color w:val="auto"/>
        </w:rPr>
        <w:t>Section 2.02.</w:t>
        <w:tab/>
        <w:t>Form of Trustee's Certification of Authentication</w:t>
      </w:r>
      <w:r>
        <w:rPr>
          <w:sz w:val="20"/>
          <w:szCs w:val="20"/>
          <w:color w:val="auto"/>
        </w:rPr>
        <w:tab/>
      </w:r>
      <w:r>
        <w:rPr>
          <w:rFonts w:ascii="Courier New" w:cs="Courier New" w:eastAsia="Courier New" w:hAnsi="Courier New"/>
          <w:sz w:val="12"/>
          <w:szCs w:val="12"/>
          <w:color w:val="auto"/>
        </w:rPr>
        <w:t>12</w:t>
      </w:r>
    </w:p>
    <w:p>
      <w:pPr>
        <w:spacing w:after="0"/>
        <w:tabs>
          <w:tab w:leader="none" w:pos="1300" w:val="left"/>
          <w:tab w:leader="dot" w:pos="6820" w:val="left"/>
        </w:tabs>
        <w:rPr>
          <w:sz w:val="20"/>
          <w:szCs w:val="20"/>
          <w:color w:val="auto"/>
        </w:rPr>
      </w:pPr>
      <w:r>
        <w:rPr>
          <w:rFonts w:ascii="Courier New" w:cs="Courier New" w:eastAsia="Courier New" w:hAnsi="Courier New"/>
          <w:sz w:val="15"/>
          <w:szCs w:val="15"/>
          <w:color w:val="auto"/>
        </w:rPr>
        <w:t>Section 2.03.</w:t>
        <w:tab/>
        <w:t>Amount Unlimited; Issuable in Series</w:t>
      </w:r>
      <w:r>
        <w:rPr>
          <w:sz w:val="20"/>
          <w:szCs w:val="20"/>
          <w:color w:val="auto"/>
        </w:rPr>
        <w:tab/>
      </w:r>
      <w:r>
        <w:rPr>
          <w:rFonts w:ascii="Courier New" w:cs="Courier New" w:eastAsia="Courier New" w:hAnsi="Courier New"/>
          <w:sz w:val="12"/>
          <w:szCs w:val="12"/>
          <w:color w:val="auto"/>
        </w:rPr>
        <w:t>13</w:t>
      </w:r>
    </w:p>
    <w:p>
      <w:pPr>
        <w:spacing w:after="0"/>
        <w:tabs>
          <w:tab w:leader="none" w:pos="1300" w:val="left"/>
          <w:tab w:leader="dot" w:pos="6820" w:val="left"/>
        </w:tabs>
        <w:rPr>
          <w:sz w:val="20"/>
          <w:szCs w:val="20"/>
          <w:color w:val="auto"/>
        </w:rPr>
      </w:pPr>
      <w:r>
        <w:rPr>
          <w:rFonts w:ascii="Courier New" w:cs="Courier New" w:eastAsia="Courier New" w:hAnsi="Courier New"/>
          <w:sz w:val="15"/>
          <w:szCs w:val="15"/>
          <w:color w:val="auto"/>
        </w:rPr>
        <w:t>Section 2.04.</w:t>
        <w:tab/>
        <w:t>Authentication and Delivery of Securities</w:t>
      </w:r>
      <w:r>
        <w:rPr>
          <w:sz w:val="20"/>
          <w:szCs w:val="20"/>
          <w:color w:val="auto"/>
        </w:rPr>
        <w:tab/>
      </w:r>
      <w:r>
        <w:rPr>
          <w:rFonts w:ascii="Courier New" w:cs="Courier New" w:eastAsia="Courier New" w:hAnsi="Courier New"/>
          <w:sz w:val="12"/>
          <w:szCs w:val="12"/>
          <w:color w:val="auto"/>
        </w:rPr>
        <w:t>14</w:t>
      </w:r>
    </w:p>
    <w:p>
      <w:pPr>
        <w:spacing w:after="0"/>
        <w:tabs>
          <w:tab w:leader="none" w:pos="1300" w:val="left"/>
          <w:tab w:leader="dot" w:pos="6820" w:val="left"/>
        </w:tabs>
        <w:rPr>
          <w:sz w:val="20"/>
          <w:szCs w:val="20"/>
          <w:color w:val="auto"/>
        </w:rPr>
      </w:pPr>
      <w:r>
        <w:rPr>
          <w:rFonts w:ascii="Courier New" w:cs="Courier New" w:eastAsia="Courier New" w:hAnsi="Courier New"/>
          <w:sz w:val="15"/>
          <w:szCs w:val="15"/>
          <w:color w:val="auto"/>
        </w:rPr>
        <w:t>Section 2.05.</w:t>
        <w:tab/>
        <w:t>Execution of Securities</w:t>
      </w:r>
      <w:r>
        <w:rPr>
          <w:sz w:val="20"/>
          <w:szCs w:val="20"/>
          <w:color w:val="auto"/>
        </w:rPr>
        <w:tab/>
      </w:r>
      <w:r>
        <w:rPr>
          <w:rFonts w:ascii="Courier New" w:cs="Courier New" w:eastAsia="Courier New" w:hAnsi="Courier New"/>
          <w:sz w:val="12"/>
          <w:szCs w:val="12"/>
          <w:color w:val="auto"/>
        </w:rPr>
        <w:t>16</w:t>
      </w:r>
    </w:p>
    <w:p>
      <w:pPr>
        <w:spacing w:after="0"/>
        <w:tabs>
          <w:tab w:leader="none" w:pos="1300" w:val="left"/>
          <w:tab w:leader="dot" w:pos="6820" w:val="left"/>
        </w:tabs>
        <w:rPr>
          <w:sz w:val="20"/>
          <w:szCs w:val="20"/>
          <w:color w:val="auto"/>
        </w:rPr>
      </w:pPr>
      <w:r>
        <w:rPr>
          <w:rFonts w:ascii="Courier New" w:cs="Courier New" w:eastAsia="Courier New" w:hAnsi="Courier New"/>
          <w:sz w:val="15"/>
          <w:szCs w:val="15"/>
          <w:color w:val="auto"/>
        </w:rPr>
        <w:t>Section 2.06.</w:t>
        <w:tab/>
        <w:t>Certificate of Authentication</w:t>
      </w:r>
      <w:r>
        <w:rPr>
          <w:sz w:val="20"/>
          <w:szCs w:val="20"/>
          <w:color w:val="auto"/>
        </w:rPr>
        <w:tab/>
      </w:r>
      <w:r>
        <w:rPr>
          <w:rFonts w:ascii="Courier New" w:cs="Courier New" w:eastAsia="Courier New" w:hAnsi="Courier New"/>
          <w:sz w:val="12"/>
          <w:szCs w:val="12"/>
          <w:color w:val="auto"/>
        </w:rPr>
        <w:t>16</w:t>
      </w:r>
    </w:p>
    <w:p>
      <w:pPr>
        <w:spacing w:after="0"/>
        <w:tabs>
          <w:tab w:leader="none" w:pos="1300" w:val="left"/>
          <w:tab w:leader="dot" w:pos="6820" w:val="left"/>
        </w:tabs>
        <w:rPr>
          <w:sz w:val="20"/>
          <w:szCs w:val="20"/>
          <w:color w:val="auto"/>
        </w:rPr>
      </w:pPr>
      <w:r>
        <w:rPr>
          <w:rFonts w:ascii="Courier New" w:cs="Courier New" w:eastAsia="Courier New" w:hAnsi="Courier New"/>
          <w:sz w:val="15"/>
          <w:szCs w:val="15"/>
          <w:color w:val="auto"/>
        </w:rPr>
        <w:t>Section 2.07.</w:t>
        <w:tab/>
        <w:t>Denomination and Date of Securities; Payments of Interest</w:t>
      </w:r>
      <w:r>
        <w:rPr>
          <w:sz w:val="20"/>
          <w:szCs w:val="20"/>
          <w:color w:val="auto"/>
        </w:rPr>
        <w:tab/>
      </w:r>
      <w:r>
        <w:rPr>
          <w:rFonts w:ascii="Courier New" w:cs="Courier New" w:eastAsia="Courier New" w:hAnsi="Courier New"/>
          <w:sz w:val="12"/>
          <w:szCs w:val="12"/>
          <w:color w:val="auto"/>
        </w:rPr>
        <w:t>16</w:t>
      </w:r>
    </w:p>
    <w:p>
      <w:pPr>
        <w:spacing w:after="0"/>
        <w:tabs>
          <w:tab w:leader="none" w:pos="1300" w:val="left"/>
          <w:tab w:leader="dot" w:pos="6820" w:val="left"/>
        </w:tabs>
        <w:rPr>
          <w:sz w:val="20"/>
          <w:szCs w:val="20"/>
          <w:color w:val="auto"/>
        </w:rPr>
      </w:pPr>
      <w:r>
        <w:rPr>
          <w:rFonts w:ascii="Courier New" w:cs="Courier New" w:eastAsia="Courier New" w:hAnsi="Courier New"/>
          <w:sz w:val="15"/>
          <w:szCs w:val="15"/>
          <w:color w:val="auto"/>
        </w:rPr>
        <w:t>Section 2.08.</w:t>
        <w:tab/>
        <w:t>Registration, Transfer and Exchange</w:t>
      </w:r>
      <w:r>
        <w:rPr>
          <w:sz w:val="20"/>
          <w:szCs w:val="20"/>
          <w:color w:val="auto"/>
        </w:rPr>
        <w:tab/>
      </w:r>
      <w:r>
        <w:rPr>
          <w:rFonts w:ascii="Courier New" w:cs="Courier New" w:eastAsia="Courier New" w:hAnsi="Courier New"/>
          <w:sz w:val="12"/>
          <w:szCs w:val="12"/>
          <w:color w:val="auto"/>
        </w:rPr>
        <w:t>17</w:t>
      </w:r>
    </w:p>
    <w:p>
      <w:pPr>
        <w:spacing w:after="0"/>
        <w:tabs>
          <w:tab w:leader="none" w:pos="1300" w:val="left"/>
          <w:tab w:leader="dot" w:pos="6820" w:val="left"/>
        </w:tabs>
        <w:rPr>
          <w:sz w:val="20"/>
          <w:szCs w:val="20"/>
          <w:color w:val="auto"/>
        </w:rPr>
      </w:pPr>
      <w:r>
        <w:rPr>
          <w:rFonts w:ascii="Courier New" w:cs="Courier New" w:eastAsia="Courier New" w:hAnsi="Courier New"/>
          <w:sz w:val="15"/>
          <w:szCs w:val="15"/>
          <w:color w:val="auto"/>
        </w:rPr>
        <w:t>Section 2.09.</w:t>
        <w:tab/>
        <w:t>Mutilated, Defaced, Destroyed, Lost and Stolen Securities</w:t>
      </w:r>
      <w:r>
        <w:rPr>
          <w:sz w:val="20"/>
          <w:szCs w:val="20"/>
          <w:color w:val="auto"/>
        </w:rPr>
        <w:tab/>
      </w:r>
      <w:r>
        <w:rPr>
          <w:rFonts w:ascii="Courier New" w:cs="Courier New" w:eastAsia="Courier New" w:hAnsi="Courier New"/>
          <w:sz w:val="12"/>
          <w:szCs w:val="12"/>
          <w:color w:val="auto"/>
        </w:rPr>
        <w:t>20</w:t>
      </w:r>
    </w:p>
    <w:p>
      <w:pPr>
        <w:spacing w:after="0"/>
        <w:tabs>
          <w:tab w:leader="none" w:pos="1300" w:val="left"/>
          <w:tab w:leader="dot" w:pos="6820" w:val="left"/>
        </w:tabs>
        <w:rPr>
          <w:sz w:val="20"/>
          <w:szCs w:val="20"/>
          <w:color w:val="auto"/>
        </w:rPr>
      </w:pPr>
      <w:r>
        <w:rPr>
          <w:rFonts w:ascii="Courier New" w:cs="Courier New" w:eastAsia="Courier New" w:hAnsi="Courier New"/>
          <w:sz w:val="15"/>
          <w:szCs w:val="15"/>
          <w:color w:val="auto"/>
        </w:rPr>
        <w:t>Section 2.10.</w:t>
        <w:tab/>
        <w:t>Cancellation of Securities; Destruction Thereof</w:t>
      </w:r>
      <w:r>
        <w:rPr>
          <w:sz w:val="20"/>
          <w:szCs w:val="20"/>
          <w:color w:val="auto"/>
        </w:rPr>
        <w:tab/>
      </w:r>
      <w:r>
        <w:rPr>
          <w:rFonts w:ascii="Courier New" w:cs="Courier New" w:eastAsia="Courier New" w:hAnsi="Courier New"/>
          <w:sz w:val="12"/>
          <w:szCs w:val="12"/>
          <w:color w:val="auto"/>
        </w:rPr>
        <w:t>21</w:t>
      </w:r>
    </w:p>
    <w:p>
      <w:pPr>
        <w:spacing w:after="0"/>
        <w:tabs>
          <w:tab w:leader="none" w:pos="1300" w:val="left"/>
          <w:tab w:leader="dot" w:pos="6820" w:val="left"/>
        </w:tabs>
        <w:rPr>
          <w:sz w:val="20"/>
          <w:szCs w:val="20"/>
          <w:color w:val="auto"/>
        </w:rPr>
      </w:pPr>
      <w:r>
        <w:rPr>
          <w:rFonts w:ascii="Courier New" w:cs="Courier New" w:eastAsia="Courier New" w:hAnsi="Courier New"/>
          <w:sz w:val="15"/>
          <w:szCs w:val="15"/>
          <w:color w:val="auto"/>
        </w:rPr>
        <w:t>Section 2.11.</w:t>
        <w:tab/>
        <w:t>Temporary Securities</w:t>
      </w:r>
      <w:r>
        <w:rPr>
          <w:sz w:val="20"/>
          <w:szCs w:val="20"/>
          <w:color w:val="auto"/>
        </w:rPr>
        <w:tab/>
      </w:r>
      <w:r>
        <w:rPr>
          <w:rFonts w:ascii="Courier New" w:cs="Courier New" w:eastAsia="Courier New" w:hAnsi="Courier New"/>
          <w:sz w:val="12"/>
          <w:szCs w:val="12"/>
          <w:color w:val="auto"/>
        </w:rPr>
        <w:t>22</w:t>
      </w:r>
    </w:p>
    <w:p>
      <w:pPr>
        <w:spacing w:after="0"/>
        <w:tabs>
          <w:tab w:leader="none" w:pos="1300" w:val="left"/>
          <w:tab w:leader="dot" w:pos="6820" w:val="left"/>
        </w:tabs>
        <w:rPr>
          <w:sz w:val="20"/>
          <w:szCs w:val="20"/>
          <w:color w:val="auto"/>
        </w:rPr>
      </w:pPr>
      <w:r>
        <w:rPr>
          <w:rFonts w:ascii="Courier New" w:cs="Courier New" w:eastAsia="Courier New" w:hAnsi="Courier New"/>
          <w:sz w:val="15"/>
          <w:szCs w:val="15"/>
          <w:color w:val="auto"/>
        </w:rPr>
        <w:t>Section 2.12.</w:t>
        <w:tab/>
        <w:t>Computation of Interest</w:t>
      </w:r>
      <w:r>
        <w:rPr>
          <w:sz w:val="20"/>
          <w:szCs w:val="20"/>
          <w:color w:val="auto"/>
        </w:rPr>
        <w:tab/>
      </w:r>
      <w:r>
        <w:rPr>
          <w:rFonts w:ascii="Courier New" w:cs="Courier New" w:eastAsia="Courier New" w:hAnsi="Courier New"/>
          <w:sz w:val="12"/>
          <w:szCs w:val="12"/>
          <w:color w:val="auto"/>
        </w:rPr>
        <w:t>22</w:t>
      </w:r>
    </w:p>
    <w:p>
      <w:pPr>
        <w:spacing w:after="0"/>
        <w:tabs>
          <w:tab w:leader="none" w:pos="1300" w:val="left"/>
          <w:tab w:leader="dot" w:pos="6820" w:val="left"/>
        </w:tabs>
        <w:rPr>
          <w:sz w:val="20"/>
          <w:szCs w:val="20"/>
          <w:color w:val="auto"/>
        </w:rPr>
      </w:pPr>
      <w:r>
        <w:rPr>
          <w:rFonts w:ascii="Courier New" w:cs="Courier New" w:eastAsia="Courier New" w:hAnsi="Courier New"/>
          <w:sz w:val="15"/>
          <w:szCs w:val="15"/>
          <w:color w:val="auto"/>
        </w:rPr>
        <w:t>Section 2.13.</w:t>
        <w:tab/>
        <w:t>Cusip Numbers</w:t>
      </w:r>
      <w:r>
        <w:rPr>
          <w:sz w:val="20"/>
          <w:szCs w:val="20"/>
          <w:color w:val="auto"/>
        </w:rPr>
        <w:tab/>
      </w:r>
      <w:r>
        <w:rPr>
          <w:rFonts w:ascii="Courier New" w:cs="Courier New" w:eastAsia="Courier New" w:hAnsi="Courier New"/>
          <w:sz w:val="12"/>
          <w:szCs w:val="12"/>
          <w:color w:val="auto"/>
        </w:rPr>
        <w:t>22</w:t>
      </w:r>
    </w:p>
    <w:p>
      <w:pPr>
        <w:spacing w:after="0" w:line="335"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ARTICLE 3</w:t>
      </w:r>
    </w:p>
    <w:p>
      <w:pPr>
        <w:ind w:left="880"/>
        <w:spacing w:after="0" w:line="237" w:lineRule="auto"/>
        <w:rPr>
          <w:sz w:val="20"/>
          <w:szCs w:val="20"/>
          <w:color w:val="auto"/>
        </w:rPr>
      </w:pPr>
      <w:r>
        <w:rPr>
          <w:rFonts w:ascii="Courier New" w:cs="Courier New" w:eastAsia="Courier New" w:hAnsi="Courier New"/>
          <w:sz w:val="15"/>
          <w:szCs w:val="15"/>
          <w:color w:val="auto"/>
        </w:rPr>
        <w:t>COVENANTS OF THE ISSUER, THE CABLE GUARANTORS AND THE TRUSTEE</w:t>
      </w:r>
    </w:p>
    <w:p>
      <w:pPr>
        <w:spacing w:after="0" w:line="167" w:lineRule="exact"/>
        <w:rPr>
          <w:sz w:val="20"/>
          <w:szCs w:val="20"/>
          <w:color w:val="auto"/>
        </w:rPr>
      </w:pPr>
    </w:p>
    <w:p>
      <w:pPr>
        <w:spacing w:after="0"/>
        <w:tabs>
          <w:tab w:leader="none" w:pos="1300" w:val="left"/>
          <w:tab w:leader="dot" w:pos="6820" w:val="left"/>
        </w:tabs>
        <w:rPr>
          <w:sz w:val="20"/>
          <w:szCs w:val="20"/>
          <w:color w:val="auto"/>
        </w:rPr>
      </w:pPr>
      <w:r>
        <w:rPr>
          <w:rFonts w:ascii="Courier New" w:cs="Courier New" w:eastAsia="Courier New" w:hAnsi="Courier New"/>
          <w:sz w:val="15"/>
          <w:szCs w:val="15"/>
          <w:color w:val="auto"/>
        </w:rPr>
        <w:t>Section 3.01.</w:t>
        <w:tab/>
        <w:t>Payment of Principal and Interest</w:t>
      </w:r>
      <w:r>
        <w:rPr>
          <w:sz w:val="20"/>
          <w:szCs w:val="20"/>
          <w:color w:val="auto"/>
        </w:rPr>
        <w:tab/>
      </w:r>
      <w:r>
        <w:rPr>
          <w:rFonts w:ascii="Courier New" w:cs="Courier New" w:eastAsia="Courier New" w:hAnsi="Courier New"/>
          <w:sz w:val="12"/>
          <w:szCs w:val="12"/>
          <w:color w:val="auto"/>
        </w:rPr>
        <w:t>22</w:t>
      </w:r>
    </w:p>
    <w:p>
      <w:pPr>
        <w:spacing w:after="0"/>
        <w:tabs>
          <w:tab w:leader="none" w:pos="1300" w:val="left"/>
          <w:tab w:leader="dot" w:pos="6820" w:val="left"/>
        </w:tabs>
        <w:rPr>
          <w:sz w:val="20"/>
          <w:szCs w:val="20"/>
          <w:color w:val="auto"/>
        </w:rPr>
      </w:pPr>
      <w:r>
        <w:rPr>
          <w:rFonts w:ascii="Courier New" w:cs="Courier New" w:eastAsia="Courier New" w:hAnsi="Courier New"/>
          <w:sz w:val="15"/>
          <w:szCs w:val="15"/>
          <w:color w:val="auto"/>
        </w:rPr>
        <w:t>Section 3.02.</w:t>
        <w:tab/>
        <w:t>Offices for Payments, etc</w:t>
      </w:r>
      <w:r>
        <w:rPr>
          <w:sz w:val="20"/>
          <w:szCs w:val="20"/>
          <w:color w:val="auto"/>
        </w:rPr>
        <w:tab/>
      </w:r>
      <w:r>
        <w:rPr>
          <w:rFonts w:ascii="Courier New" w:cs="Courier New" w:eastAsia="Courier New" w:hAnsi="Courier New"/>
          <w:sz w:val="12"/>
          <w:szCs w:val="12"/>
          <w:color w:val="auto"/>
        </w:rPr>
        <w:t>23</w:t>
      </w:r>
    </w:p>
    <w:p>
      <w:pPr>
        <w:spacing w:after="0"/>
        <w:tabs>
          <w:tab w:leader="none" w:pos="1300" w:val="left"/>
          <w:tab w:leader="dot" w:pos="6820" w:val="left"/>
        </w:tabs>
        <w:rPr>
          <w:sz w:val="20"/>
          <w:szCs w:val="20"/>
          <w:color w:val="auto"/>
        </w:rPr>
      </w:pPr>
      <w:r>
        <w:rPr>
          <w:rFonts w:ascii="Courier New" w:cs="Courier New" w:eastAsia="Courier New" w:hAnsi="Courier New"/>
          <w:sz w:val="15"/>
          <w:szCs w:val="15"/>
          <w:color w:val="auto"/>
        </w:rPr>
        <w:t>Section 3.03.</w:t>
        <w:tab/>
        <w:t>Paying Agents</w:t>
      </w:r>
      <w:r>
        <w:rPr>
          <w:sz w:val="20"/>
          <w:szCs w:val="20"/>
          <w:color w:val="auto"/>
        </w:rPr>
        <w:tab/>
      </w:r>
      <w:r>
        <w:rPr>
          <w:rFonts w:ascii="Courier New" w:cs="Courier New" w:eastAsia="Courier New" w:hAnsi="Courier New"/>
          <w:sz w:val="12"/>
          <w:szCs w:val="12"/>
          <w:color w:val="auto"/>
        </w:rPr>
        <w:t>24</w:t>
      </w:r>
    </w:p>
    <w:p>
      <w:pPr>
        <w:spacing w:after="0"/>
        <w:tabs>
          <w:tab w:leader="none" w:pos="1300" w:val="left"/>
          <w:tab w:leader="dot" w:pos="6820" w:val="left"/>
        </w:tabs>
        <w:rPr>
          <w:sz w:val="20"/>
          <w:szCs w:val="20"/>
          <w:color w:val="auto"/>
        </w:rPr>
      </w:pPr>
      <w:r>
        <w:rPr>
          <w:rFonts w:ascii="Courier New" w:cs="Courier New" w:eastAsia="Courier New" w:hAnsi="Courier New"/>
          <w:sz w:val="15"/>
          <w:szCs w:val="15"/>
          <w:color w:val="auto"/>
        </w:rPr>
        <w:t>Section 3.04.</w:t>
        <w:tab/>
        <w:t>Certificate of the Issuer</w:t>
      </w:r>
      <w:r>
        <w:rPr>
          <w:sz w:val="20"/>
          <w:szCs w:val="20"/>
          <w:color w:val="auto"/>
        </w:rPr>
        <w:tab/>
      </w:r>
      <w:r>
        <w:rPr>
          <w:rFonts w:ascii="Courier New" w:cs="Courier New" w:eastAsia="Courier New" w:hAnsi="Courier New"/>
          <w:sz w:val="12"/>
          <w:szCs w:val="12"/>
          <w:color w:val="auto"/>
        </w:rPr>
        <w:t>25</w:t>
      </w:r>
    </w:p>
    <w:p>
      <w:pPr>
        <w:spacing w:after="0"/>
        <w:tabs>
          <w:tab w:leader="none" w:pos="1300" w:val="left"/>
          <w:tab w:leader="dot" w:pos="6820" w:val="left"/>
        </w:tabs>
        <w:rPr>
          <w:sz w:val="20"/>
          <w:szCs w:val="20"/>
          <w:color w:val="auto"/>
        </w:rPr>
      </w:pPr>
      <w:r>
        <w:rPr>
          <w:rFonts w:ascii="Courier New" w:cs="Courier New" w:eastAsia="Courier New" w:hAnsi="Courier New"/>
          <w:sz w:val="15"/>
          <w:szCs w:val="15"/>
          <w:color w:val="auto"/>
        </w:rPr>
        <w:t>Section 3.05.</w:t>
        <w:tab/>
        <w:t>Securityholders Lists</w:t>
      </w:r>
      <w:r>
        <w:rPr>
          <w:sz w:val="20"/>
          <w:szCs w:val="20"/>
          <w:color w:val="auto"/>
        </w:rPr>
        <w:tab/>
      </w:r>
      <w:r>
        <w:rPr>
          <w:rFonts w:ascii="Courier New" w:cs="Courier New" w:eastAsia="Courier New" w:hAnsi="Courier New"/>
          <w:sz w:val="12"/>
          <w:szCs w:val="12"/>
          <w:color w:val="auto"/>
        </w:rPr>
        <w:t>25</w:t>
      </w:r>
    </w:p>
    <w:p>
      <w:pPr>
        <w:spacing w:after="0"/>
        <w:tabs>
          <w:tab w:leader="none" w:pos="1300" w:val="left"/>
          <w:tab w:leader="dot" w:pos="6820" w:val="left"/>
        </w:tabs>
        <w:rPr>
          <w:sz w:val="20"/>
          <w:szCs w:val="20"/>
          <w:color w:val="auto"/>
        </w:rPr>
      </w:pPr>
      <w:r>
        <w:rPr>
          <w:rFonts w:ascii="Courier New" w:cs="Courier New" w:eastAsia="Courier New" w:hAnsi="Courier New"/>
          <w:sz w:val="15"/>
          <w:szCs w:val="15"/>
          <w:color w:val="auto"/>
        </w:rPr>
        <w:t>Section 3.06.</w:t>
        <w:tab/>
        <w:t>Reports by the Issuer</w:t>
      </w:r>
      <w:r>
        <w:rPr>
          <w:sz w:val="20"/>
          <w:szCs w:val="20"/>
          <w:color w:val="auto"/>
        </w:rPr>
        <w:tab/>
      </w:r>
      <w:r>
        <w:rPr>
          <w:rFonts w:ascii="Courier New" w:cs="Courier New" w:eastAsia="Courier New" w:hAnsi="Courier New"/>
          <w:sz w:val="12"/>
          <w:szCs w:val="12"/>
          <w:color w:val="auto"/>
        </w:rPr>
        <w:t>26</w:t>
      </w:r>
    </w:p>
    <w:p>
      <w:pPr>
        <w:spacing w:after="0"/>
        <w:tabs>
          <w:tab w:leader="none" w:pos="1300" w:val="left"/>
          <w:tab w:leader="dot" w:pos="6820" w:val="left"/>
        </w:tabs>
        <w:rPr>
          <w:sz w:val="20"/>
          <w:szCs w:val="20"/>
          <w:color w:val="auto"/>
        </w:rPr>
      </w:pPr>
      <w:r>
        <w:rPr>
          <w:rFonts w:ascii="Courier New" w:cs="Courier New" w:eastAsia="Courier New" w:hAnsi="Courier New"/>
          <w:sz w:val="15"/>
          <w:szCs w:val="15"/>
          <w:color w:val="auto"/>
        </w:rPr>
        <w:t>Section 3.07.</w:t>
        <w:tab/>
        <w:t>Corporate Existence</w:t>
      </w:r>
      <w:r>
        <w:rPr>
          <w:sz w:val="20"/>
          <w:szCs w:val="20"/>
          <w:color w:val="auto"/>
        </w:rPr>
        <w:tab/>
      </w:r>
      <w:r>
        <w:rPr>
          <w:rFonts w:ascii="Courier New" w:cs="Courier New" w:eastAsia="Courier New" w:hAnsi="Courier New"/>
          <w:sz w:val="12"/>
          <w:szCs w:val="12"/>
          <w:color w:val="auto"/>
        </w:rPr>
        <w:t>26</w:t>
      </w:r>
    </w:p>
    <w:p>
      <w:pPr>
        <w:spacing w:after="0"/>
        <w:tabs>
          <w:tab w:leader="none" w:pos="1300" w:val="left"/>
          <w:tab w:leader="dot" w:pos="6820" w:val="left"/>
        </w:tabs>
        <w:rPr>
          <w:sz w:val="20"/>
          <w:szCs w:val="20"/>
          <w:color w:val="auto"/>
        </w:rPr>
      </w:pPr>
      <w:r>
        <w:rPr>
          <w:rFonts w:ascii="Courier New" w:cs="Courier New" w:eastAsia="Courier New" w:hAnsi="Courier New"/>
          <w:sz w:val="15"/>
          <w:szCs w:val="15"/>
          <w:color w:val="auto"/>
        </w:rPr>
        <w:t>Section 3.08.</w:t>
        <w:tab/>
        <w:t>Restrictions on Mergers, Sales and Consolidations</w:t>
      </w:r>
      <w:r>
        <w:rPr>
          <w:sz w:val="20"/>
          <w:szCs w:val="20"/>
          <w:color w:val="auto"/>
        </w:rPr>
        <w:tab/>
      </w:r>
      <w:r>
        <w:rPr>
          <w:rFonts w:ascii="Courier New" w:cs="Courier New" w:eastAsia="Courier New" w:hAnsi="Courier New"/>
          <w:sz w:val="12"/>
          <w:szCs w:val="12"/>
          <w:color w:val="auto"/>
        </w:rPr>
        <w:t>26</w:t>
      </w:r>
    </w:p>
    <w:p>
      <w:pPr>
        <w:spacing w:after="0"/>
        <w:tabs>
          <w:tab w:leader="none" w:pos="1300" w:val="left"/>
          <w:tab w:leader="dot" w:pos="6820" w:val="left"/>
        </w:tabs>
        <w:rPr>
          <w:sz w:val="20"/>
          <w:szCs w:val="20"/>
          <w:color w:val="auto"/>
        </w:rPr>
      </w:pPr>
      <w:r>
        <w:rPr>
          <w:rFonts w:ascii="Courier New" w:cs="Courier New" w:eastAsia="Courier New" w:hAnsi="Courier New"/>
          <w:sz w:val="15"/>
          <w:szCs w:val="15"/>
          <w:color w:val="auto"/>
        </w:rPr>
        <w:t>Section 3.09.</w:t>
        <w:tab/>
        <w:t>Further Assurances</w:t>
      </w:r>
      <w:r>
        <w:rPr>
          <w:sz w:val="20"/>
          <w:szCs w:val="20"/>
          <w:color w:val="auto"/>
        </w:rPr>
        <w:tab/>
      </w:r>
      <w:r>
        <w:rPr>
          <w:rFonts w:ascii="Courier New" w:cs="Courier New" w:eastAsia="Courier New" w:hAnsi="Courier New"/>
          <w:sz w:val="12"/>
          <w:szCs w:val="12"/>
          <w:color w:val="auto"/>
        </w:rPr>
        <w:t>27</w:t>
      </w:r>
    </w:p>
    <w:p>
      <w:pPr>
        <w:spacing w:after="0"/>
        <w:tabs>
          <w:tab w:leader="none" w:pos="1300" w:val="left"/>
          <w:tab w:leader="dot" w:pos="6820" w:val="left"/>
        </w:tabs>
        <w:rPr>
          <w:sz w:val="20"/>
          <w:szCs w:val="20"/>
          <w:color w:val="auto"/>
        </w:rPr>
      </w:pPr>
      <w:r>
        <w:rPr>
          <w:rFonts w:ascii="Courier New" w:cs="Courier New" w:eastAsia="Courier New" w:hAnsi="Courier New"/>
          <w:sz w:val="15"/>
          <w:szCs w:val="15"/>
          <w:color w:val="auto"/>
        </w:rPr>
        <w:t>Section 3.10.</w:t>
        <w:tab/>
        <w:t>Limitation on Liens</w:t>
      </w:r>
      <w:r>
        <w:rPr>
          <w:sz w:val="20"/>
          <w:szCs w:val="20"/>
          <w:color w:val="auto"/>
        </w:rPr>
        <w:tab/>
      </w:r>
      <w:r>
        <w:rPr>
          <w:rFonts w:ascii="Courier New" w:cs="Courier New" w:eastAsia="Courier New" w:hAnsi="Courier New"/>
          <w:sz w:val="12"/>
          <w:szCs w:val="12"/>
          <w:color w:val="auto"/>
        </w:rPr>
        <w:t>27</w:t>
      </w:r>
    </w:p>
    <w:p>
      <w:pPr>
        <w:spacing w:after="0"/>
        <w:tabs>
          <w:tab w:leader="none" w:pos="1300" w:val="left"/>
          <w:tab w:leader="dot" w:pos="6820" w:val="left"/>
        </w:tabs>
        <w:rPr>
          <w:sz w:val="20"/>
          <w:szCs w:val="20"/>
          <w:color w:val="auto"/>
        </w:rPr>
      </w:pPr>
      <w:r>
        <w:rPr>
          <w:rFonts w:ascii="Courier New" w:cs="Courier New" w:eastAsia="Courier New" w:hAnsi="Courier New"/>
          <w:sz w:val="15"/>
          <w:szCs w:val="15"/>
          <w:color w:val="auto"/>
        </w:rPr>
        <w:t>Section 3.11.</w:t>
        <w:tab/>
        <w:t>Limitation on Sale and Leaseback Transactions</w:t>
      </w:r>
      <w:r>
        <w:rPr>
          <w:sz w:val="20"/>
          <w:szCs w:val="20"/>
          <w:color w:val="auto"/>
        </w:rPr>
        <w:tab/>
      </w:r>
      <w:r>
        <w:rPr>
          <w:rFonts w:ascii="Courier New" w:cs="Courier New" w:eastAsia="Courier New" w:hAnsi="Courier New"/>
          <w:sz w:val="12"/>
          <w:szCs w:val="12"/>
          <w:color w:val="auto"/>
        </w:rPr>
        <w:t>27</w:t>
      </w:r>
    </w:p>
    <w:p>
      <w:pPr>
        <w:sectPr>
          <w:pgSz w:w="11900" w:h="16838" w:orient="portrait"/>
          <w:cols w:equalWidth="0" w:num="1">
            <w:col w:w="10239"/>
          </w:cols>
          <w:pgMar w:left="220" w:top="142" w:right="1440" w:bottom="1440" w:gutter="0" w:footer="0" w:header="0"/>
        </w:sectPr>
      </w:pPr>
    </w:p>
    <w:bookmarkStart w:id="146" w:name="page147"/>
    <w:bookmarkEnd w:id="146"/>
    <w:p>
      <w:pPr>
        <w:jc w:val="center"/>
        <w:ind w:right="3139"/>
        <w:spacing w:after="0"/>
        <w:rPr>
          <w:sz w:val="20"/>
          <w:szCs w:val="20"/>
          <w:color w:val="auto"/>
        </w:rPr>
      </w:pPr>
      <w:r>
        <w:rPr>
          <w:rFonts w:ascii="Courier New" w:cs="Courier New" w:eastAsia="Courier New" w:hAnsi="Courier New"/>
          <w:sz w:val="15"/>
          <w:szCs w:val="15"/>
          <w:color w:val="auto"/>
        </w:rPr>
        <w:t>ARTICLE 4</w:t>
      </w:r>
    </w:p>
    <w:p>
      <w:pPr>
        <w:jc w:val="center"/>
        <w:ind w:right="3139"/>
        <w:spacing w:after="0" w:line="237" w:lineRule="auto"/>
        <w:rPr>
          <w:sz w:val="20"/>
          <w:szCs w:val="20"/>
          <w:color w:val="auto"/>
        </w:rPr>
      </w:pPr>
      <w:r>
        <w:rPr>
          <w:rFonts w:ascii="Courier New" w:cs="Courier New" w:eastAsia="Courier New" w:hAnsi="Courier New"/>
          <w:sz w:val="15"/>
          <w:szCs w:val="15"/>
          <w:color w:val="auto"/>
        </w:rPr>
        <w:t>REMEDIES OF THE TRUSTEE AND SECURITYHOLDERS ON EVENT OF DEFAULT</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240" w:type="dxa"/>
            <w:vAlign w:val="bottom"/>
          </w:tcPr>
          <w:p>
            <w:pPr>
              <w:spacing w:after="0"/>
              <w:rPr>
                <w:sz w:val="20"/>
                <w:szCs w:val="20"/>
                <w:color w:val="auto"/>
              </w:rPr>
            </w:pPr>
            <w:r>
              <w:rPr>
                <w:rFonts w:ascii="Courier New" w:cs="Courier New" w:eastAsia="Courier New" w:hAnsi="Courier New"/>
                <w:sz w:val="15"/>
                <w:szCs w:val="15"/>
                <w:color w:val="auto"/>
              </w:rPr>
              <w:t>Section 4.01.</w:t>
            </w:r>
          </w:p>
        </w:tc>
        <w:tc>
          <w:tcPr>
            <w:tcW w:w="560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Event of Default Defined; Acceleration of Maturity; Waiver</w:t>
            </w:r>
          </w:p>
        </w:tc>
        <w:tc>
          <w:tcPr>
            <w:tcW w:w="160" w:type="dxa"/>
            <w:vAlign w:val="bottom"/>
          </w:tcPr>
          <w:p>
            <w:pPr>
              <w:spacing w:after="0"/>
              <w:rPr>
                <w:sz w:val="14"/>
                <w:szCs w:val="14"/>
                <w:color w:val="auto"/>
              </w:rPr>
            </w:pPr>
          </w:p>
        </w:tc>
      </w:tr>
      <w:tr>
        <w:trPr>
          <w:trHeight w:val="168"/>
        </w:trPr>
        <w:tc>
          <w:tcPr>
            <w:tcW w:w="1240" w:type="dxa"/>
            <w:vAlign w:val="bottom"/>
          </w:tcPr>
          <w:p>
            <w:pPr>
              <w:spacing w:after="0"/>
              <w:rPr>
                <w:sz w:val="14"/>
                <w:szCs w:val="14"/>
                <w:color w:val="auto"/>
              </w:rPr>
            </w:pPr>
          </w:p>
        </w:tc>
        <w:tc>
          <w:tcPr>
            <w:tcW w:w="560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w w:val="96"/>
              </w:rPr>
              <w:t>of Default.....................................................</w:t>
            </w:r>
          </w:p>
        </w:tc>
        <w:tc>
          <w:tcPr>
            <w:tcW w:w="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77"/>
              </w:rPr>
              <w:t>27</w:t>
            </w:r>
          </w:p>
        </w:tc>
      </w:tr>
      <w:tr>
        <w:trPr>
          <w:trHeight w:val="168"/>
        </w:trPr>
        <w:tc>
          <w:tcPr>
            <w:tcW w:w="1240" w:type="dxa"/>
            <w:vAlign w:val="bottom"/>
          </w:tcPr>
          <w:p>
            <w:pPr>
              <w:spacing w:after="0" w:line="168" w:lineRule="exact"/>
              <w:rPr>
                <w:sz w:val="20"/>
                <w:szCs w:val="20"/>
                <w:color w:val="auto"/>
              </w:rPr>
            </w:pPr>
            <w:r>
              <w:rPr>
                <w:rFonts w:ascii="Courier New" w:cs="Courier New" w:eastAsia="Courier New" w:hAnsi="Courier New"/>
                <w:sz w:val="15"/>
                <w:szCs w:val="15"/>
                <w:color w:val="auto"/>
              </w:rPr>
              <w:t>Section 4.02.</w:t>
            </w:r>
          </w:p>
        </w:tc>
        <w:tc>
          <w:tcPr>
            <w:tcW w:w="5760" w:type="dxa"/>
            <w:vAlign w:val="bottom"/>
            <w:gridSpan w:val="3"/>
          </w:tcPr>
          <w:p>
            <w:pPr>
              <w:ind w:left="80"/>
              <w:spacing w:after="0" w:line="168" w:lineRule="exact"/>
              <w:rPr>
                <w:sz w:val="20"/>
                <w:szCs w:val="20"/>
                <w:color w:val="auto"/>
              </w:rPr>
            </w:pPr>
            <w:r>
              <w:rPr>
                <w:rFonts w:ascii="Courier New" w:cs="Courier New" w:eastAsia="Courier New" w:hAnsi="Courier New"/>
                <w:sz w:val="15"/>
                <w:szCs w:val="15"/>
                <w:color w:val="auto"/>
                <w:w w:val="96"/>
              </w:rPr>
              <w:t>Collection of Indebtedness by Trustee; Trustee May Prove Debt..30</w:t>
            </w:r>
          </w:p>
        </w:tc>
      </w:tr>
      <w:tr>
        <w:trPr>
          <w:trHeight w:val="168"/>
        </w:trPr>
        <w:tc>
          <w:tcPr>
            <w:tcW w:w="1240" w:type="dxa"/>
            <w:vAlign w:val="bottom"/>
          </w:tcPr>
          <w:p>
            <w:pPr>
              <w:spacing w:after="0" w:line="168" w:lineRule="exact"/>
              <w:rPr>
                <w:sz w:val="20"/>
                <w:szCs w:val="20"/>
                <w:color w:val="auto"/>
              </w:rPr>
            </w:pPr>
            <w:r>
              <w:rPr>
                <w:rFonts w:ascii="Courier New" w:cs="Courier New" w:eastAsia="Courier New" w:hAnsi="Courier New"/>
                <w:sz w:val="15"/>
                <w:szCs w:val="15"/>
                <w:color w:val="auto"/>
              </w:rPr>
              <w:t>Section 4.03.</w:t>
            </w:r>
          </w:p>
        </w:tc>
        <w:tc>
          <w:tcPr>
            <w:tcW w:w="560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w w:val="96"/>
              </w:rPr>
              <w:t>Application of Proceeds........................................</w:t>
            </w:r>
          </w:p>
        </w:tc>
        <w:tc>
          <w:tcPr>
            <w:tcW w:w="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77"/>
              </w:rPr>
              <w:t>32</w:t>
            </w:r>
          </w:p>
        </w:tc>
      </w:tr>
      <w:tr>
        <w:trPr>
          <w:trHeight w:val="168"/>
        </w:trPr>
        <w:tc>
          <w:tcPr>
            <w:tcW w:w="1240" w:type="dxa"/>
            <w:vAlign w:val="bottom"/>
          </w:tcPr>
          <w:p>
            <w:pPr>
              <w:spacing w:after="0" w:line="168" w:lineRule="exact"/>
              <w:rPr>
                <w:sz w:val="20"/>
                <w:szCs w:val="20"/>
                <w:color w:val="auto"/>
              </w:rPr>
            </w:pPr>
            <w:r>
              <w:rPr>
                <w:rFonts w:ascii="Courier New" w:cs="Courier New" w:eastAsia="Courier New" w:hAnsi="Courier New"/>
                <w:sz w:val="15"/>
                <w:szCs w:val="15"/>
                <w:color w:val="auto"/>
              </w:rPr>
              <w:t>Section 4.04.</w:t>
            </w:r>
          </w:p>
        </w:tc>
        <w:tc>
          <w:tcPr>
            <w:tcW w:w="560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w w:val="96"/>
              </w:rPr>
              <w:t>Suits for Enforcement..........................................</w:t>
            </w:r>
          </w:p>
        </w:tc>
        <w:tc>
          <w:tcPr>
            <w:tcW w:w="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77"/>
              </w:rPr>
              <w:t>33</w:t>
            </w:r>
          </w:p>
        </w:tc>
      </w:tr>
      <w:tr>
        <w:trPr>
          <w:trHeight w:val="168"/>
        </w:trPr>
        <w:tc>
          <w:tcPr>
            <w:tcW w:w="1240" w:type="dxa"/>
            <w:vAlign w:val="bottom"/>
          </w:tcPr>
          <w:p>
            <w:pPr>
              <w:spacing w:after="0" w:line="168" w:lineRule="exact"/>
              <w:rPr>
                <w:sz w:val="20"/>
                <w:szCs w:val="20"/>
                <w:color w:val="auto"/>
              </w:rPr>
            </w:pPr>
            <w:r>
              <w:rPr>
                <w:rFonts w:ascii="Courier New" w:cs="Courier New" w:eastAsia="Courier New" w:hAnsi="Courier New"/>
                <w:sz w:val="15"/>
                <w:szCs w:val="15"/>
                <w:color w:val="auto"/>
              </w:rPr>
              <w:t>Section 4.05.</w:t>
            </w:r>
          </w:p>
        </w:tc>
        <w:tc>
          <w:tcPr>
            <w:tcW w:w="560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w w:val="96"/>
              </w:rPr>
              <w:t>Restoration of Rights on Abandonment of Proceedings............</w:t>
            </w:r>
          </w:p>
        </w:tc>
        <w:tc>
          <w:tcPr>
            <w:tcW w:w="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77"/>
              </w:rPr>
              <w:t>33</w:t>
            </w:r>
          </w:p>
        </w:tc>
      </w:tr>
      <w:tr>
        <w:trPr>
          <w:trHeight w:val="168"/>
        </w:trPr>
        <w:tc>
          <w:tcPr>
            <w:tcW w:w="1240" w:type="dxa"/>
            <w:vAlign w:val="bottom"/>
          </w:tcPr>
          <w:p>
            <w:pPr>
              <w:spacing w:after="0" w:line="168" w:lineRule="exact"/>
              <w:rPr>
                <w:sz w:val="20"/>
                <w:szCs w:val="20"/>
                <w:color w:val="auto"/>
              </w:rPr>
            </w:pPr>
            <w:r>
              <w:rPr>
                <w:rFonts w:ascii="Courier New" w:cs="Courier New" w:eastAsia="Courier New" w:hAnsi="Courier New"/>
                <w:sz w:val="15"/>
                <w:szCs w:val="15"/>
                <w:color w:val="auto"/>
              </w:rPr>
              <w:t>Section 4.06.</w:t>
            </w:r>
          </w:p>
        </w:tc>
        <w:tc>
          <w:tcPr>
            <w:tcW w:w="560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w w:val="96"/>
              </w:rPr>
              <w:t>Limitations on Suits by Securityholder.........................</w:t>
            </w:r>
          </w:p>
        </w:tc>
        <w:tc>
          <w:tcPr>
            <w:tcW w:w="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77"/>
              </w:rPr>
              <w:t>34</w:t>
            </w:r>
          </w:p>
        </w:tc>
      </w:tr>
      <w:tr>
        <w:trPr>
          <w:trHeight w:val="168"/>
        </w:trPr>
        <w:tc>
          <w:tcPr>
            <w:tcW w:w="1240" w:type="dxa"/>
            <w:vAlign w:val="bottom"/>
          </w:tcPr>
          <w:p>
            <w:pPr>
              <w:spacing w:after="0" w:line="168" w:lineRule="exact"/>
              <w:rPr>
                <w:sz w:val="20"/>
                <w:szCs w:val="20"/>
                <w:color w:val="auto"/>
              </w:rPr>
            </w:pPr>
            <w:r>
              <w:rPr>
                <w:rFonts w:ascii="Courier New" w:cs="Courier New" w:eastAsia="Courier New" w:hAnsi="Courier New"/>
                <w:sz w:val="15"/>
                <w:szCs w:val="15"/>
                <w:color w:val="auto"/>
              </w:rPr>
              <w:t>Section 4.07.</w:t>
            </w:r>
          </w:p>
        </w:tc>
        <w:tc>
          <w:tcPr>
            <w:tcW w:w="560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Unconditional Right of Securityholders to Institute</w:t>
            </w:r>
          </w:p>
        </w:tc>
        <w:tc>
          <w:tcPr>
            <w:tcW w:w="160" w:type="dxa"/>
            <w:vAlign w:val="bottom"/>
          </w:tcPr>
          <w:p>
            <w:pPr>
              <w:spacing w:after="0"/>
              <w:rPr>
                <w:sz w:val="14"/>
                <w:szCs w:val="14"/>
                <w:color w:val="auto"/>
              </w:rPr>
            </w:pPr>
          </w:p>
        </w:tc>
      </w:tr>
      <w:tr>
        <w:trPr>
          <w:trHeight w:val="168"/>
        </w:trPr>
        <w:tc>
          <w:tcPr>
            <w:tcW w:w="1240" w:type="dxa"/>
            <w:vAlign w:val="bottom"/>
          </w:tcPr>
          <w:p>
            <w:pPr>
              <w:spacing w:after="0"/>
              <w:rPr>
                <w:sz w:val="14"/>
                <w:szCs w:val="14"/>
                <w:color w:val="auto"/>
              </w:rPr>
            </w:pPr>
          </w:p>
        </w:tc>
        <w:tc>
          <w:tcPr>
            <w:tcW w:w="560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w w:val="96"/>
              </w:rPr>
              <w:t>Certain Suits..................................................</w:t>
            </w:r>
          </w:p>
        </w:tc>
        <w:tc>
          <w:tcPr>
            <w:tcW w:w="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77"/>
              </w:rPr>
              <w:t>34</w:t>
            </w:r>
          </w:p>
        </w:tc>
      </w:tr>
      <w:tr>
        <w:trPr>
          <w:trHeight w:val="168"/>
        </w:trPr>
        <w:tc>
          <w:tcPr>
            <w:tcW w:w="1240" w:type="dxa"/>
            <w:vAlign w:val="bottom"/>
          </w:tcPr>
          <w:p>
            <w:pPr>
              <w:spacing w:after="0" w:line="168" w:lineRule="exact"/>
              <w:rPr>
                <w:sz w:val="20"/>
                <w:szCs w:val="20"/>
                <w:color w:val="auto"/>
              </w:rPr>
            </w:pPr>
            <w:r>
              <w:rPr>
                <w:rFonts w:ascii="Courier New" w:cs="Courier New" w:eastAsia="Courier New" w:hAnsi="Courier New"/>
                <w:sz w:val="15"/>
                <w:szCs w:val="15"/>
                <w:color w:val="auto"/>
              </w:rPr>
              <w:t>Section 4.08.</w:t>
            </w:r>
          </w:p>
        </w:tc>
        <w:tc>
          <w:tcPr>
            <w:tcW w:w="560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Powers and Remedies Cumulative; Delay or Omission Not Waiver</w:t>
            </w:r>
          </w:p>
        </w:tc>
        <w:tc>
          <w:tcPr>
            <w:tcW w:w="160" w:type="dxa"/>
            <w:vAlign w:val="bottom"/>
          </w:tcPr>
          <w:p>
            <w:pPr>
              <w:spacing w:after="0"/>
              <w:rPr>
                <w:sz w:val="14"/>
                <w:szCs w:val="14"/>
                <w:color w:val="auto"/>
              </w:rPr>
            </w:pPr>
          </w:p>
        </w:tc>
      </w:tr>
      <w:tr>
        <w:trPr>
          <w:trHeight w:val="168"/>
        </w:trPr>
        <w:tc>
          <w:tcPr>
            <w:tcW w:w="1240" w:type="dxa"/>
            <w:vAlign w:val="bottom"/>
          </w:tcPr>
          <w:p>
            <w:pPr>
              <w:spacing w:after="0"/>
              <w:rPr>
                <w:sz w:val="14"/>
                <w:szCs w:val="14"/>
                <w:color w:val="auto"/>
              </w:rPr>
            </w:pPr>
          </w:p>
        </w:tc>
        <w:tc>
          <w:tcPr>
            <w:tcW w:w="560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w w:val="96"/>
              </w:rPr>
              <w:t>of Default.....................................................</w:t>
            </w:r>
          </w:p>
        </w:tc>
        <w:tc>
          <w:tcPr>
            <w:tcW w:w="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77"/>
              </w:rPr>
              <w:t>34</w:t>
            </w:r>
          </w:p>
        </w:tc>
      </w:tr>
      <w:tr>
        <w:trPr>
          <w:trHeight w:val="168"/>
        </w:trPr>
        <w:tc>
          <w:tcPr>
            <w:tcW w:w="1240" w:type="dxa"/>
            <w:vAlign w:val="bottom"/>
          </w:tcPr>
          <w:p>
            <w:pPr>
              <w:spacing w:after="0" w:line="168" w:lineRule="exact"/>
              <w:rPr>
                <w:sz w:val="20"/>
                <w:szCs w:val="20"/>
                <w:color w:val="auto"/>
              </w:rPr>
            </w:pPr>
            <w:r>
              <w:rPr>
                <w:rFonts w:ascii="Courier New" w:cs="Courier New" w:eastAsia="Courier New" w:hAnsi="Courier New"/>
                <w:sz w:val="15"/>
                <w:szCs w:val="15"/>
                <w:color w:val="auto"/>
              </w:rPr>
              <w:t>Section 4.09.</w:t>
            </w:r>
          </w:p>
        </w:tc>
        <w:tc>
          <w:tcPr>
            <w:tcW w:w="560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w w:val="96"/>
              </w:rPr>
              <w:t>Control by Securityholders.....................................</w:t>
            </w:r>
          </w:p>
        </w:tc>
        <w:tc>
          <w:tcPr>
            <w:tcW w:w="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77"/>
              </w:rPr>
              <w:t>35</w:t>
            </w:r>
          </w:p>
        </w:tc>
      </w:tr>
      <w:tr>
        <w:trPr>
          <w:trHeight w:val="168"/>
        </w:trPr>
        <w:tc>
          <w:tcPr>
            <w:tcW w:w="1240" w:type="dxa"/>
            <w:vAlign w:val="bottom"/>
          </w:tcPr>
          <w:p>
            <w:pPr>
              <w:spacing w:after="0" w:line="168" w:lineRule="exact"/>
              <w:rPr>
                <w:sz w:val="20"/>
                <w:szCs w:val="20"/>
                <w:color w:val="auto"/>
              </w:rPr>
            </w:pPr>
            <w:r>
              <w:rPr>
                <w:rFonts w:ascii="Courier New" w:cs="Courier New" w:eastAsia="Courier New" w:hAnsi="Courier New"/>
                <w:sz w:val="15"/>
                <w:szCs w:val="15"/>
                <w:color w:val="auto"/>
              </w:rPr>
              <w:t>Section 4.10.</w:t>
            </w:r>
          </w:p>
        </w:tc>
        <w:tc>
          <w:tcPr>
            <w:tcW w:w="560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w w:val="96"/>
              </w:rPr>
              <w:t>Waiver of Past Defaults........................................</w:t>
            </w:r>
          </w:p>
        </w:tc>
        <w:tc>
          <w:tcPr>
            <w:tcW w:w="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77"/>
              </w:rPr>
              <w:t>35</w:t>
            </w:r>
          </w:p>
        </w:tc>
      </w:tr>
      <w:tr>
        <w:trPr>
          <w:trHeight w:val="168"/>
        </w:trPr>
        <w:tc>
          <w:tcPr>
            <w:tcW w:w="1240" w:type="dxa"/>
            <w:vAlign w:val="bottom"/>
          </w:tcPr>
          <w:p>
            <w:pPr>
              <w:spacing w:after="0" w:line="168" w:lineRule="exact"/>
              <w:rPr>
                <w:sz w:val="20"/>
                <w:szCs w:val="20"/>
                <w:color w:val="auto"/>
              </w:rPr>
            </w:pPr>
            <w:r>
              <w:rPr>
                <w:rFonts w:ascii="Courier New" w:cs="Courier New" w:eastAsia="Courier New" w:hAnsi="Courier New"/>
                <w:sz w:val="15"/>
                <w:szCs w:val="15"/>
                <w:color w:val="auto"/>
              </w:rPr>
              <w:t>Section 4.11.</w:t>
            </w:r>
          </w:p>
        </w:tc>
        <w:tc>
          <w:tcPr>
            <w:tcW w:w="560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w w:val="98"/>
              </w:rPr>
              <w:t>Trustee to Give Notice of Default, But May Withhold in Certain</w:t>
            </w:r>
          </w:p>
        </w:tc>
        <w:tc>
          <w:tcPr>
            <w:tcW w:w="160" w:type="dxa"/>
            <w:vAlign w:val="bottom"/>
          </w:tcPr>
          <w:p>
            <w:pPr>
              <w:spacing w:after="0"/>
              <w:rPr>
                <w:sz w:val="14"/>
                <w:szCs w:val="14"/>
                <w:color w:val="auto"/>
              </w:rPr>
            </w:pPr>
          </w:p>
        </w:tc>
      </w:tr>
      <w:tr>
        <w:trPr>
          <w:trHeight w:val="168"/>
        </w:trPr>
        <w:tc>
          <w:tcPr>
            <w:tcW w:w="1240" w:type="dxa"/>
            <w:vAlign w:val="bottom"/>
          </w:tcPr>
          <w:p>
            <w:pPr>
              <w:spacing w:after="0"/>
              <w:rPr>
                <w:sz w:val="14"/>
                <w:szCs w:val="14"/>
                <w:color w:val="auto"/>
              </w:rPr>
            </w:pPr>
          </w:p>
        </w:tc>
        <w:tc>
          <w:tcPr>
            <w:tcW w:w="560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w w:val="96"/>
              </w:rPr>
              <w:t>Circumstances..................................................</w:t>
            </w:r>
          </w:p>
        </w:tc>
        <w:tc>
          <w:tcPr>
            <w:tcW w:w="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77"/>
              </w:rPr>
              <w:t>36</w:t>
            </w:r>
          </w:p>
        </w:tc>
      </w:tr>
      <w:tr>
        <w:trPr>
          <w:trHeight w:val="168"/>
        </w:trPr>
        <w:tc>
          <w:tcPr>
            <w:tcW w:w="1240" w:type="dxa"/>
            <w:vAlign w:val="bottom"/>
          </w:tcPr>
          <w:p>
            <w:pPr>
              <w:spacing w:after="0" w:line="168" w:lineRule="exact"/>
              <w:rPr>
                <w:sz w:val="20"/>
                <w:szCs w:val="20"/>
                <w:color w:val="auto"/>
              </w:rPr>
            </w:pPr>
            <w:r>
              <w:rPr>
                <w:rFonts w:ascii="Courier New" w:cs="Courier New" w:eastAsia="Courier New" w:hAnsi="Courier New"/>
                <w:sz w:val="15"/>
                <w:szCs w:val="15"/>
                <w:color w:val="auto"/>
              </w:rPr>
              <w:t>Section 4.12.</w:t>
            </w:r>
          </w:p>
        </w:tc>
        <w:tc>
          <w:tcPr>
            <w:tcW w:w="560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w w:val="96"/>
              </w:rPr>
              <w:t>Right of Court to Require Filing of Undertaking to Pay Costs...</w:t>
            </w:r>
          </w:p>
        </w:tc>
        <w:tc>
          <w:tcPr>
            <w:tcW w:w="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77"/>
              </w:rPr>
              <w:t>36</w:t>
            </w:r>
          </w:p>
        </w:tc>
      </w:tr>
      <w:tr>
        <w:trPr>
          <w:trHeight w:val="505"/>
        </w:trPr>
        <w:tc>
          <w:tcPr>
            <w:tcW w:w="1240" w:type="dxa"/>
            <w:vAlign w:val="bottom"/>
          </w:tcPr>
          <w:p>
            <w:pPr>
              <w:spacing w:after="0"/>
              <w:rPr>
                <w:sz w:val="24"/>
                <w:szCs w:val="24"/>
                <w:color w:val="auto"/>
              </w:rPr>
            </w:pPr>
          </w:p>
        </w:tc>
        <w:tc>
          <w:tcPr>
            <w:tcW w:w="2800" w:type="dxa"/>
            <w:vAlign w:val="bottom"/>
          </w:tcPr>
          <w:p>
            <w:pPr>
              <w:jc w:val="center"/>
              <w:ind w:left="1747"/>
              <w:spacing w:after="0"/>
              <w:rPr>
                <w:sz w:val="20"/>
                <w:szCs w:val="20"/>
                <w:color w:val="auto"/>
              </w:rPr>
            </w:pPr>
            <w:r>
              <w:rPr>
                <w:rFonts w:ascii="Courier New" w:cs="Courier New" w:eastAsia="Courier New" w:hAnsi="Courier New"/>
                <w:sz w:val="15"/>
                <w:szCs w:val="15"/>
                <w:color w:val="auto"/>
                <w:w w:val="96"/>
              </w:rPr>
              <w:t>ARTICLE 5</w:t>
            </w:r>
          </w:p>
        </w:tc>
        <w:tc>
          <w:tcPr>
            <w:tcW w:w="28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168"/>
        </w:trPr>
        <w:tc>
          <w:tcPr>
            <w:tcW w:w="1240" w:type="dxa"/>
            <w:vAlign w:val="bottom"/>
          </w:tcPr>
          <w:p>
            <w:pPr>
              <w:spacing w:after="0"/>
              <w:rPr>
                <w:sz w:val="14"/>
                <w:szCs w:val="14"/>
                <w:color w:val="auto"/>
              </w:rPr>
            </w:pPr>
          </w:p>
        </w:tc>
        <w:tc>
          <w:tcPr>
            <w:tcW w:w="5600" w:type="dxa"/>
            <w:vAlign w:val="bottom"/>
            <w:gridSpan w:val="2"/>
          </w:tcPr>
          <w:p>
            <w:pPr>
              <w:jc w:val="center"/>
              <w:ind w:right="987"/>
              <w:spacing w:after="0" w:line="168" w:lineRule="exact"/>
              <w:rPr>
                <w:sz w:val="20"/>
                <w:szCs w:val="20"/>
                <w:color w:val="auto"/>
              </w:rPr>
            </w:pPr>
            <w:r>
              <w:rPr>
                <w:rFonts w:ascii="Courier New" w:cs="Courier New" w:eastAsia="Courier New" w:hAnsi="Courier New"/>
                <w:sz w:val="15"/>
                <w:szCs w:val="15"/>
                <w:color w:val="auto"/>
                <w:w w:val="97"/>
              </w:rPr>
              <w:t>CONCERNING THE TRUSTEE</w:t>
            </w:r>
          </w:p>
        </w:tc>
        <w:tc>
          <w:tcPr>
            <w:tcW w:w="160" w:type="dxa"/>
            <w:vAlign w:val="bottom"/>
          </w:tcPr>
          <w:p>
            <w:pPr>
              <w:spacing w:after="0"/>
              <w:rPr>
                <w:sz w:val="14"/>
                <w:szCs w:val="14"/>
                <w:color w:val="auto"/>
              </w:rPr>
            </w:pPr>
          </w:p>
        </w:tc>
      </w:tr>
      <w:tr>
        <w:trPr>
          <w:trHeight w:val="336"/>
        </w:trPr>
        <w:tc>
          <w:tcPr>
            <w:tcW w:w="1240" w:type="dxa"/>
            <w:vAlign w:val="bottom"/>
          </w:tcPr>
          <w:p>
            <w:pPr>
              <w:spacing w:after="0"/>
              <w:rPr>
                <w:sz w:val="20"/>
                <w:szCs w:val="20"/>
                <w:color w:val="auto"/>
              </w:rPr>
            </w:pPr>
            <w:r>
              <w:rPr>
                <w:rFonts w:ascii="Courier New" w:cs="Courier New" w:eastAsia="Courier New" w:hAnsi="Courier New"/>
                <w:sz w:val="15"/>
                <w:szCs w:val="15"/>
                <w:color w:val="auto"/>
              </w:rPr>
              <w:t>Section 5.01.</w:t>
            </w:r>
          </w:p>
        </w:tc>
        <w:tc>
          <w:tcPr>
            <w:tcW w:w="560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Duties and Responsibilities of the Trustee; During Default;</w:t>
            </w:r>
          </w:p>
        </w:tc>
        <w:tc>
          <w:tcPr>
            <w:tcW w:w="160" w:type="dxa"/>
            <w:vAlign w:val="bottom"/>
          </w:tcPr>
          <w:p>
            <w:pPr>
              <w:spacing w:after="0"/>
              <w:rPr>
                <w:sz w:val="24"/>
                <w:szCs w:val="24"/>
                <w:color w:val="auto"/>
              </w:rPr>
            </w:pPr>
          </w:p>
        </w:tc>
      </w:tr>
      <w:tr>
        <w:trPr>
          <w:trHeight w:val="168"/>
        </w:trPr>
        <w:tc>
          <w:tcPr>
            <w:tcW w:w="1240" w:type="dxa"/>
            <w:vAlign w:val="bottom"/>
          </w:tcPr>
          <w:p>
            <w:pPr>
              <w:spacing w:after="0"/>
              <w:rPr>
                <w:sz w:val="14"/>
                <w:szCs w:val="14"/>
                <w:color w:val="auto"/>
              </w:rPr>
            </w:pPr>
          </w:p>
        </w:tc>
        <w:tc>
          <w:tcPr>
            <w:tcW w:w="560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w w:val="96"/>
              </w:rPr>
              <w:t>Prior to Default...............................................</w:t>
            </w:r>
          </w:p>
        </w:tc>
        <w:tc>
          <w:tcPr>
            <w:tcW w:w="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77"/>
              </w:rPr>
              <w:t>36</w:t>
            </w:r>
          </w:p>
        </w:tc>
      </w:tr>
      <w:tr>
        <w:trPr>
          <w:trHeight w:val="168"/>
        </w:trPr>
        <w:tc>
          <w:tcPr>
            <w:tcW w:w="1240" w:type="dxa"/>
            <w:vAlign w:val="bottom"/>
          </w:tcPr>
          <w:p>
            <w:pPr>
              <w:spacing w:after="0" w:line="168" w:lineRule="exact"/>
              <w:rPr>
                <w:sz w:val="20"/>
                <w:szCs w:val="20"/>
                <w:color w:val="auto"/>
              </w:rPr>
            </w:pPr>
            <w:r>
              <w:rPr>
                <w:rFonts w:ascii="Courier New" w:cs="Courier New" w:eastAsia="Courier New" w:hAnsi="Courier New"/>
                <w:sz w:val="15"/>
                <w:szCs w:val="15"/>
                <w:color w:val="auto"/>
              </w:rPr>
              <w:t>Section 5.02.</w:t>
            </w:r>
          </w:p>
        </w:tc>
        <w:tc>
          <w:tcPr>
            <w:tcW w:w="560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w w:val="96"/>
              </w:rPr>
              <w:t>Certain Rights of the Trustee..................................</w:t>
            </w:r>
          </w:p>
        </w:tc>
        <w:tc>
          <w:tcPr>
            <w:tcW w:w="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77"/>
              </w:rPr>
              <w:t>38</w:t>
            </w:r>
          </w:p>
        </w:tc>
      </w:tr>
      <w:tr>
        <w:trPr>
          <w:trHeight w:val="168"/>
        </w:trPr>
        <w:tc>
          <w:tcPr>
            <w:tcW w:w="1240" w:type="dxa"/>
            <w:vAlign w:val="bottom"/>
          </w:tcPr>
          <w:p>
            <w:pPr>
              <w:spacing w:after="0" w:line="168" w:lineRule="exact"/>
              <w:rPr>
                <w:sz w:val="20"/>
                <w:szCs w:val="20"/>
                <w:color w:val="auto"/>
              </w:rPr>
            </w:pPr>
            <w:r>
              <w:rPr>
                <w:rFonts w:ascii="Courier New" w:cs="Courier New" w:eastAsia="Courier New" w:hAnsi="Courier New"/>
                <w:sz w:val="15"/>
                <w:szCs w:val="15"/>
                <w:color w:val="auto"/>
              </w:rPr>
              <w:t>Section 5.03.</w:t>
            </w:r>
          </w:p>
        </w:tc>
        <w:tc>
          <w:tcPr>
            <w:tcW w:w="560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Trustee Not Responsible for Recitals, Disposition of</w:t>
            </w:r>
          </w:p>
        </w:tc>
        <w:tc>
          <w:tcPr>
            <w:tcW w:w="160" w:type="dxa"/>
            <w:vAlign w:val="bottom"/>
          </w:tcPr>
          <w:p>
            <w:pPr>
              <w:spacing w:after="0"/>
              <w:rPr>
                <w:sz w:val="14"/>
                <w:szCs w:val="14"/>
                <w:color w:val="auto"/>
              </w:rPr>
            </w:pPr>
          </w:p>
        </w:tc>
      </w:tr>
      <w:tr>
        <w:trPr>
          <w:trHeight w:val="168"/>
        </w:trPr>
        <w:tc>
          <w:tcPr>
            <w:tcW w:w="1240" w:type="dxa"/>
            <w:vAlign w:val="bottom"/>
          </w:tcPr>
          <w:p>
            <w:pPr>
              <w:spacing w:after="0"/>
              <w:rPr>
                <w:sz w:val="14"/>
                <w:szCs w:val="14"/>
                <w:color w:val="auto"/>
              </w:rPr>
            </w:pPr>
          </w:p>
        </w:tc>
        <w:tc>
          <w:tcPr>
            <w:tcW w:w="560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w w:val="96"/>
              </w:rPr>
              <w:t>Securities or Application of Proceeds Thereof..................</w:t>
            </w:r>
          </w:p>
        </w:tc>
        <w:tc>
          <w:tcPr>
            <w:tcW w:w="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77"/>
              </w:rPr>
              <w:t>40</w:t>
            </w:r>
          </w:p>
        </w:tc>
      </w:tr>
      <w:tr>
        <w:trPr>
          <w:trHeight w:val="168"/>
        </w:trPr>
        <w:tc>
          <w:tcPr>
            <w:tcW w:w="1240" w:type="dxa"/>
            <w:vAlign w:val="bottom"/>
          </w:tcPr>
          <w:p>
            <w:pPr>
              <w:spacing w:after="0" w:line="168" w:lineRule="exact"/>
              <w:rPr>
                <w:sz w:val="20"/>
                <w:szCs w:val="20"/>
                <w:color w:val="auto"/>
              </w:rPr>
            </w:pPr>
            <w:r>
              <w:rPr>
                <w:rFonts w:ascii="Courier New" w:cs="Courier New" w:eastAsia="Courier New" w:hAnsi="Courier New"/>
                <w:sz w:val="15"/>
                <w:szCs w:val="15"/>
                <w:color w:val="auto"/>
              </w:rPr>
              <w:t>Section 5.04.</w:t>
            </w:r>
          </w:p>
        </w:tc>
        <w:tc>
          <w:tcPr>
            <w:tcW w:w="560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w w:val="96"/>
              </w:rPr>
              <w:t>Trustee and Agents May Hold Securities; Collections, etc.......</w:t>
            </w:r>
          </w:p>
        </w:tc>
        <w:tc>
          <w:tcPr>
            <w:tcW w:w="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77"/>
              </w:rPr>
              <w:t>40</w:t>
            </w:r>
          </w:p>
        </w:tc>
      </w:tr>
      <w:tr>
        <w:trPr>
          <w:trHeight w:val="168"/>
        </w:trPr>
        <w:tc>
          <w:tcPr>
            <w:tcW w:w="1240" w:type="dxa"/>
            <w:vAlign w:val="bottom"/>
          </w:tcPr>
          <w:p>
            <w:pPr>
              <w:spacing w:after="0" w:line="168" w:lineRule="exact"/>
              <w:rPr>
                <w:sz w:val="20"/>
                <w:szCs w:val="20"/>
                <w:color w:val="auto"/>
              </w:rPr>
            </w:pPr>
            <w:r>
              <w:rPr>
                <w:rFonts w:ascii="Courier New" w:cs="Courier New" w:eastAsia="Courier New" w:hAnsi="Courier New"/>
                <w:sz w:val="15"/>
                <w:szCs w:val="15"/>
                <w:color w:val="auto"/>
              </w:rPr>
              <w:t>Section 5.05.</w:t>
            </w:r>
          </w:p>
        </w:tc>
        <w:tc>
          <w:tcPr>
            <w:tcW w:w="560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w w:val="96"/>
              </w:rPr>
              <w:t>Moneys Held by Trustee.........................................</w:t>
            </w:r>
          </w:p>
        </w:tc>
        <w:tc>
          <w:tcPr>
            <w:tcW w:w="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77"/>
              </w:rPr>
              <w:t>40</w:t>
            </w:r>
          </w:p>
        </w:tc>
      </w:tr>
      <w:tr>
        <w:trPr>
          <w:trHeight w:val="168"/>
        </w:trPr>
        <w:tc>
          <w:tcPr>
            <w:tcW w:w="1240" w:type="dxa"/>
            <w:vAlign w:val="bottom"/>
          </w:tcPr>
          <w:p>
            <w:pPr>
              <w:spacing w:after="0" w:line="168" w:lineRule="exact"/>
              <w:rPr>
                <w:sz w:val="20"/>
                <w:szCs w:val="20"/>
                <w:color w:val="auto"/>
              </w:rPr>
            </w:pPr>
            <w:r>
              <w:rPr>
                <w:rFonts w:ascii="Courier New" w:cs="Courier New" w:eastAsia="Courier New" w:hAnsi="Courier New"/>
                <w:sz w:val="15"/>
                <w:szCs w:val="15"/>
                <w:color w:val="auto"/>
              </w:rPr>
              <w:t>Section 5.06.</w:t>
            </w:r>
          </w:p>
        </w:tc>
        <w:tc>
          <w:tcPr>
            <w:tcW w:w="560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Compensation and Indemnification of Trustee and Its</w:t>
            </w:r>
          </w:p>
        </w:tc>
        <w:tc>
          <w:tcPr>
            <w:tcW w:w="160" w:type="dxa"/>
            <w:vAlign w:val="bottom"/>
          </w:tcPr>
          <w:p>
            <w:pPr>
              <w:spacing w:after="0"/>
              <w:rPr>
                <w:sz w:val="14"/>
                <w:szCs w:val="14"/>
                <w:color w:val="auto"/>
              </w:rPr>
            </w:pPr>
          </w:p>
        </w:tc>
      </w:tr>
      <w:tr>
        <w:trPr>
          <w:trHeight w:val="168"/>
        </w:trPr>
        <w:tc>
          <w:tcPr>
            <w:tcW w:w="1240" w:type="dxa"/>
            <w:vAlign w:val="bottom"/>
          </w:tcPr>
          <w:p>
            <w:pPr>
              <w:spacing w:after="0"/>
              <w:rPr>
                <w:sz w:val="14"/>
                <w:szCs w:val="14"/>
                <w:color w:val="auto"/>
              </w:rPr>
            </w:pPr>
          </w:p>
        </w:tc>
        <w:tc>
          <w:tcPr>
            <w:tcW w:w="560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w w:val="96"/>
              </w:rPr>
              <w:t>Prior Claim....................................................</w:t>
            </w:r>
          </w:p>
        </w:tc>
        <w:tc>
          <w:tcPr>
            <w:tcW w:w="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77"/>
              </w:rPr>
              <w:t>40</w:t>
            </w:r>
          </w:p>
        </w:tc>
      </w:tr>
      <w:tr>
        <w:trPr>
          <w:trHeight w:val="168"/>
        </w:trPr>
        <w:tc>
          <w:tcPr>
            <w:tcW w:w="1240" w:type="dxa"/>
            <w:vAlign w:val="bottom"/>
          </w:tcPr>
          <w:p>
            <w:pPr>
              <w:spacing w:after="0" w:line="168" w:lineRule="exact"/>
              <w:rPr>
                <w:sz w:val="20"/>
                <w:szCs w:val="20"/>
                <w:color w:val="auto"/>
              </w:rPr>
            </w:pPr>
            <w:r>
              <w:rPr>
                <w:rFonts w:ascii="Courier New" w:cs="Courier New" w:eastAsia="Courier New" w:hAnsi="Courier New"/>
                <w:sz w:val="15"/>
                <w:szCs w:val="15"/>
                <w:color w:val="auto"/>
              </w:rPr>
              <w:t>Section 5.07.</w:t>
            </w:r>
          </w:p>
        </w:tc>
        <w:tc>
          <w:tcPr>
            <w:tcW w:w="560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w w:val="96"/>
              </w:rPr>
              <w:t>Right of Trustee to Rely on Officers' Certificate, etc.........</w:t>
            </w:r>
          </w:p>
        </w:tc>
        <w:tc>
          <w:tcPr>
            <w:tcW w:w="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77"/>
              </w:rPr>
              <w:t>41</w:t>
            </w:r>
          </w:p>
        </w:tc>
      </w:tr>
      <w:tr>
        <w:trPr>
          <w:trHeight w:val="168"/>
        </w:trPr>
        <w:tc>
          <w:tcPr>
            <w:tcW w:w="1240" w:type="dxa"/>
            <w:vAlign w:val="bottom"/>
          </w:tcPr>
          <w:p>
            <w:pPr>
              <w:spacing w:after="0" w:line="168" w:lineRule="exact"/>
              <w:rPr>
                <w:sz w:val="20"/>
                <w:szCs w:val="20"/>
                <w:color w:val="auto"/>
              </w:rPr>
            </w:pPr>
            <w:r>
              <w:rPr>
                <w:rFonts w:ascii="Courier New" w:cs="Courier New" w:eastAsia="Courier New" w:hAnsi="Courier New"/>
                <w:sz w:val="15"/>
                <w:szCs w:val="15"/>
                <w:color w:val="auto"/>
              </w:rPr>
              <w:t>Section 5.08.</w:t>
            </w:r>
          </w:p>
        </w:tc>
        <w:tc>
          <w:tcPr>
            <w:tcW w:w="560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w w:val="96"/>
              </w:rPr>
              <w:t>Persons Eligible for Appointment as Trustee....................</w:t>
            </w:r>
          </w:p>
        </w:tc>
        <w:tc>
          <w:tcPr>
            <w:tcW w:w="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77"/>
              </w:rPr>
              <w:t>41</w:t>
            </w:r>
          </w:p>
        </w:tc>
      </w:tr>
      <w:tr>
        <w:trPr>
          <w:trHeight w:val="168"/>
        </w:trPr>
        <w:tc>
          <w:tcPr>
            <w:tcW w:w="1240" w:type="dxa"/>
            <w:vAlign w:val="bottom"/>
          </w:tcPr>
          <w:p>
            <w:pPr>
              <w:spacing w:after="0" w:line="168" w:lineRule="exact"/>
              <w:rPr>
                <w:sz w:val="20"/>
                <w:szCs w:val="20"/>
                <w:color w:val="auto"/>
              </w:rPr>
            </w:pPr>
            <w:r>
              <w:rPr>
                <w:rFonts w:ascii="Courier New" w:cs="Courier New" w:eastAsia="Courier New" w:hAnsi="Courier New"/>
                <w:sz w:val="15"/>
                <w:szCs w:val="15"/>
                <w:color w:val="auto"/>
              </w:rPr>
              <w:t>Section 5.09.</w:t>
            </w:r>
          </w:p>
        </w:tc>
        <w:tc>
          <w:tcPr>
            <w:tcW w:w="560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w w:val="96"/>
              </w:rPr>
              <w:t>Resignation and Removal; Appointment of Successor Trustee......</w:t>
            </w:r>
          </w:p>
        </w:tc>
        <w:tc>
          <w:tcPr>
            <w:tcW w:w="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77"/>
              </w:rPr>
              <w:t>42</w:t>
            </w:r>
          </w:p>
        </w:tc>
      </w:tr>
      <w:tr>
        <w:trPr>
          <w:trHeight w:val="168"/>
        </w:trPr>
        <w:tc>
          <w:tcPr>
            <w:tcW w:w="1240" w:type="dxa"/>
            <w:vAlign w:val="bottom"/>
          </w:tcPr>
          <w:p>
            <w:pPr>
              <w:spacing w:after="0" w:line="168" w:lineRule="exact"/>
              <w:rPr>
                <w:sz w:val="20"/>
                <w:szCs w:val="20"/>
                <w:color w:val="auto"/>
              </w:rPr>
            </w:pPr>
            <w:r>
              <w:rPr>
                <w:rFonts w:ascii="Courier New" w:cs="Courier New" w:eastAsia="Courier New" w:hAnsi="Courier New"/>
                <w:sz w:val="15"/>
                <w:szCs w:val="15"/>
                <w:color w:val="auto"/>
              </w:rPr>
              <w:t>Section 5.10.</w:t>
            </w:r>
          </w:p>
        </w:tc>
        <w:tc>
          <w:tcPr>
            <w:tcW w:w="560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w w:val="96"/>
              </w:rPr>
              <w:t>Acceptance of Appointment by Successor.........................</w:t>
            </w:r>
          </w:p>
        </w:tc>
        <w:tc>
          <w:tcPr>
            <w:tcW w:w="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77"/>
              </w:rPr>
              <w:t>43</w:t>
            </w:r>
          </w:p>
        </w:tc>
      </w:tr>
      <w:tr>
        <w:trPr>
          <w:trHeight w:val="168"/>
        </w:trPr>
        <w:tc>
          <w:tcPr>
            <w:tcW w:w="1240" w:type="dxa"/>
            <w:vAlign w:val="bottom"/>
          </w:tcPr>
          <w:p>
            <w:pPr>
              <w:spacing w:after="0" w:line="168" w:lineRule="exact"/>
              <w:rPr>
                <w:sz w:val="20"/>
                <w:szCs w:val="20"/>
                <w:color w:val="auto"/>
              </w:rPr>
            </w:pPr>
            <w:r>
              <w:rPr>
                <w:rFonts w:ascii="Courier New" w:cs="Courier New" w:eastAsia="Courier New" w:hAnsi="Courier New"/>
                <w:sz w:val="15"/>
                <w:szCs w:val="15"/>
                <w:color w:val="auto"/>
              </w:rPr>
              <w:t>Section 5.11.</w:t>
            </w:r>
          </w:p>
        </w:tc>
        <w:tc>
          <w:tcPr>
            <w:tcW w:w="560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Merger, Conversion, Consolidation or Succession to</w:t>
            </w:r>
          </w:p>
        </w:tc>
        <w:tc>
          <w:tcPr>
            <w:tcW w:w="160" w:type="dxa"/>
            <w:vAlign w:val="bottom"/>
          </w:tcPr>
          <w:p>
            <w:pPr>
              <w:spacing w:after="0"/>
              <w:rPr>
                <w:sz w:val="14"/>
                <w:szCs w:val="14"/>
                <w:color w:val="auto"/>
              </w:rPr>
            </w:pPr>
          </w:p>
        </w:tc>
      </w:tr>
      <w:tr>
        <w:trPr>
          <w:trHeight w:val="168"/>
        </w:trPr>
        <w:tc>
          <w:tcPr>
            <w:tcW w:w="1240" w:type="dxa"/>
            <w:vAlign w:val="bottom"/>
          </w:tcPr>
          <w:p>
            <w:pPr>
              <w:spacing w:after="0"/>
              <w:rPr>
                <w:sz w:val="14"/>
                <w:szCs w:val="14"/>
                <w:color w:val="auto"/>
              </w:rPr>
            </w:pPr>
          </w:p>
        </w:tc>
        <w:tc>
          <w:tcPr>
            <w:tcW w:w="560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w w:val="96"/>
              </w:rPr>
              <w:t>Business of Trustee............................................</w:t>
            </w:r>
          </w:p>
        </w:tc>
        <w:tc>
          <w:tcPr>
            <w:tcW w:w="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77"/>
              </w:rPr>
              <w:t>44</w:t>
            </w:r>
          </w:p>
        </w:tc>
      </w:tr>
      <w:tr>
        <w:trPr>
          <w:trHeight w:val="168"/>
        </w:trPr>
        <w:tc>
          <w:tcPr>
            <w:tcW w:w="1240" w:type="dxa"/>
            <w:vAlign w:val="bottom"/>
          </w:tcPr>
          <w:p>
            <w:pPr>
              <w:spacing w:after="0" w:line="168" w:lineRule="exact"/>
              <w:rPr>
                <w:sz w:val="20"/>
                <w:szCs w:val="20"/>
                <w:color w:val="auto"/>
              </w:rPr>
            </w:pPr>
            <w:r>
              <w:rPr>
                <w:rFonts w:ascii="Courier New" w:cs="Courier New" w:eastAsia="Courier New" w:hAnsi="Courier New"/>
                <w:sz w:val="15"/>
                <w:szCs w:val="15"/>
                <w:color w:val="auto"/>
              </w:rPr>
              <w:t>Section 5.12.</w:t>
            </w:r>
          </w:p>
        </w:tc>
        <w:tc>
          <w:tcPr>
            <w:tcW w:w="560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w w:val="96"/>
              </w:rPr>
              <w:t>Reports to the Trustee.........................................</w:t>
            </w:r>
          </w:p>
        </w:tc>
        <w:tc>
          <w:tcPr>
            <w:tcW w:w="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77"/>
              </w:rPr>
              <w:t>44</w:t>
            </w:r>
          </w:p>
        </w:tc>
      </w:tr>
      <w:tr>
        <w:trPr>
          <w:trHeight w:val="505"/>
        </w:trPr>
        <w:tc>
          <w:tcPr>
            <w:tcW w:w="1240" w:type="dxa"/>
            <w:vAlign w:val="bottom"/>
          </w:tcPr>
          <w:p>
            <w:pPr>
              <w:spacing w:after="0"/>
              <w:rPr>
                <w:sz w:val="24"/>
                <w:szCs w:val="24"/>
                <w:color w:val="auto"/>
              </w:rPr>
            </w:pPr>
          </w:p>
        </w:tc>
        <w:tc>
          <w:tcPr>
            <w:tcW w:w="2800" w:type="dxa"/>
            <w:vAlign w:val="bottom"/>
          </w:tcPr>
          <w:p>
            <w:pPr>
              <w:jc w:val="center"/>
              <w:ind w:left="1747"/>
              <w:spacing w:after="0"/>
              <w:rPr>
                <w:sz w:val="20"/>
                <w:szCs w:val="20"/>
                <w:color w:val="auto"/>
              </w:rPr>
            </w:pPr>
            <w:r>
              <w:rPr>
                <w:rFonts w:ascii="Courier New" w:cs="Courier New" w:eastAsia="Courier New" w:hAnsi="Courier New"/>
                <w:sz w:val="15"/>
                <w:szCs w:val="15"/>
                <w:color w:val="auto"/>
                <w:w w:val="96"/>
              </w:rPr>
              <w:t>ARTICLE 6</w:t>
            </w:r>
          </w:p>
        </w:tc>
        <w:tc>
          <w:tcPr>
            <w:tcW w:w="28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168"/>
        </w:trPr>
        <w:tc>
          <w:tcPr>
            <w:tcW w:w="1240" w:type="dxa"/>
            <w:vAlign w:val="bottom"/>
          </w:tcPr>
          <w:p>
            <w:pPr>
              <w:spacing w:after="0"/>
              <w:rPr>
                <w:sz w:val="14"/>
                <w:szCs w:val="14"/>
                <w:color w:val="auto"/>
              </w:rPr>
            </w:pPr>
          </w:p>
        </w:tc>
        <w:tc>
          <w:tcPr>
            <w:tcW w:w="5600" w:type="dxa"/>
            <w:vAlign w:val="bottom"/>
            <w:gridSpan w:val="2"/>
          </w:tcPr>
          <w:p>
            <w:pPr>
              <w:jc w:val="center"/>
              <w:ind w:right="987"/>
              <w:spacing w:after="0" w:line="168" w:lineRule="exact"/>
              <w:rPr>
                <w:sz w:val="20"/>
                <w:szCs w:val="20"/>
                <w:color w:val="auto"/>
              </w:rPr>
            </w:pPr>
            <w:r>
              <w:rPr>
                <w:rFonts w:ascii="Courier New" w:cs="Courier New" w:eastAsia="Courier New" w:hAnsi="Courier New"/>
                <w:sz w:val="15"/>
                <w:szCs w:val="15"/>
                <w:color w:val="auto"/>
                <w:w w:val="97"/>
              </w:rPr>
              <w:t>CONCERNING THE SECURITYHOLDERS</w:t>
            </w:r>
          </w:p>
        </w:tc>
        <w:tc>
          <w:tcPr>
            <w:tcW w:w="160" w:type="dxa"/>
            <w:vAlign w:val="bottom"/>
          </w:tcPr>
          <w:p>
            <w:pPr>
              <w:spacing w:after="0"/>
              <w:rPr>
                <w:sz w:val="14"/>
                <w:szCs w:val="14"/>
                <w:color w:val="auto"/>
              </w:rPr>
            </w:pPr>
          </w:p>
        </w:tc>
      </w:tr>
      <w:tr>
        <w:trPr>
          <w:trHeight w:val="336"/>
        </w:trPr>
        <w:tc>
          <w:tcPr>
            <w:tcW w:w="1240" w:type="dxa"/>
            <w:vAlign w:val="bottom"/>
          </w:tcPr>
          <w:p>
            <w:pPr>
              <w:spacing w:after="0"/>
              <w:rPr>
                <w:sz w:val="20"/>
                <w:szCs w:val="20"/>
                <w:color w:val="auto"/>
              </w:rPr>
            </w:pPr>
            <w:r>
              <w:rPr>
                <w:rFonts w:ascii="Courier New" w:cs="Courier New" w:eastAsia="Courier New" w:hAnsi="Courier New"/>
                <w:sz w:val="15"/>
                <w:szCs w:val="15"/>
                <w:color w:val="auto"/>
              </w:rPr>
              <w:t>Section 6.01.</w:t>
            </w:r>
          </w:p>
        </w:tc>
        <w:tc>
          <w:tcPr>
            <w:tcW w:w="5600" w:type="dxa"/>
            <w:vAlign w:val="bottom"/>
            <w:gridSpan w:val="2"/>
          </w:tcPr>
          <w:p>
            <w:pPr>
              <w:ind w:left="80"/>
              <w:spacing w:after="0"/>
              <w:rPr>
                <w:sz w:val="20"/>
                <w:szCs w:val="20"/>
                <w:color w:val="auto"/>
              </w:rPr>
            </w:pPr>
            <w:r>
              <w:rPr>
                <w:rFonts w:ascii="Courier New" w:cs="Courier New" w:eastAsia="Courier New" w:hAnsi="Courier New"/>
                <w:sz w:val="15"/>
                <w:szCs w:val="15"/>
                <w:color w:val="auto"/>
                <w:w w:val="96"/>
              </w:rPr>
              <w:t>Evidence of Action Taken by Securityholders....................</w:t>
            </w:r>
          </w:p>
        </w:tc>
        <w:tc>
          <w:tcPr>
            <w:tcW w:w="160" w:type="dxa"/>
            <w:vAlign w:val="bottom"/>
          </w:tcPr>
          <w:p>
            <w:pPr>
              <w:jc w:val="right"/>
              <w:spacing w:after="0"/>
              <w:rPr>
                <w:sz w:val="20"/>
                <w:szCs w:val="20"/>
                <w:color w:val="auto"/>
              </w:rPr>
            </w:pPr>
            <w:r>
              <w:rPr>
                <w:rFonts w:ascii="Courier New" w:cs="Courier New" w:eastAsia="Courier New" w:hAnsi="Courier New"/>
                <w:sz w:val="15"/>
                <w:szCs w:val="15"/>
                <w:color w:val="auto"/>
                <w:w w:val="77"/>
              </w:rPr>
              <w:t>45</w:t>
            </w:r>
          </w:p>
        </w:tc>
      </w:tr>
      <w:tr>
        <w:trPr>
          <w:trHeight w:val="505"/>
        </w:trPr>
        <w:tc>
          <w:tcPr>
            <w:tcW w:w="1240" w:type="dxa"/>
            <w:vAlign w:val="bottom"/>
          </w:tcPr>
          <w:p>
            <w:pPr>
              <w:spacing w:after="0"/>
              <w:rPr>
                <w:sz w:val="24"/>
                <w:szCs w:val="24"/>
                <w:color w:val="auto"/>
              </w:rPr>
            </w:pPr>
          </w:p>
        </w:tc>
        <w:tc>
          <w:tcPr>
            <w:tcW w:w="2800" w:type="dxa"/>
            <w:vAlign w:val="bottom"/>
          </w:tcPr>
          <w:p>
            <w:pPr>
              <w:jc w:val="center"/>
              <w:ind w:left="1667"/>
              <w:spacing w:after="0"/>
              <w:rPr>
                <w:sz w:val="20"/>
                <w:szCs w:val="20"/>
                <w:color w:val="auto"/>
              </w:rPr>
            </w:pPr>
            <w:r>
              <w:rPr>
                <w:rFonts w:ascii="Courier New" w:cs="Courier New" w:eastAsia="Courier New" w:hAnsi="Courier New"/>
                <w:sz w:val="15"/>
                <w:szCs w:val="15"/>
                <w:color w:val="auto"/>
                <w:w w:val="99"/>
              </w:rPr>
              <w:t>ii</w:t>
            </w:r>
          </w:p>
        </w:tc>
        <w:tc>
          <w:tcPr>
            <w:tcW w:w="28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505"/>
        </w:trPr>
        <w:tc>
          <w:tcPr>
            <w:tcW w:w="1240" w:type="dxa"/>
            <w:vAlign w:val="bottom"/>
          </w:tcPr>
          <w:p>
            <w:pPr>
              <w:spacing w:after="0"/>
              <w:rPr>
                <w:sz w:val="20"/>
                <w:szCs w:val="20"/>
                <w:color w:val="auto"/>
              </w:rPr>
            </w:pPr>
            <w:r>
              <w:rPr>
                <w:rFonts w:ascii="Courier New" w:cs="Courier New" w:eastAsia="Courier New" w:hAnsi="Courier New"/>
                <w:sz w:val="15"/>
                <w:szCs w:val="15"/>
                <w:color w:val="auto"/>
              </w:rPr>
              <w:t>Section 6.02.</w:t>
            </w:r>
          </w:p>
        </w:tc>
        <w:tc>
          <w:tcPr>
            <w:tcW w:w="560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Proof of Execution of Instruments and of Holding of</w:t>
            </w:r>
          </w:p>
        </w:tc>
        <w:tc>
          <w:tcPr>
            <w:tcW w:w="160" w:type="dxa"/>
            <w:vAlign w:val="bottom"/>
          </w:tcPr>
          <w:p>
            <w:pPr>
              <w:spacing w:after="0"/>
              <w:rPr>
                <w:sz w:val="24"/>
                <w:szCs w:val="24"/>
                <w:color w:val="auto"/>
              </w:rPr>
            </w:pPr>
          </w:p>
        </w:tc>
      </w:tr>
      <w:tr>
        <w:trPr>
          <w:trHeight w:val="168"/>
        </w:trPr>
        <w:tc>
          <w:tcPr>
            <w:tcW w:w="1240" w:type="dxa"/>
            <w:vAlign w:val="bottom"/>
          </w:tcPr>
          <w:p>
            <w:pPr>
              <w:spacing w:after="0"/>
              <w:rPr>
                <w:sz w:val="14"/>
                <w:szCs w:val="14"/>
                <w:color w:val="auto"/>
              </w:rPr>
            </w:pPr>
          </w:p>
        </w:tc>
        <w:tc>
          <w:tcPr>
            <w:tcW w:w="560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w w:val="96"/>
              </w:rPr>
              <w:t>Securities; Record Date........................................</w:t>
            </w:r>
          </w:p>
        </w:tc>
        <w:tc>
          <w:tcPr>
            <w:tcW w:w="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77"/>
              </w:rPr>
              <w:t>45</w:t>
            </w:r>
          </w:p>
        </w:tc>
      </w:tr>
      <w:tr>
        <w:trPr>
          <w:trHeight w:val="168"/>
        </w:trPr>
        <w:tc>
          <w:tcPr>
            <w:tcW w:w="1240" w:type="dxa"/>
            <w:vAlign w:val="bottom"/>
          </w:tcPr>
          <w:p>
            <w:pPr>
              <w:spacing w:after="0" w:line="168" w:lineRule="exact"/>
              <w:rPr>
                <w:sz w:val="20"/>
                <w:szCs w:val="20"/>
                <w:color w:val="auto"/>
              </w:rPr>
            </w:pPr>
            <w:r>
              <w:rPr>
                <w:rFonts w:ascii="Courier New" w:cs="Courier New" w:eastAsia="Courier New" w:hAnsi="Courier New"/>
                <w:sz w:val="15"/>
                <w:szCs w:val="15"/>
                <w:color w:val="auto"/>
              </w:rPr>
              <w:t>Section 6.03.</w:t>
            </w:r>
          </w:p>
        </w:tc>
        <w:tc>
          <w:tcPr>
            <w:tcW w:w="280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96"/>
              </w:rPr>
              <w:t>Holders to Be Treated as Owners</w:t>
            </w:r>
          </w:p>
        </w:tc>
        <w:tc>
          <w:tcPr>
            <w:tcW w:w="2800" w:type="dxa"/>
            <w:vAlign w:val="bottom"/>
          </w:tcPr>
          <w:p>
            <w:pPr>
              <w:spacing w:after="0" w:line="168" w:lineRule="exact"/>
              <w:rPr>
                <w:sz w:val="20"/>
                <w:szCs w:val="20"/>
                <w:color w:val="auto"/>
              </w:rPr>
            </w:pPr>
            <w:r>
              <w:rPr>
                <w:rFonts w:ascii="Courier New" w:cs="Courier New" w:eastAsia="Courier New" w:hAnsi="Courier New"/>
                <w:sz w:val="15"/>
                <w:szCs w:val="15"/>
                <w:color w:val="auto"/>
                <w:w w:val="96"/>
              </w:rPr>
              <w:t>................................</w:t>
            </w:r>
          </w:p>
        </w:tc>
        <w:tc>
          <w:tcPr>
            <w:tcW w:w="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77"/>
              </w:rPr>
              <w:t>46</w:t>
            </w:r>
          </w:p>
        </w:tc>
      </w:tr>
      <w:tr>
        <w:trPr>
          <w:trHeight w:val="168"/>
        </w:trPr>
        <w:tc>
          <w:tcPr>
            <w:tcW w:w="1240" w:type="dxa"/>
            <w:vAlign w:val="bottom"/>
          </w:tcPr>
          <w:p>
            <w:pPr>
              <w:spacing w:after="0" w:line="168" w:lineRule="exact"/>
              <w:rPr>
                <w:sz w:val="20"/>
                <w:szCs w:val="20"/>
                <w:color w:val="auto"/>
              </w:rPr>
            </w:pPr>
            <w:r>
              <w:rPr>
                <w:rFonts w:ascii="Courier New" w:cs="Courier New" w:eastAsia="Courier New" w:hAnsi="Courier New"/>
                <w:sz w:val="15"/>
                <w:szCs w:val="15"/>
                <w:color w:val="auto"/>
              </w:rPr>
              <w:t>Section 6.04.</w:t>
            </w:r>
          </w:p>
        </w:tc>
        <w:tc>
          <w:tcPr>
            <w:tcW w:w="560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w w:val="96"/>
              </w:rPr>
              <w:t>Securities Owned by Issuer Deemed Not Outstanding..............</w:t>
            </w:r>
          </w:p>
        </w:tc>
        <w:tc>
          <w:tcPr>
            <w:tcW w:w="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77"/>
              </w:rPr>
              <w:t>46</w:t>
            </w:r>
          </w:p>
        </w:tc>
      </w:tr>
      <w:tr>
        <w:trPr>
          <w:trHeight w:val="168"/>
        </w:trPr>
        <w:tc>
          <w:tcPr>
            <w:tcW w:w="1240" w:type="dxa"/>
            <w:vAlign w:val="bottom"/>
          </w:tcPr>
          <w:p>
            <w:pPr>
              <w:spacing w:after="0" w:line="168" w:lineRule="exact"/>
              <w:rPr>
                <w:sz w:val="20"/>
                <w:szCs w:val="20"/>
                <w:color w:val="auto"/>
              </w:rPr>
            </w:pPr>
            <w:r>
              <w:rPr>
                <w:rFonts w:ascii="Courier New" w:cs="Courier New" w:eastAsia="Courier New" w:hAnsi="Courier New"/>
                <w:sz w:val="15"/>
                <w:szCs w:val="15"/>
                <w:color w:val="auto"/>
              </w:rPr>
              <w:t>Section 6.05.</w:t>
            </w:r>
          </w:p>
        </w:tc>
        <w:tc>
          <w:tcPr>
            <w:tcW w:w="560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w w:val="96"/>
              </w:rPr>
              <w:t>Right of Revocation of Action Taken............................</w:t>
            </w:r>
          </w:p>
        </w:tc>
        <w:tc>
          <w:tcPr>
            <w:tcW w:w="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77"/>
              </w:rPr>
              <w:t>47</w:t>
            </w:r>
          </w:p>
        </w:tc>
      </w:tr>
      <w:tr>
        <w:trPr>
          <w:trHeight w:val="505"/>
        </w:trPr>
        <w:tc>
          <w:tcPr>
            <w:tcW w:w="1240" w:type="dxa"/>
            <w:vAlign w:val="bottom"/>
          </w:tcPr>
          <w:p>
            <w:pPr>
              <w:spacing w:after="0"/>
              <w:rPr>
                <w:sz w:val="24"/>
                <w:szCs w:val="24"/>
                <w:color w:val="auto"/>
              </w:rPr>
            </w:pPr>
          </w:p>
        </w:tc>
        <w:tc>
          <w:tcPr>
            <w:tcW w:w="2800" w:type="dxa"/>
            <w:vAlign w:val="bottom"/>
          </w:tcPr>
          <w:p>
            <w:pPr>
              <w:jc w:val="center"/>
              <w:ind w:left="1747"/>
              <w:spacing w:after="0"/>
              <w:rPr>
                <w:sz w:val="20"/>
                <w:szCs w:val="20"/>
                <w:color w:val="auto"/>
              </w:rPr>
            </w:pPr>
            <w:r>
              <w:rPr>
                <w:rFonts w:ascii="Courier New" w:cs="Courier New" w:eastAsia="Courier New" w:hAnsi="Courier New"/>
                <w:sz w:val="15"/>
                <w:szCs w:val="15"/>
                <w:color w:val="auto"/>
                <w:w w:val="96"/>
              </w:rPr>
              <w:t>ARTICLE 7</w:t>
            </w:r>
          </w:p>
        </w:tc>
        <w:tc>
          <w:tcPr>
            <w:tcW w:w="28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168"/>
        </w:trPr>
        <w:tc>
          <w:tcPr>
            <w:tcW w:w="1240" w:type="dxa"/>
            <w:vAlign w:val="bottom"/>
          </w:tcPr>
          <w:p>
            <w:pPr>
              <w:spacing w:after="0"/>
              <w:rPr>
                <w:sz w:val="14"/>
                <w:szCs w:val="14"/>
                <w:color w:val="auto"/>
              </w:rPr>
            </w:pPr>
          </w:p>
        </w:tc>
        <w:tc>
          <w:tcPr>
            <w:tcW w:w="5600" w:type="dxa"/>
            <w:vAlign w:val="bottom"/>
            <w:gridSpan w:val="2"/>
          </w:tcPr>
          <w:p>
            <w:pPr>
              <w:jc w:val="center"/>
              <w:ind w:right="907"/>
              <w:spacing w:after="0" w:line="168" w:lineRule="exact"/>
              <w:rPr>
                <w:sz w:val="20"/>
                <w:szCs w:val="20"/>
                <w:color w:val="auto"/>
              </w:rPr>
            </w:pPr>
            <w:r>
              <w:rPr>
                <w:rFonts w:ascii="Courier New" w:cs="Courier New" w:eastAsia="Courier New" w:hAnsi="Courier New"/>
                <w:sz w:val="15"/>
                <w:szCs w:val="15"/>
                <w:color w:val="auto"/>
                <w:w w:val="97"/>
              </w:rPr>
              <w:t>SUPPLEMENTAL INDENTURES</w:t>
            </w:r>
          </w:p>
        </w:tc>
        <w:tc>
          <w:tcPr>
            <w:tcW w:w="160" w:type="dxa"/>
            <w:vAlign w:val="bottom"/>
          </w:tcPr>
          <w:p>
            <w:pPr>
              <w:spacing w:after="0"/>
              <w:rPr>
                <w:sz w:val="14"/>
                <w:szCs w:val="14"/>
                <w:color w:val="auto"/>
              </w:rPr>
            </w:pPr>
          </w:p>
        </w:tc>
      </w:tr>
      <w:tr>
        <w:trPr>
          <w:trHeight w:val="336"/>
        </w:trPr>
        <w:tc>
          <w:tcPr>
            <w:tcW w:w="1240" w:type="dxa"/>
            <w:vAlign w:val="bottom"/>
          </w:tcPr>
          <w:p>
            <w:pPr>
              <w:spacing w:after="0"/>
              <w:rPr>
                <w:sz w:val="20"/>
                <w:szCs w:val="20"/>
                <w:color w:val="auto"/>
              </w:rPr>
            </w:pPr>
            <w:r>
              <w:rPr>
                <w:rFonts w:ascii="Courier New" w:cs="Courier New" w:eastAsia="Courier New" w:hAnsi="Courier New"/>
                <w:sz w:val="15"/>
                <w:szCs w:val="15"/>
                <w:color w:val="auto"/>
              </w:rPr>
              <w:t>Section 7.01.</w:t>
            </w:r>
          </w:p>
        </w:tc>
        <w:tc>
          <w:tcPr>
            <w:tcW w:w="5600" w:type="dxa"/>
            <w:vAlign w:val="bottom"/>
            <w:gridSpan w:val="2"/>
          </w:tcPr>
          <w:p>
            <w:pPr>
              <w:ind w:left="80"/>
              <w:spacing w:after="0"/>
              <w:rPr>
                <w:sz w:val="20"/>
                <w:szCs w:val="20"/>
                <w:color w:val="auto"/>
              </w:rPr>
            </w:pPr>
            <w:r>
              <w:rPr>
                <w:rFonts w:ascii="Courier New" w:cs="Courier New" w:eastAsia="Courier New" w:hAnsi="Courier New"/>
                <w:sz w:val="15"/>
                <w:szCs w:val="15"/>
                <w:color w:val="auto"/>
                <w:w w:val="96"/>
              </w:rPr>
              <w:t>Supplemental Indentures Without Consent of Securityholders.....</w:t>
            </w:r>
          </w:p>
        </w:tc>
        <w:tc>
          <w:tcPr>
            <w:tcW w:w="160" w:type="dxa"/>
            <w:vAlign w:val="bottom"/>
          </w:tcPr>
          <w:p>
            <w:pPr>
              <w:jc w:val="right"/>
              <w:spacing w:after="0"/>
              <w:rPr>
                <w:sz w:val="20"/>
                <w:szCs w:val="20"/>
                <w:color w:val="auto"/>
              </w:rPr>
            </w:pPr>
            <w:r>
              <w:rPr>
                <w:rFonts w:ascii="Courier New" w:cs="Courier New" w:eastAsia="Courier New" w:hAnsi="Courier New"/>
                <w:sz w:val="15"/>
                <w:szCs w:val="15"/>
                <w:color w:val="auto"/>
                <w:w w:val="77"/>
              </w:rPr>
              <w:t>47</w:t>
            </w:r>
          </w:p>
        </w:tc>
      </w:tr>
      <w:tr>
        <w:trPr>
          <w:trHeight w:val="168"/>
        </w:trPr>
        <w:tc>
          <w:tcPr>
            <w:tcW w:w="1240" w:type="dxa"/>
            <w:vAlign w:val="bottom"/>
          </w:tcPr>
          <w:p>
            <w:pPr>
              <w:spacing w:after="0" w:line="168" w:lineRule="exact"/>
              <w:rPr>
                <w:sz w:val="20"/>
                <w:szCs w:val="20"/>
                <w:color w:val="auto"/>
              </w:rPr>
            </w:pPr>
            <w:r>
              <w:rPr>
                <w:rFonts w:ascii="Courier New" w:cs="Courier New" w:eastAsia="Courier New" w:hAnsi="Courier New"/>
                <w:sz w:val="15"/>
                <w:szCs w:val="15"/>
                <w:color w:val="auto"/>
              </w:rPr>
              <w:t>Section 7.02.</w:t>
            </w:r>
          </w:p>
        </w:tc>
        <w:tc>
          <w:tcPr>
            <w:tcW w:w="560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w w:val="96"/>
              </w:rPr>
              <w:t>Supplemental Indentures With Consent of Securityholders........</w:t>
            </w:r>
          </w:p>
        </w:tc>
        <w:tc>
          <w:tcPr>
            <w:tcW w:w="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77"/>
              </w:rPr>
              <w:t>49</w:t>
            </w:r>
          </w:p>
        </w:tc>
      </w:tr>
      <w:tr>
        <w:trPr>
          <w:trHeight w:val="168"/>
        </w:trPr>
        <w:tc>
          <w:tcPr>
            <w:tcW w:w="1240" w:type="dxa"/>
            <w:vAlign w:val="bottom"/>
          </w:tcPr>
          <w:p>
            <w:pPr>
              <w:spacing w:after="0" w:line="168" w:lineRule="exact"/>
              <w:rPr>
                <w:sz w:val="20"/>
                <w:szCs w:val="20"/>
                <w:color w:val="auto"/>
              </w:rPr>
            </w:pPr>
            <w:r>
              <w:rPr>
                <w:rFonts w:ascii="Courier New" w:cs="Courier New" w:eastAsia="Courier New" w:hAnsi="Courier New"/>
                <w:sz w:val="15"/>
                <w:szCs w:val="15"/>
                <w:color w:val="auto"/>
              </w:rPr>
              <w:t>Section 7.03.</w:t>
            </w:r>
          </w:p>
        </w:tc>
        <w:tc>
          <w:tcPr>
            <w:tcW w:w="560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w w:val="96"/>
              </w:rPr>
              <w:t>Effect of Supplemental Indenture...............................</w:t>
            </w:r>
          </w:p>
        </w:tc>
        <w:tc>
          <w:tcPr>
            <w:tcW w:w="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77"/>
              </w:rPr>
              <w:t>50</w:t>
            </w:r>
          </w:p>
        </w:tc>
      </w:tr>
      <w:tr>
        <w:trPr>
          <w:trHeight w:val="168"/>
        </w:trPr>
        <w:tc>
          <w:tcPr>
            <w:tcW w:w="1240" w:type="dxa"/>
            <w:vAlign w:val="bottom"/>
          </w:tcPr>
          <w:p>
            <w:pPr>
              <w:spacing w:after="0" w:line="168" w:lineRule="exact"/>
              <w:rPr>
                <w:sz w:val="20"/>
                <w:szCs w:val="20"/>
                <w:color w:val="auto"/>
              </w:rPr>
            </w:pPr>
            <w:r>
              <w:rPr>
                <w:rFonts w:ascii="Courier New" w:cs="Courier New" w:eastAsia="Courier New" w:hAnsi="Courier New"/>
                <w:sz w:val="15"/>
                <w:szCs w:val="15"/>
                <w:color w:val="auto"/>
              </w:rPr>
              <w:t>Section 7.04.</w:t>
            </w:r>
          </w:p>
        </w:tc>
        <w:tc>
          <w:tcPr>
            <w:tcW w:w="560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w w:val="96"/>
              </w:rPr>
              <w:t>Documents to Be Given to Trustee...............................</w:t>
            </w:r>
          </w:p>
        </w:tc>
        <w:tc>
          <w:tcPr>
            <w:tcW w:w="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77"/>
              </w:rPr>
              <w:t>51</w:t>
            </w:r>
          </w:p>
        </w:tc>
      </w:tr>
      <w:tr>
        <w:trPr>
          <w:trHeight w:val="168"/>
        </w:trPr>
        <w:tc>
          <w:tcPr>
            <w:tcW w:w="1240" w:type="dxa"/>
            <w:vAlign w:val="bottom"/>
          </w:tcPr>
          <w:p>
            <w:pPr>
              <w:spacing w:after="0" w:line="168" w:lineRule="exact"/>
              <w:rPr>
                <w:sz w:val="20"/>
                <w:szCs w:val="20"/>
                <w:color w:val="auto"/>
              </w:rPr>
            </w:pPr>
            <w:r>
              <w:rPr>
                <w:rFonts w:ascii="Courier New" w:cs="Courier New" w:eastAsia="Courier New" w:hAnsi="Courier New"/>
                <w:sz w:val="15"/>
                <w:szCs w:val="15"/>
                <w:color w:val="auto"/>
              </w:rPr>
              <w:t>Section 7.05.</w:t>
            </w:r>
          </w:p>
        </w:tc>
        <w:tc>
          <w:tcPr>
            <w:tcW w:w="560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w w:val="96"/>
              </w:rPr>
              <w:t>Notation on Securities in Respect of Supplemental Indentures...</w:t>
            </w:r>
          </w:p>
        </w:tc>
        <w:tc>
          <w:tcPr>
            <w:tcW w:w="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77"/>
              </w:rPr>
              <w:t>51</w:t>
            </w:r>
          </w:p>
        </w:tc>
      </w:tr>
      <w:tr>
        <w:trPr>
          <w:trHeight w:val="505"/>
        </w:trPr>
        <w:tc>
          <w:tcPr>
            <w:tcW w:w="1240" w:type="dxa"/>
            <w:vAlign w:val="bottom"/>
          </w:tcPr>
          <w:p>
            <w:pPr>
              <w:spacing w:after="0"/>
              <w:rPr>
                <w:sz w:val="24"/>
                <w:szCs w:val="24"/>
                <w:color w:val="auto"/>
              </w:rPr>
            </w:pPr>
          </w:p>
        </w:tc>
        <w:tc>
          <w:tcPr>
            <w:tcW w:w="2800" w:type="dxa"/>
            <w:vAlign w:val="bottom"/>
          </w:tcPr>
          <w:p>
            <w:pPr>
              <w:jc w:val="center"/>
              <w:ind w:left="1747"/>
              <w:spacing w:after="0"/>
              <w:rPr>
                <w:sz w:val="20"/>
                <w:szCs w:val="20"/>
                <w:color w:val="auto"/>
              </w:rPr>
            </w:pPr>
            <w:r>
              <w:rPr>
                <w:rFonts w:ascii="Courier New" w:cs="Courier New" w:eastAsia="Courier New" w:hAnsi="Courier New"/>
                <w:sz w:val="15"/>
                <w:szCs w:val="15"/>
                <w:color w:val="auto"/>
                <w:w w:val="96"/>
              </w:rPr>
              <w:t>ARTICLE 8</w:t>
            </w:r>
          </w:p>
        </w:tc>
        <w:tc>
          <w:tcPr>
            <w:tcW w:w="28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168"/>
        </w:trPr>
        <w:tc>
          <w:tcPr>
            <w:tcW w:w="1240" w:type="dxa"/>
            <w:vAlign w:val="bottom"/>
          </w:tcPr>
          <w:p>
            <w:pPr>
              <w:spacing w:after="0"/>
              <w:rPr>
                <w:sz w:val="14"/>
                <w:szCs w:val="14"/>
                <w:color w:val="auto"/>
              </w:rPr>
            </w:pPr>
          </w:p>
        </w:tc>
        <w:tc>
          <w:tcPr>
            <w:tcW w:w="5600" w:type="dxa"/>
            <w:vAlign w:val="bottom"/>
            <w:gridSpan w:val="2"/>
          </w:tcPr>
          <w:p>
            <w:pPr>
              <w:jc w:val="center"/>
              <w:ind w:right="907"/>
              <w:spacing w:after="0" w:line="168" w:lineRule="exact"/>
              <w:rPr>
                <w:sz w:val="20"/>
                <w:szCs w:val="20"/>
                <w:color w:val="auto"/>
              </w:rPr>
            </w:pPr>
            <w:r>
              <w:rPr>
                <w:rFonts w:ascii="Courier New" w:cs="Courier New" w:eastAsia="Courier New" w:hAnsi="Courier New"/>
                <w:sz w:val="15"/>
                <w:szCs w:val="15"/>
                <w:color w:val="auto"/>
                <w:w w:val="97"/>
              </w:rPr>
              <w:t>CONSOLIDATION, MERGER, SALE OR CONVEYANCE</w:t>
            </w:r>
          </w:p>
        </w:tc>
        <w:tc>
          <w:tcPr>
            <w:tcW w:w="160" w:type="dxa"/>
            <w:vAlign w:val="bottom"/>
          </w:tcPr>
          <w:p>
            <w:pPr>
              <w:spacing w:after="0"/>
              <w:rPr>
                <w:sz w:val="14"/>
                <w:szCs w:val="14"/>
                <w:color w:val="auto"/>
              </w:rPr>
            </w:pPr>
          </w:p>
        </w:tc>
      </w:tr>
      <w:tr>
        <w:trPr>
          <w:trHeight w:val="336"/>
        </w:trPr>
        <w:tc>
          <w:tcPr>
            <w:tcW w:w="1240" w:type="dxa"/>
            <w:vAlign w:val="bottom"/>
          </w:tcPr>
          <w:p>
            <w:pPr>
              <w:spacing w:after="0"/>
              <w:rPr>
                <w:sz w:val="20"/>
                <w:szCs w:val="20"/>
                <w:color w:val="auto"/>
              </w:rPr>
            </w:pPr>
            <w:r>
              <w:rPr>
                <w:rFonts w:ascii="Courier New" w:cs="Courier New" w:eastAsia="Courier New" w:hAnsi="Courier New"/>
                <w:sz w:val="15"/>
                <w:szCs w:val="15"/>
                <w:color w:val="auto"/>
              </w:rPr>
              <w:t>Section 8.01.</w:t>
            </w:r>
          </w:p>
        </w:tc>
        <w:tc>
          <w:tcPr>
            <w:tcW w:w="5600" w:type="dxa"/>
            <w:vAlign w:val="bottom"/>
            <w:gridSpan w:val="2"/>
          </w:tcPr>
          <w:p>
            <w:pPr>
              <w:ind w:left="80"/>
              <w:spacing w:after="0"/>
              <w:rPr>
                <w:sz w:val="20"/>
                <w:szCs w:val="20"/>
                <w:color w:val="auto"/>
              </w:rPr>
            </w:pPr>
            <w:r>
              <w:rPr>
                <w:rFonts w:ascii="Courier New" w:cs="Courier New" w:eastAsia="Courier New" w:hAnsi="Courier New"/>
                <w:sz w:val="15"/>
                <w:szCs w:val="15"/>
                <w:color w:val="auto"/>
                <w:w w:val="96"/>
              </w:rPr>
              <w:t>Issuer May Consolidate, etc., on Certain Terms.................</w:t>
            </w:r>
          </w:p>
        </w:tc>
        <w:tc>
          <w:tcPr>
            <w:tcW w:w="160" w:type="dxa"/>
            <w:vAlign w:val="bottom"/>
          </w:tcPr>
          <w:p>
            <w:pPr>
              <w:jc w:val="right"/>
              <w:spacing w:after="0"/>
              <w:rPr>
                <w:sz w:val="20"/>
                <w:szCs w:val="20"/>
                <w:color w:val="auto"/>
              </w:rPr>
            </w:pPr>
            <w:r>
              <w:rPr>
                <w:rFonts w:ascii="Courier New" w:cs="Courier New" w:eastAsia="Courier New" w:hAnsi="Courier New"/>
                <w:sz w:val="15"/>
                <w:szCs w:val="15"/>
                <w:color w:val="auto"/>
                <w:w w:val="77"/>
              </w:rPr>
              <w:t>51</w:t>
            </w:r>
          </w:p>
        </w:tc>
      </w:tr>
      <w:tr>
        <w:trPr>
          <w:trHeight w:val="168"/>
        </w:trPr>
        <w:tc>
          <w:tcPr>
            <w:tcW w:w="1240" w:type="dxa"/>
            <w:vAlign w:val="bottom"/>
          </w:tcPr>
          <w:p>
            <w:pPr>
              <w:spacing w:after="0" w:line="168" w:lineRule="exact"/>
              <w:rPr>
                <w:sz w:val="20"/>
                <w:szCs w:val="20"/>
                <w:color w:val="auto"/>
              </w:rPr>
            </w:pPr>
            <w:r>
              <w:rPr>
                <w:rFonts w:ascii="Courier New" w:cs="Courier New" w:eastAsia="Courier New" w:hAnsi="Courier New"/>
                <w:sz w:val="15"/>
                <w:szCs w:val="15"/>
                <w:color w:val="auto"/>
              </w:rPr>
              <w:t>Section 8.02.</w:t>
            </w:r>
          </w:p>
        </w:tc>
        <w:tc>
          <w:tcPr>
            <w:tcW w:w="560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w w:val="96"/>
              </w:rPr>
              <w:t>Successor Corporation Substituted..............................</w:t>
            </w:r>
          </w:p>
        </w:tc>
        <w:tc>
          <w:tcPr>
            <w:tcW w:w="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77"/>
              </w:rPr>
              <w:t>52</w:t>
            </w:r>
          </w:p>
        </w:tc>
      </w:tr>
      <w:tr>
        <w:trPr>
          <w:trHeight w:val="505"/>
        </w:trPr>
        <w:tc>
          <w:tcPr>
            <w:tcW w:w="1240" w:type="dxa"/>
            <w:vAlign w:val="bottom"/>
          </w:tcPr>
          <w:p>
            <w:pPr>
              <w:spacing w:after="0"/>
              <w:rPr>
                <w:sz w:val="24"/>
                <w:szCs w:val="24"/>
                <w:color w:val="auto"/>
              </w:rPr>
            </w:pPr>
          </w:p>
        </w:tc>
        <w:tc>
          <w:tcPr>
            <w:tcW w:w="2800" w:type="dxa"/>
            <w:vAlign w:val="bottom"/>
          </w:tcPr>
          <w:p>
            <w:pPr>
              <w:jc w:val="center"/>
              <w:ind w:left="1747"/>
              <w:spacing w:after="0"/>
              <w:rPr>
                <w:sz w:val="20"/>
                <w:szCs w:val="20"/>
                <w:color w:val="auto"/>
              </w:rPr>
            </w:pPr>
            <w:r>
              <w:rPr>
                <w:rFonts w:ascii="Courier New" w:cs="Courier New" w:eastAsia="Courier New" w:hAnsi="Courier New"/>
                <w:sz w:val="15"/>
                <w:szCs w:val="15"/>
                <w:color w:val="auto"/>
                <w:w w:val="96"/>
              </w:rPr>
              <w:t>ARTICLE 9</w:t>
            </w:r>
          </w:p>
        </w:tc>
        <w:tc>
          <w:tcPr>
            <w:tcW w:w="28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168"/>
        </w:trPr>
        <w:tc>
          <w:tcPr>
            <w:tcW w:w="1240" w:type="dxa"/>
            <w:vAlign w:val="bottom"/>
          </w:tcPr>
          <w:p>
            <w:pPr>
              <w:spacing w:after="0"/>
              <w:rPr>
                <w:sz w:val="14"/>
                <w:szCs w:val="14"/>
                <w:color w:val="auto"/>
              </w:rPr>
            </w:pPr>
          </w:p>
        </w:tc>
        <w:tc>
          <w:tcPr>
            <w:tcW w:w="5600" w:type="dxa"/>
            <w:vAlign w:val="bottom"/>
            <w:gridSpan w:val="2"/>
          </w:tcPr>
          <w:p>
            <w:pPr>
              <w:jc w:val="center"/>
              <w:ind w:right="987"/>
              <w:spacing w:after="0" w:line="168" w:lineRule="exact"/>
              <w:rPr>
                <w:sz w:val="20"/>
                <w:szCs w:val="20"/>
                <w:color w:val="auto"/>
              </w:rPr>
            </w:pPr>
            <w:r>
              <w:rPr>
                <w:rFonts w:ascii="Courier New" w:cs="Courier New" w:eastAsia="Courier New" w:hAnsi="Courier New"/>
                <w:sz w:val="15"/>
                <w:szCs w:val="15"/>
                <w:color w:val="auto"/>
                <w:w w:val="97"/>
              </w:rPr>
              <w:t>DISCHARGE OF INDENTURE</w:t>
            </w:r>
          </w:p>
        </w:tc>
        <w:tc>
          <w:tcPr>
            <w:tcW w:w="160" w:type="dxa"/>
            <w:vAlign w:val="bottom"/>
          </w:tcPr>
          <w:p>
            <w:pPr>
              <w:spacing w:after="0"/>
              <w:rPr>
                <w:sz w:val="14"/>
                <w:szCs w:val="14"/>
                <w:color w:val="auto"/>
              </w:rPr>
            </w:pPr>
          </w:p>
        </w:tc>
      </w:tr>
      <w:tr>
        <w:trPr>
          <w:trHeight w:val="336"/>
        </w:trPr>
        <w:tc>
          <w:tcPr>
            <w:tcW w:w="1240" w:type="dxa"/>
            <w:vAlign w:val="bottom"/>
          </w:tcPr>
          <w:p>
            <w:pPr>
              <w:spacing w:after="0"/>
              <w:rPr>
                <w:sz w:val="20"/>
                <w:szCs w:val="20"/>
                <w:color w:val="auto"/>
              </w:rPr>
            </w:pPr>
            <w:r>
              <w:rPr>
                <w:rFonts w:ascii="Courier New" w:cs="Courier New" w:eastAsia="Courier New" w:hAnsi="Courier New"/>
                <w:sz w:val="15"/>
                <w:szCs w:val="15"/>
                <w:color w:val="auto"/>
              </w:rPr>
              <w:t>Section 9.01.</w:t>
            </w:r>
          </w:p>
        </w:tc>
        <w:tc>
          <w:tcPr>
            <w:tcW w:w="5600" w:type="dxa"/>
            <w:vAlign w:val="bottom"/>
            <w:gridSpan w:val="2"/>
          </w:tcPr>
          <w:p>
            <w:pPr>
              <w:ind w:left="80"/>
              <w:spacing w:after="0"/>
              <w:rPr>
                <w:sz w:val="20"/>
                <w:szCs w:val="20"/>
                <w:color w:val="auto"/>
              </w:rPr>
            </w:pPr>
            <w:r>
              <w:rPr>
                <w:rFonts w:ascii="Courier New" w:cs="Courier New" w:eastAsia="Courier New" w:hAnsi="Courier New"/>
                <w:sz w:val="15"/>
                <w:szCs w:val="15"/>
                <w:color w:val="auto"/>
                <w:w w:val="96"/>
              </w:rPr>
              <w:t>Defeasance Within One Year of Payment..........................</w:t>
            </w:r>
          </w:p>
        </w:tc>
        <w:tc>
          <w:tcPr>
            <w:tcW w:w="160" w:type="dxa"/>
            <w:vAlign w:val="bottom"/>
          </w:tcPr>
          <w:p>
            <w:pPr>
              <w:jc w:val="right"/>
              <w:spacing w:after="0"/>
              <w:rPr>
                <w:sz w:val="20"/>
                <w:szCs w:val="20"/>
                <w:color w:val="auto"/>
              </w:rPr>
            </w:pPr>
            <w:r>
              <w:rPr>
                <w:rFonts w:ascii="Courier New" w:cs="Courier New" w:eastAsia="Courier New" w:hAnsi="Courier New"/>
                <w:sz w:val="15"/>
                <w:szCs w:val="15"/>
                <w:color w:val="auto"/>
                <w:w w:val="77"/>
              </w:rPr>
              <w:t>52</w:t>
            </w:r>
          </w:p>
        </w:tc>
      </w:tr>
      <w:tr>
        <w:trPr>
          <w:trHeight w:val="168"/>
        </w:trPr>
        <w:tc>
          <w:tcPr>
            <w:tcW w:w="1240" w:type="dxa"/>
            <w:vAlign w:val="bottom"/>
          </w:tcPr>
          <w:p>
            <w:pPr>
              <w:spacing w:after="0" w:line="168" w:lineRule="exact"/>
              <w:rPr>
                <w:sz w:val="20"/>
                <w:szCs w:val="20"/>
                <w:color w:val="auto"/>
              </w:rPr>
            </w:pPr>
            <w:r>
              <w:rPr>
                <w:rFonts w:ascii="Courier New" w:cs="Courier New" w:eastAsia="Courier New" w:hAnsi="Courier New"/>
                <w:sz w:val="15"/>
                <w:szCs w:val="15"/>
                <w:color w:val="auto"/>
              </w:rPr>
              <w:t>Section 9.02.</w:t>
            </w:r>
          </w:p>
        </w:tc>
        <w:tc>
          <w:tcPr>
            <w:tcW w:w="560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w w:val="96"/>
              </w:rPr>
              <w:t>Defeasance.....................................................</w:t>
            </w:r>
          </w:p>
        </w:tc>
        <w:tc>
          <w:tcPr>
            <w:tcW w:w="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77"/>
              </w:rPr>
              <w:t>53</w:t>
            </w:r>
          </w:p>
        </w:tc>
      </w:tr>
      <w:tr>
        <w:trPr>
          <w:trHeight w:val="168"/>
        </w:trPr>
        <w:tc>
          <w:tcPr>
            <w:tcW w:w="1240" w:type="dxa"/>
            <w:vAlign w:val="bottom"/>
          </w:tcPr>
          <w:p>
            <w:pPr>
              <w:spacing w:after="0" w:line="168" w:lineRule="exact"/>
              <w:rPr>
                <w:sz w:val="20"/>
                <w:szCs w:val="20"/>
                <w:color w:val="auto"/>
              </w:rPr>
            </w:pPr>
            <w:r>
              <w:rPr>
                <w:rFonts w:ascii="Courier New" w:cs="Courier New" w:eastAsia="Courier New" w:hAnsi="Courier New"/>
                <w:sz w:val="15"/>
                <w:szCs w:val="15"/>
                <w:color w:val="auto"/>
              </w:rPr>
              <w:t>Section 9.03.</w:t>
            </w:r>
          </w:p>
        </w:tc>
        <w:tc>
          <w:tcPr>
            <w:tcW w:w="560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w w:val="96"/>
              </w:rPr>
              <w:t>Covenant Defeasance............................................</w:t>
            </w:r>
          </w:p>
        </w:tc>
        <w:tc>
          <w:tcPr>
            <w:tcW w:w="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77"/>
              </w:rPr>
              <w:t>55</w:t>
            </w:r>
          </w:p>
        </w:tc>
      </w:tr>
      <w:tr>
        <w:trPr>
          <w:trHeight w:val="168"/>
        </w:trPr>
        <w:tc>
          <w:tcPr>
            <w:tcW w:w="1240" w:type="dxa"/>
            <w:vAlign w:val="bottom"/>
          </w:tcPr>
          <w:p>
            <w:pPr>
              <w:spacing w:after="0" w:line="168" w:lineRule="exact"/>
              <w:rPr>
                <w:sz w:val="20"/>
                <w:szCs w:val="20"/>
                <w:color w:val="auto"/>
              </w:rPr>
            </w:pPr>
            <w:r>
              <w:rPr>
                <w:rFonts w:ascii="Courier New" w:cs="Courier New" w:eastAsia="Courier New" w:hAnsi="Courier New"/>
                <w:sz w:val="15"/>
                <w:szCs w:val="15"/>
                <w:color w:val="auto"/>
              </w:rPr>
              <w:t>Section 9.04.</w:t>
            </w:r>
          </w:p>
        </w:tc>
        <w:tc>
          <w:tcPr>
            <w:tcW w:w="560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w w:val="96"/>
              </w:rPr>
              <w:t>Application of Trust Money.....................................</w:t>
            </w:r>
          </w:p>
        </w:tc>
        <w:tc>
          <w:tcPr>
            <w:tcW w:w="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77"/>
              </w:rPr>
              <w:t>56</w:t>
            </w:r>
          </w:p>
        </w:tc>
      </w:tr>
      <w:tr>
        <w:trPr>
          <w:trHeight w:val="168"/>
        </w:trPr>
        <w:tc>
          <w:tcPr>
            <w:tcW w:w="1240" w:type="dxa"/>
            <w:vAlign w:val="bottom"/>
          </w:tcPr>
          <w:p>
            <w:pPr>
              <w:spacing w:after="0" w:line="168" w:lineRule="exact"/>
              <w:rPr>
                <w:sz w:val="20"/>
                <w:szCs w:val="20"/>
                <w:color w:val="auto"/>
              </w:rPr>
            </w:pPr>
            <w:r>
              <w:rPr>
                <w:rFonts w:ascii="Courier New" w:cs="Courier New" w:eastAsia="Courier New" w:hAnsi="Courier New"/>
                <w:sz w:val="15"/>
                <w:szCs w:val="15"/>
                <w:color w:val="auto"/>
              </w:rPr>
              <w:t>Section 9.05.</w:t>
            </w:r>
          </w:p>
        </w:tc>
        <w:tc>
          <w:tcPr>
            <w:tcW w:w="560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w w:val="96"/>
              </w:rPr>
              <w:t>Repayment to Issuer............................................</w:t>
            </w:r>
          </w:p>
        </w:tc>
        <w:tc>
          <w:tcPr>
            <w:tcW w:w="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77"/>
              </w:rPr>
              <w:t>56</w:t>
            </w:r>
          </w:p>
        </w:tc>
      </w:tr>
      <w:tr>
        <w:trPr>
          <w:trHeight w:val="505"/>
        </w:trPr>
        <w:tc>
          <w:tcPr>
            <w:tcW w:w="1240" w:type="dxa"/>
            <w:vAlign w:val="bottom"/>
          </w:tcPr>
          <w:p>
            <w:pPr>
              <w:spacing w:after="0"/>
              <w:rPr>
                <w:sz w:val="24"/>
                <w:szCs w:val="24"/>
                <w:color w:val="auto"/>
              </w:rPr>
            </w:pPr>
          </w:p>
        </w:tc>
        <w:tc>
          <w:tcPr>
            <w:tcW w:w="2800" w:type="dxa"/>
            <w:vAlign w:val="bottom"/>
          </w:tcPr>
          <w:p>
            <w:pPr>
              <w:jc w:val="center"/>
              <w:ind w:left="1667"/>
              <w:spacing w:after="0"/>
              <w:rPr>
                <w:sz w:val="20"/>
                <w:szCs w:val="20"/>
                <w:color w:val="auto"/>
              </w:rPr>
            </w:pPr>
            <w:r>
              <w:rPr>
                <w:rFonts w:ascii="Courier New" w:cs="Courier New" w:eastAsia="Courier New" w:hAnsi="Courier New"/>
                <w:sz w:val="15"/>
                <w:szCs w:val="15"/>
                <w:color w:val="auto"/>
                <w:w w:val="95"/>
              </w:rPr>
              <w:t>ARTICLE 10</w:t>
            </w:r>
          </w:p>
        </w:tc>
        <w:tc>
          <w:tcPr>
            <w:tcW w:w="28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168"/>
        </w:trPr>
        <w:tc>
          <w:tcPr>
            <w:tcW w:w="1240" w:type="dxa"/>
            <w:vAlign w:val="bottom"/>
          </w:tcPr>
          <w:p>
            <w:pPr>
              <w:spacing w:after="0"/>
              <w:rPr>
                <w:sz w:val="14"/>
                <w:szCs w:val="14"/>
                <w:color w:val="auto"/>
              </w:rPr>
            </w:pPr>
          </w:p>
        </w:tc>
        <w:tc>
          <w:tcPr>
            <w:tcW w:w="5600" w:type="dxa"/>
            <w:vAlign w:val="bottom"/>
            <w:gridSpan w:val="2"/>
          </w:tcPr>
          <w:p>
            <w:pPr>
              <w:jc w:val="center"/>
              <w:ind w:right="987"/>
              <w:spacing w:after="0" w:line="168" w:lineRule="exact"/>
              <w:rPr>
                <w:sz w:val="20"/>
                <w:szCs w:val="20"/>
                <w:color w:val="auto"/>
              </w:rPr>
            </w:pPr>
            <w:r>
              <w:rPr>
                <w:rFonts w:ascii="Courier New" w:cs="Courier New" w:eastAsia="Courier New" w:hAnsi="Courier New"/>
                <w:sz w:val="15"/>
                <w:szCs w:val="15"/>
                <w:color w:val="auto"/>
                <w:w w:val="97"/>
              </w:rPr>
              <w:t>MISCELLANEOUS PROVISIONS</w:t>
            </w:r>
          </w:p>
        </w:tc>
        <w:tc>
          <w:tcPr>
            <w:tcW w:w="160" w:type="dxa"/>
            <w:vAlign w:val="bottom"/>
          </w:tcPr>
          <w:p>
            <w:pPr>
              <w:spacing w:after="0"/>
              <w:rPr>
                <w:sz w:val="14"/>
                <w:szCs w:val="14"/>
                <w:color w:val="auto"/>
              </w:rPr>
            </w:pPr>
          </w:p>
        </w:tc>
      </w:tr>
      <w:tr>
        <w:trPr>
          <w:trHeight w:val="336"/>
        </w:trPr>
        <w:tc>
          <w:tcPr>
            <w:tcW w:w="6840" w:type="dxa"/>
            <w:vAlign w:val="bottom"/>
            <w:gridSpan w:val="3"/>
          </w:tcPr>
          <w:p>
            <w:pPr>
              <w:spacing w:after="0"/>
              <w:rPr>
                <w:sz w:val="20"/>
                <w:szCs w:val="20"/>
                <w:color w:val="auto"/>
              </w:rPr>
            </w:pPr>
            <w:r>
              <w:rPr>
                <w:rFonts w:ascii="Courier New" w:cs="Courier New" w:eastAsia="Courier New" w:hAnsi="Courier New"/>
                <w:sz w:val="15"/>
                <w:szCs w:val="15"/>
                <w:color w:val="auto"/>
              </w:rPr>
              <w:t>Section 10.01. Incorporators, Stockholders, Officers and Directors</w:t>
            </w:r>
          </w:p>
        </w:tc>
        <w:tc>
          <w:tcPr>
            <w:tcW w:w="160" w:type="dxa"/>
            <w:vAlign w:val="bottom"/>
          </w:tcPr>
          <w:p>
            <w:pPr>
              <w:spacing w:after="0"/>
              <w:rPr>
                <w:sz w:val="24"/>
                <w:szCs w:val="24"/>
                <w:color w:val="auto"/>
              </w:rPr>
            </w:pPr>
          </w:p>
        </w:tc>
      </w:tr>
      <w:tr>
        <w:trPr>
          <w:trHeight w:val="168"/>
        </w:trPr>
        <w:tc>
          <w:tcPr>
            <w:tcW w:w="1240" w:type="dxa"/>
            <w:vAlign w:val="bottom"/>
          </w:tcPr>
          <w:p>
            <w:pPr>
              <w:spacing w:after="0"/>
              <w:rPr>
                <w:sz w:val="14"/>
                <w:szCs w:val="14"/>
                <w:color w:val="auto"/>
              </w:rPr>
            </w:pPr>
          </w:p>
        </w:tc>
        <w:tc>
          <w:tcPr>
            <w:tcW w:w="560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w w:val="96"/>
              </w:rPr>
              <w:t>Exempt from Individual Liability...............................</w:t>
            </w:r>
          </w:p>
        </w:tc>
        <w:tc>
          <w:tcPr>
            <w:tcW w:w="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77"/>
              </w:rPr>
              <w:t>57</w:t>
            </w:r>
          </w:p>
        </w:tc>
      </w:tr>
      <w:tr>
        <w:trPr>
          <w:trHeight w:val="168"/>
        </w:trPr>
        <w:tc>
          <w:tcPr>
            <w:tcW w:w="684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rPr>
              <w:t>Section 10.02. Provisions of Indenture for the Sole Benefit of</w:t>
            </w:r>
          </w:p>
        </w:tc>
        <w:tc>
          <w:tcPr>
            <w:tcW w:w="160" w:type="dxa"/>
            <w:vAlign w:val="bottom"/>
          </w:tcPr>
          <w:p>
            <w:pPr>
              <w:spacing w:after="0"/>
              <w:rPr>
                <w:sz w:val="14"/>
                <w:szCs w:val="14"/>
                <w:color w:val="auto"/>
              </w:rPr>
            </w:pPr>
          </w:p>
        </w:tc>
      </w:tr>
      <w:tr>
        <w:trPr>
          <w:trHeight w:val="168"/>
        </w:trPr>
        <w:tc>
          <w:tcPr>
            <w:tcW w:w="1240" w:type="dxa"/>
            <w:vAlign w:val="bottom"/>
          </w:tcPr>
          <w:p>
            <w:pPr>
              <w:spacing w:after="0"/>
              <w:rPr>
                <w:sz w:val="14"/>
                <w:szCs w:val="14"/>
                <w:color w:val="auto"/>
              </w:rPr>
            </w:pPr>
          </w:p>
        </w:tc>
        <w:tc>
          <w:tcPr>
            <w:tcW w:w="280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96"/>
              </w:rPr>
              <w:t>Parties and Securityholders....</w:t>
            </w:r>
          </w:p>
        </w:tc>
        <w:tc>
          <w:tcPr>
            <w:tcW w:w="2800" w:type="dxa"/>
            <w:vAlign w:val="bottom"/>
          </w:tcPr>
          <w:p>
            <w:pPr>
              <w:spacing w:after="0" w:line="168" w:lineRule="exact"/>
              <w:rPr>
                <w:sz w:val="20"/>
                <w:szCs w:val="20"/>
                <w:color w:val="auto"/>
              </w:rPr>
            </w:pPr>
            <w:r>
              <w:rPr>
                <w:rFonts w:ascii="Courier New" w:cs="Courier New" w:eastAsia="Courier New" w:hAnsi="Courier New"/>
                <w:sz w:val="15"/>
                <w:szCs w:val="15"/>
                <w:color w:val="auto"/>
              </w:rPr>
              <w:t>57</w:t>
            </w:r>
          </w:p>
        </w:tc>
        <w:tc>
          <w:tcPr>
            <w:tcW w:w="160" w:type="dxa"/>
            <w:vAlign w:val="bottom"/>
          </w:tcPr>
          <w:p>
            <w:pPr>
              <w:spacing w:after="0"/>
              <w:rPr>
                <w:sz w:val="14"/>
                <w:szCs w:val="14"/>
                <w:color w:val="auto"/>
              </w:rPr>
            </w:pPr>
          </w:p>
        </w:tc>
      </w:tr>
      <w:tr>
        <w:trPr>
          <w:trHeight w:val="168"/>
        </w:trPr>
        <w:tc>
          <w:tcPr>
            <w:tcW w:w="684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w w:val="97"/>
              </w:rPr>
              <w:t>Section 10.03. Successors and Assigns of Issuer Bound by Indenture............</w:t>
            </w:r>
          </w:p>
        </w:tc>
        <w:tc>
          <w:tcPr>
            <w:tcW w:w="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77"/>
              </w:rPr>
              <w:t>57</w:t>
            </w:r>
          </w:p>
        </w:tc>
      </w:tr>
      <w:tr>
        <w:trPr>
          <w:trHeight w:val="168"/>
        </w:trPr>
        <w:tc>
          <w:tcPr>
            <w:tcW w:w="684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w w:val="97"/>
              </w:rPr>
              <w:t>Section 10.04. Notices and Demands on Issuer, Trustee and Securityholders.....</w:t>
            </w:r>
          </w:p>
        </w:tc>
        <w:tc>
          <w:tcPr>
            <w:tcW w:w="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77"/>
              </w:rPr>
              <w:t>57</w:t>
            </w:r>
          </w:p>
        </w:tc>
      </w:tr>
    </w:tbl>
    <w:p>
      <w:pPr>
        <w:sectPr>
          <w:pgSz w:w="11900" w:h="16838" w:orient="portrait"/>
          <w:cols w:equalWidth="0" w:num="1">
            <w:col w:w="10239"/>
          </w:cols>
          <w:pgMar w:left="220" w:top="785" w:right="1440" w:bottom="0" w:gutter="0" w:footer="0" w:header="0"/>
        </w:sectPr>
      </w:pPr>
    </w:p>
    <w:bookmarkStart w:id="147" w:name="page148"/>
    <w:bookmarkEnd w:id="147"/>
    <w:p>
      <w:pPr>
        <w:spacing w:after="0"/>
        <w:rPr>
          <w:sz w:val="20"/>
          <w:szCs w:val="20"/>
          <w:color w:val="auto"/>
        </w:rPr>
      </w:pPr>
      <w:r>
        <w:rPr>
          <w:rFonts w:ascii="Courier New" w:cs="Courier New" w:eastAsia="Courier New" w:hAnsi="Courier New"/>
          <w:sz w:val="15"/>
          <w:szCs w:val="15"/>
          <w:color w:val="auto"/>
        </w:rPr>
        <w:t>Section 10.05. Officers' Certificates and Opinions of Counsel;</w:t>
      </w:r>
    </w:p>
    <w:p>
      <w:pPr>
        <w:jc w:val="right"/>
        <w:ind w:right="3239"/>
        <w:spacing w:after="0"/>
        <w:tabs>
          <w:tab w:leader="dot" w:pos="140" w:val="left"/>
        </w:tabs>
        <w:rPr>
          <w:sz w:val="20"/>
          <w:szCs w:val="20"/>
          <w:color w:val="auto"/>
        </w:rPr>
      </w:pPr>
      <w:r>
        <w:rPr>
          <w:rFonts w:ascii="Courier New" w:cs="Courier New" w:eastAsia="Courier New" w:hAnsi="Courier New"/>
          <w:sz w:val="15"/>
          <w:szCs w:val="15"/>
          <w:color w:val="auto"/>
        </w:rPr>
        <w:t>Statements to Be Contained Therein</w:t>
      </w:r>
      <w:r>
        <w:rPr>
          <w:sz w:val="20"/>
          <w:szCs w:val="20"/>
          <w:color w:val="auto"/>
        </w:rPr>
        <w:tab/>
      </w:r>
      <w:r>
        <w:rPr>
          <w:rFonts w:ascii="Courier New" w:cs="Courier New" w:eastAsia="Courier New" w:hAnsi="Courier New"/>
          <w:sz w:val="12"/>
          <w:szCs w:val="12"/>
          <w:color w:val="auto"/>
        </w:rPr>
        <w:t>58</w:t>
      </w:r>
    </w:p>
    <w:p>
      <w:pPr>
        <w:spacing w:after="0"/>
        <w:tabs>
          <w:tab w:leader="dot" w:pos="6820" w:val="left"/>
        </w:tabs>
        <w:rPr>
          <w:sz w:val="20"/>
          <w:szCs w:val="20"/>
          <w:color w:val="auto"/>
        </w:rPr>
      </w:pPr>
      <w:r>
        <w:rPr>
          <w:rFonts w:ascii="Courier New" w:cs="Courier New" w:eastAsia="Courier New" w:hAnsi="Courier New"/>
          <w:sz w:val="15"/>
          <w:szCs w:val="15"/>
          <w:color w:val="auto"/>
        </w:rPr>
        <w:t>Section 10.06. Payments Due on Saturdays, Sundays and Holidays</w:t>
      </w:r>
      <w:r>
        <w:rPr>
          <w:sz w:val="20"/>
          <w:szCs w:val="20"/>
          <w:color w:val="auto"/>
        </w:rPr>
        <w:tab/>
      </w:r>
      <w:r>
        <w:rPr>
          <w:rFonts w:ascii="Courier New" w:cs="Courier New" w:eastAsia="Courier New" w:hAnsi="Courier New"/>
          <w:sz w:val="12"/>
          <w:szCs w:val="12"/>
          <w:color w:val="auto"/>
        </w:rPr>
        <w:t>59</w:t>
      </w:r>
    </w:p>
    <w:p>
      <w:pPr>
        <w:spacing w:after="0" w:line="237" w:lineRule="auto"/>
        <w:rPr>
          <w:sz w:val="20"/>
          <w:szCs w:val="20"/>
          <w:color w:val="auto"/>
        </w:rPr>
      </w:pPr>
      <w:r>
        <w:rPr>
          <w:rFonts w:ascii="Courier New" w:cs="Courier New" w:eastAsia="Courier New" w:hAnsi="Courier New"/>
          <w:sz w:val="15"/>
          <w:szCs w:val="15"/>
          <w:color w:val="auto"/>
        </w:rPr>
        <w:t>Section 10.07. Conflict of Any Provision of Indenture with Trust</w:t>
      </w:r>
    </w:p>
    <w:p>
      <w:pPr>
        <w:jc w:val="right"/>
        <w:ind w:right="3239"/>
        <w:spacing w:after="0"/>
        <w:tabs>
          <w:tab w:leader="dot" w:pos="140" w:val="left"/>
        </w:tabs>
        <w:rPr>
          <w:sz w:val="20"/>
          <w:szCs w:val="20"/>
          <w:color w:val="auto"/>
        </w:rPr>
      </w:pPr>
      <w:r>
        <w:rPr>
          <w:rFonts w:ascii="Courier New" w:cs="Courier New" w:eastAsia="Courier New" w:hAnsi="Courier New"/>
          <w:sz w:val="15"/>
          <w:szCs w:val="15"/>
          <w:color w:val="auto"/>
        </w:rPr>
        <w:t>Indenture Act of 1939</w:t>
      </w:r>
      <w:r>
        <w:rPr>
          <w:sz w:val="20"/>
          <w:szCs w:val="20"/>
          <w:color w:val="auto"/>
        </w:rPr>
        <w:tab/>
      </w:r>
      <w:r>
        <w:rPr>
          <w:rFonts w:ascii="Courier New" w:cs="Courier New" w:eastAsia="Courier New" w:hAnsi="Courier New"/>
          <w:sz w:val="12"/>
          <w:szCs w:val="12"/>
          <w:color w:val="auto"/>
        </w:rPr>
        <w:t>59</w:t>
      </w:r>
    </w:p>
    <w:p>
      <w:pPr>
        <w:spacing w:after="0"/>
        <w:tabs>
          <w:tab w:leader="dot" w:pos="6820" w:val="left"/>
        </w:tabs>
        <w:rPr>
          <w:sz w:val="20"/>
          <w:szCs w:val="20"/>
          <w:color w:val="auto"/>
        </w:rPr>
      </w:pPr>
      <w:r>
        <w:rPr>
          <w:rFonts w:ascii="Courier New" w:cs="Courier New" w:eastAsia="Courier New" w:hAnsi="Courier New"/>
          <w:sz w:val="15"/>
          <w:szCs w:val="15"/>
          <w:color w:val="auto"/>
        </w:rPr>
        <w:t>Section 10.08. New York Law to Govern</w:t>
      </w:r>
      <w:r>
        <w:rPr>
          <w:sz w:val="20"/>
          <w:szCs w:val="20"/>
          <w:color w:val="auto"/>
        </w:rPr>
        <w:tab/>
      </w:r>
      <w:r>
        <w:rPr>
          <w:rFonts w:ascii="Courier New" w:cs="Courier New" w:eastAsia="Courier New" w:hAnsi="Courier New"/>
          <w:sz w:val="12"/>
          <w:szCs w:val="12"/>
          <w:color w:val="auto"/>
        </w:rPr>
        <w:t>59</w:t>
      </w:r>
    </w:p>
    <w:p>
      <w:pPr>
        <w:spacing w:after="0" w:line="33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iii</w:t>
      </w:r>
    </w:p>
    <w:p>
      <w:pPr>
        <w:spacing w:after="0" w:line="200" w:lineRule="exact"/>
        <w:rPr>
          <w:sz w:val="20"/>
          <w:szCs w:val="20"/>
          <w:color w:val="auto"/>
        </w:rPr>
      </w:pPr>
    </w:p>
    <w:p>
      <w:pPr>
        <w:spacing w:after="0" w:line="303" w:lineRule="exact"/>
        <w:rPr>
          <w:sz w:val="20"/>
          <w:szCs w:val="20"/>
          <w:color w:val="auto"/>
        </w:rPr>
      </w:pPr>
    </w:p>
    <w:p>
      <w:pPr>
        <w:spacing w:after="0"/>
        <w:tabs>
          <w:tab w:leader="dot" w:pos="6820" w:val="left"/>
        </w:tabs>
        <w:rPr>
          <w:sz w:val="20"/>
          <w:szCs w:val="20"/>
          <w:color w:val="auto"/>
        </w:rPr>
      </w:pPr>
      <w:r>
        <w:rPr>
          <w:rFonts w:ascii="Courier New" w:cs="Courier New" w:eastAsia="Courier New" w:hAnsi="Courier New"/>
          <w:sz w:val="15"/>
          <w:szCs w:val="15"/>
          <w:color w:val="auto"/>
        </w:rPr>
        <w:t>Section 10.09. Counterparts</w:t>
      </w:r>
      <w:r>
        <w:rPr>
          <w:sz w:val="20"/>
          <w:szCs w:val="20"/>
          <w:color w:val="auto"/>
        </w:rPr>
        <w:tab/>
      </w:r>
      <w:r>
        <w:rPr>
          <w:rFonts w:ascii="Courier New" w:cs="Courier New" w:eastAsia="Courier New" w:hAnsi="Courier New"/>
          <w:sz w:val="12"/>
          <w:szCs w:val="12"/>
          <w:color w:val="auto"/>
        </w:rPr>
        <w:t>59</w:t>
      </w:r>
    </w:p>
    <w:p>
      <w:pPr>
        <w:spacing w:after="0"/>
        <w:tabs>
          <w:tab w:leader="dot" w:pos="6820" w:val="left"/>
        </w:tabs>
        <w:rPr>
          <w:sz w:val="20"/>
          <w:szCs w:val="20"/>
          <w:color w:val="auto"/>
        </w:rPr>
      </w:pPr>
      <w:r>
        <w:rPr>
          <w:rFonts w:ascii="Courier New" w:cs="Courier New" w:eastAsia="Courier New" w:hAnsi="Courier New"/>
          <w:sz w:val="15"/>
          <w:szCs w:val="15"/>
          <w:color w:val="auto"/>
        </w:rPr>
        <w:t>Section 10.10. Effect of Headings</w:t>
      </w:r>
      <w:r>
        <w:rPr>
          <w:sz w:val="20"/>
          <w:szCs w:val="20"/>
          <w:color w:val="auto"/>
        </w:rPr>
        <w:tab/>
      </w:r>
      <w:r>
        <w:rPr>
          <w:rFonts w:ascii="Courier New" w:cs="Courier New" w:eastAsia="Courier New" w:hAnsi="Courier New"/>
          <w:sz w:val="12"/>
          <w:szCs w:val="12"/>
          <w:color w:val="auto"/>
        </w:rPr>
        <w:t>60</w:t>
      </w:r>
    </w:p>
    <w:p>
      <w:pPr>
        <w:spacing w:after="0" w:line="335"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ARTICLE 11</w:t>
      </w:r>
    </w:p>
    <w:p>
      <w:pPr>
        <w:ind w:left="1580"/>
        <w:spacing w:after="0" w:line="237" w:lineRule="auto"/>
        <w:rPr>
          <w:sz w:val="20"/>
          <w:szCs w:val="20"/>
          <w:color w:val="auto"/>
        </w:rPr>
      </w:pPr>
      <w:r>
        <w:rPr>
          <w:rFonts w:ascii="Courier New" w:cs="Courier New" w:eastAsia="Courier New" w:hAnsi="Courier New"/>
          <w:sz w:val="15"/>
          <w:szCs w:val="15"/>
          <w:color w:val="auto"/>
        </w:rPr>
        <w:t>REDEMPTION OF SECURITIES AND SINKING FUNDS</w:t>
      </w:r>
    </w:p>
    <w:p>
      <w:pPr>
        <w:spacing w:after="0" w:line="167" w:lineRule="exact"/>
        <w:rPr>
          <w:sz w:val="20"/>
          <w:szCs w:val="20"/>
          <w:color w:val="auto"/>
        </w:rPr>
      </w:pPr>
    </w:p>
    <w:p>
      <w:pPr>
        <w:spacing w:after="0"/>
        <w:tabs>
          <w:tab w:leader="dot" w:pos="6820" w:val="left"/>
        </w:tabs>
        <w:rPr>
          <w:sz w:val="20"/>
          <w:szCs w:val="20"/>
          <w:color w:val="auto"/>
        </w:rPr>
      </w:pPr>
      <w:r>
        <w:rPr>
          <w:rFonts w:ascii="Courier New" w:cs="Courier New" w:eastAsia="Courier New" w:hAnsi="Courier New"/>
          <w:sz w:val="15"/>
          <w:szCs w:val="15"/>
          <w:color w:val="auto"/>
        </w:rPr>
        <w:t>Section 11.01. Applicability of Article</w:t>
      </w:r>
      <w:r>
        <w:rPr>
          <w:sz w:val="20"/>
          <w:szCs w:val="20"/>
          <w:color w:val="auto"/>
        </w:rPr>
        <w:tab/>
      </w:r>
      <w:r>
        <w:rPr>
          <w:rFonts w:ascii="Courier New" w:cs="Courier New" w:eastAsia="Courier New" w:hAnsi="Courier New"/>
          <w:sz w:val="12"/>
          <w:szCs w:val="12"/>
          <w:color w:val="auto"/>
        </w:rPr>
        <w:t>60</w:t>
      </w:r>
    </w:p>
    <w:p>
      <w:pPr>
        <w:spacing w:after="0"/>
        <w:tabs>
          <w:tab w:leader="dot" w:pos="6820" w:val="left"/>
        </w:tabs>
        <w:rPr>
          <w:sz w:val="20"/>
          <w:szCs w:val="20"/>
          <w:color w:val="auto"/>
        </w:rPr>
      </w:pPr>
      <w:r>
        <w:rPr>
          <w:rFonts w:ascii="Courier New" w:cs="Courier New" w:eastAsia="Courier New" w:hAnsi="Courier New"/>
          <w:sz w:val="15"/>
          <w:szCs w:val="15"/>
          <w:color w:val="auto"/>
        </w:rPr>
        <w:t>Section 11.02. Notice of Redemption; Partial Redemptions</w:t>
      </w:r>
      <w:r>
        <w:rPr>
          <w:sz w:val="20"/>
          <w:szCs w:val="20"/>
          <w:color w:val="auto"/>
        </w:rPr>
        <w:tab/>
      </w:r>
      <w:r>
        <w:rPr>
          <w:rFonts w:ascii="Courier New" w:cs="Courier New" w:eastAsia="Courier New" w:hAnsi="Courier New"/>
          <w:sz w:val="12"/>
          <w:szCs w:val="12"/>
          <w:color w:val="auto"/>
        </w:rPr>
        <w:t>60</w:t>
      </w:r>
    </w:p>
    <w:p>
      <w:pPr>
        <w:spacing w:after="0"/>
        <w:tabs>
          <w:tab w:leader="dot" w:pos="6820" w:val="left"/>
        </w:tabs>
        <w:rPr>
          <w:sz w:val="20"/>
          <w:szCs w:val="20"/>
          <w:color w:val="auto"/>
        </w:rPr>
      </w:pPr>
      <w:r>
        <w:rPr>
          <w:rFonts w:ascii="Courier New" w:cs="Courier New" w:eastAsia="Courier New" w:hAnsi="Courier New"/>
          <w:sz w:val="15"/>
          <w:szCs w:val="15"/>
          <w:color w:val="auto"/>
        </w:rPr>
        <w:t>Section 11.03. Payment of Securities Called for Redemption</w:t>
      </w:r>
      <w:r>
        <w:rPr>
          <w:sz w:val="20"/>
          <w:szCs w:val="20"/>
          <w:color w:val="auto"/>
        </w:rPr>
        <w:tab/>
      </w:r>
      <w:r>
        <w:rPr>
          <w:rFonts w:ascii="Courier New" w:cs="Courier New" w:eastAsia="Courier New" w:hAnsi="Courier New"/>
          <w:sz w:val="12"/>
          <w:szCs w:val="12"/>
          <w:color w:val="auto"/>
        </w:rPr>
        <w:t>61</w:t>
      </w:r>
    </w:p>
    <w:p>
      <w:pPr>
        <w:spacing w:after="0" w:line="237" w:lineRule="auto"/>
        <w:rPr>
          <w:sz w:val="20"/>
          <w:szCs w:val="20"/>
          <w:color w:val="auto"/>
        </w:rPr>
      </w:pPr>
      <w:r>
        <w:rPr>
          <w:rFonts w:ascii="Courier New" w:cs="Courier New" w:eastAsia="Courier New" w:hAnsi="Courier New"/>
          <w:sz w:val="15"/>
          <w:szCs w:val="15"/>
          <w:color w:val="auto"/>
        </w:rPr>
        <w:t>Section 11.04. Exclusion of Certain Securities from Eligibility for</w:t>
      </w:r>
    </w:p>
    <w:p>
      <w:pPr>
        <w:jc w:val="right"/>
        <w:ind w:right="3239"/>
        <w:spacing w:after="0"/>
        <w:tabs>
          <w:tab w:leader="dot" w:pos="140" w:val="left"/>
        </w:tabs>
        <w:rPr>
          <w:sz w:val="20"/>
          <w:szCs w:val="20"/>
          <w:color w:val="auto"/>
        </w:rPr>
      </w:pPr>
      <w:r>
        <w:rPr>
          <w:rFonts w:ascii="Courier New" w:cs="Courier New" w:eastAsia="Courier New" w:hAnsi="Courier New"/>
          <w:sz w:val="15"/>
          <w:szCs w:val="15"/>
          <w:color w:val="auto"/>
        </w:rPr>
        <w:t>Selection for Redemption</w:t>
      </w:r>
      <w:r>
        <w:rPr>
          <w:sz w:val="20"/>
          <w:szCs w:val="20"/>
          <w:color w:val="auto"/>
        </w:rPr>
        <w:tab/>
      </w:r>
      <w:r>
        <w:rPr>
          <w:rFonts w:ascii="Courier New" w:cs="Courier New" w:eastAsia="Courier New" w:hAnsi="Courier New"/>
          <w:sz w:val="12"/>
          <w:szCs w:val="12"/>
          <w:color w:val="auto"/>
        </w:rPr>
        <w:t>62</w:t>
      </w:r>
    </w:p>
    <w:p>
      <w:pPr>
        <w:spacing w:after="0"/>
        <w:tabs>
          <w:tab w:leader="dot" w:pos="6820" w:val="left"/>
        </w:tabs>
        <w:rPr>
          <w:sz w:val="20"/>
          <w:szCs w:val="20"/>
          <w:color w:val="auto"/>
        </w:rPr>
      </w:pPr>
      <w:r>
        <w:rPr>
          <w:rFonts w:ascii="Courier New" w:cs="Courier New" w:eastAsia="Courier New" w:hAnsi="Courier New"/>
          <w:sz w:val="15"/>
          <w:szCs w:val="15"/>
          <w:color w:val="auto"/>
        </w:rPr>
        <w:t>Section 11.05. Mandatory and Optional Sinking Funds</w:t>
      </w:r>
      <w:r>
        <w:rPr>
          <w:sz w:val="20"/>
          <w:szCs w:val="20"/>
          <w:color w:val="auto"/>
        </w:rPr>
        <w:tab/>
      </w:r>
      <w:r>
        <w:rPr>
          <w:rFonts w:ascii="Courier New" w:cs="Courier New" w:eastAsia="Courier New" w:hAnsi="Courier New"/>
          <w:sz w:val="12"/>
          <w:szCs w:val="12"/>
          <w:color w:val="auto"/>
        </w:rPr>
        <w:t>62</w:t>
      </w:r>
    </w:p>
    <w:p>
      <w:pPr>
        <w:spacing w:after="0"/>
        <w:tabs>
          <w:tab w:leader="dot" w:pos="6820" w:val="left"/>
        </w:tabs>
        <w:rPr>
          <w:sz w:val="20"/>
          <w:szCs w:val="20"/>
          <w:color w:val="auto"/>
        </w:rPr>
      </w:pPr>
      <w:r>
        <w:rPr>
          <w:rFonts w:ascii="Courier New" w:cs="Courier New" w:eastAsia="Courier New" w:hAnsi="Courier New"/>
          <w:sz w:val="15"/>
          <w:szCs w:val="15"/>
          <w:color w:val="auto"/>
        </w:rPr>
        <w:t>Section 11.06. Conversion Arrangement on Call for Redemption</w:t>
      </w:r>
      <w:r>
        <w:rPr>
          <w:sz w:val="20"/>
          <w:szCs w:val="20"/>
          <w:color w:val="auto"/>
        </w:rPr>
        <w:tab/>
      </w:r>
      <w:r>
        <w:rPr>
          <w:rFonts w:ascii="Courier New" w:cs="Courier New" w:eastAsia="Courier New" w:hAnsi="Courier New"/>
          <w:sz w:val="12"/>
          <w:szCs w:val="12"/>
          <w:color w:val="auto"/>
        </w:rPr>
        <w:t>65</w:t>
      </w:r>
    </w:p>
    <w:p>
      <w:pPr>
        <w:spacing w:after="0" w:line="335"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ARTICLE 12</w:t>
      </w:r>
    </w:p>
    <w:p>
      <w:pPr>
        <w:ind w:left="2380"/>
        <w:spacing w:after="0" w:line="237" w:lineRule="auto"/>
        <w:rPr>
          <w:sz w:val="20"/>
          <w:szCs w:val="20"/>
          <w:color w:val="auto"/>
        </w:rPr>
      </w:pPr>
      <w:r>
        <w:rPr>
          <w:rFonts w:ascii="Courier New" w:cs="Courier New" w:eastAsia="Courier New" w:hAnsi="Courier New"/>
          <w:sz w:val="15"/>
          <w:szCs w:val="15"/>
          <w:color w:val="auto"/>
        </w:rPr>
        <w:t>SUBORDINATION OF SECURITIES</w:t>
      </w:r>
    </w:p>
    <w:p>
      <w:pPr>
        <w:spacing w:after="0" w:line="167" w:lineRule="exact"/>
        <w:rPr>
          <w:sz w:val="20"/>
          <w:szCs w:val="20"/>
          <w:color w:val="auto"/>
        </w:rPr>
      </w:pPr>
    </w:p>
    <w:p>
      <w:pPr>
        <w:spacing w:after="0"/>
        <w:tabs>
          <w:tab w:leader="dot" w:pos="6820" w:val="left"/>
        </w:tabs>
        <w:rPr>
          <w:sz w:val="20"/>
          <w:szCs w:val="20"/>
          <w:color w:val="auto"/>
        </w:rPr>
      </w:pPr>
      <w:r>
        <w:rPr>
          <w:rFonts w:ascii="Courier New" w:cs="Courier New" w:eastAsia="Courier New" w:hAnsi="Courier New"/>
          <w:sz w:val="15"/>
          <w:szCs w:val="15"/>
          <w:color w:val="auto"/>
        </w:rPr>
        <w:t>Section 12.01. Agreement of Subordination</w:t>
      </w:r>
      <w:r>
        <w:rPr>
          <w:sz w:val="20"/>
          <w:szCs w:val="20"/>
          <w:color w:val="auto"/>
        </w:rPr>
        <w:tab/>
      </w:r>
      <w:r>
        <w:rPr>
          <w:rFonts w:ascii="Courier New" w:cs="Courier New" w:eastAsia="Courier New" w:hAnsi="Courier New"/>
          <w:sz w:val="12"/>
          <w:szCs w:val="12"/>
          <w:color w:val="auto"/>
        </w:rPr>
        <w:t>66</w:t>
      </w:r>
    </w:p>
    <w:p>
      <w:pPr>
        <w:spacing w:after="0"/>
        <w:tabs>
          <w:tab w:leader="dot" w:pos="6820" w:val="left"/>
        </w:tabs>
        <w:rPr>
          <w:sz w:val="20"/>
          <w:szCs w:val="20"/>
          <w:color w:val="auto"/>
        </w:rPr>
      </w:pPr>
      <w:r>
        <w:rPr>
          <w:rFonts w:ascii="Courier New" w:cs="Courier New" w:eastAsia="Courier New" w:hAnsi="Courier New"/>
          <w:sz w:val="15"/>
          <w:szCs w:val="15"/>
          <w:color w:val="auto"/>
        </w:rPr>
        <w:t>Section 12.02. Payments to Securityholders</w:t>
      </w:r>
      <w:r>
        <w:rPr>
          <w:sz w:val="20"/>
          <w:szCs w:val="20"/>
          <w:color w:val="auto"/>
        </w:rPr>
        <w:tab/>
      </w:r>
      <w:r>
        <w:rPr>
          <w:rFonts w:ascii="Courier New" w:cs="Courier New" w:eastAsia="Courier New" w:hAnsi="Courier New"/>
          <w:sz w:val="12"/>
          <w:szCs w:val="12"/>
          <w:color w:val="auto"/>
        </w:rPr>
        <w:t>66</w:t>
      </w:r>
    </w:p>
    <w:p>
      <w:pPr>
        <w:spacing w:after="0"/>
        <w:tabs>
          <w:tab w:leader="dot" w:pos="6820" w:val="left"/>
        </w:tabs>
        <w:rPr>
          <w:sz w:val="20"/>
          <w:szCs w:val="20"/>
          <w:color w:val="auto"/>
        </w:rPr>
      </w:pPr>
      <w:r>
        <w:rPr>
          <w:rFonts w:ascii="Courier New" w:cs="Courier New" w:eastAsia="Courier New" w:hAnsi="Courier New"/>
          <w:sz w:val="15"/>
          <w:szCs w:val="15"/>
          <w:color w:val="auto"/>
        </w:rPr>
        <w:t>Section 12.03. Subrogation of Securities</w:t>
      </w:r>
      <w:r>
        <w:rPr>
          <w:sz w:val="20"/>
          <w:szCs w:val="20"/>
          <w:color w:val="auto"/>
        </w:rPr>
        <w:tab/>
      </w:r>
      <w:r>
        <w:rPr>
          <w:rFonts w:ascii="Courier New" w:cs="Courier New" w:eastAsia="Courier New" w:hAnsi="Courier New"/>
          <w:sz w:val="12"/>
          <w:szCs w:val="12"/>
          <w:color w:val="auto"/>
        </w:rPr>
        <w:t>68</w:t>
      </w:r>
    </w:p>
    <w:p>
      <w:pPr>
        <w:spacing w:after="0"/>
        <w:tabs>
          <w:tab w:leader="dot" w:pos="6820" w:val="left"/>
        </w:tabs>
        <w:rPr>
          <w:sz w:val="20"/>
          <w:szCs w:val="20"/>
          <w:color w:val="auto"/>
        </w:rPr>
      </w:pPr>
      <w:r>
        <w:rPr>
          <w:rFonts w:ascii="Courier New" w:cs="Courier New" w:eastAsia="Courier New" w:hAnsi="Courier New"/>
          <w:sz w:val="15"/>
          <w:szCs w:val="15"/>
          <w:color w:val="auto"/>
        </w:rPr>
        <w:t>Section 12.04. Authorization by Securityholders</w:t>
      </w:r>
      <w:r>
        <w:rPr>
          <w:sz w:val="20"/>
          <w:szCs w:val="20"/>
          <w:color w:val="auto"/>
        </w:rPr>
        <w:tab/>
      </w:r>
      <w:r>
        <w:rPr>
          <w:rFonts w:ascii="Courier New" w:cs="Courier New" w:eastAsia="Courier New" w:hAnsi="Courier New"/>
          <w:sz w:val="12"/>
          <w:szCs w:val="12"/>
          <w:color w:val="auto"/>
        </w:rPr>
        <w:t>69</w:t>
      </w:r>
    </w:p>
    <w:p>
      <w:pPr>
        <w:spacing w:after="0"/>
        <w:tabs>
          <w:tab w:leader="dot" w:pos="6820" w:val="left"/>
        </w:tabs>
        <w:rPr>
          <w:sz w:val="20"/>
          <w:szCs w:val="20"/>
          <w:color w:val="auto"/>
        </w:rPr>
      </w:pPr>
      <w:r>
        <w:rPr>
          <w:rFonts w:ascii="Courier New" w:cs="Courier New" w:eastAsia="Courier New" w:hAnsi="Courier New"/>
          <w:sz w:val="15"/>
          <w:szCs w:val="15"/>
          <w:color w:val="auto"/>
        </w:rPr>
        <w:t>Section 12.05. Notice to Trustee</w:t>
      </w:r>
      <w:r>
        <w:rPr>
          <w:sz w:val="20"/>
          <w:szCs w:val="20"/>
          <w:color w:val="auto"/>
        </w:rPr>
        <w:tab/>
      </w:r>
      <w:r>
        <w:rPr>
          <w:rFonts w:ascii="Courier New" w:cs="Courier New" w:eastAsia="Courier New" w:hAnsi="Courier New"/>
          <w:sz w:val="12"/>
          <w:szCs w:val="12"/>
          <w:color w:val="auto"/>
        </w:rPr>
        <w:t>69</w:t>
      </w:r>
    </w:p>
    <w:p>
      <w:pPr>
        <w:spacing w:after="0"/>
        <w:tabs>
          <w:tab w:leader="dot" w:pos="6820" w:val="left"/>
        </w:tabs>
        <w:rPr>
          <w:sz w:val="20"/>
          <w:szCs w:val="20"/>
          <w:color w:val="auto"/>
        </w:rPr>
      </w:pPr>
      <w:r>
        <w:rPr>
          <w:rFonts w:ascii="Courier New" w:cs="Courier New" w:eastAsia="Courier New" w:hAnsi="Courier New"/>
          <w:sz w:val="15"/>
          <w:szCs w:val="15"/>
          <w:color w:val="auto"/>
        </w:rPr>
        <w:t>Section 12.06. Trustee's Relation to Senior Indebtedness</w:t>
      </w:r>
      <w:r>
        <w:rPr>
          <w:sz w:val="20"/>
          <w:szCs w:val="20"/>
          <w:color w:val="auto"/>
        </w:rPr>
        <w:tab/>
      </w:r>
      <w:r>
        <w:rPr>
          <w:rFonts w:ascii="Courier New" w:cs="Courier New" w:eastAsia="Courier New" w:hAnsi="Courier New"/>
          <w:sz w:val="12"/>
          <w:szCs w:val="12"/>
          <w:color w:val="auto"/>
        </w:rPr>
        <w:t>70</w:t>
      </w:r>
    </w:p>
    <w:p>
      <w:pPr>
        <w:spacing w:after="0"/>
        <w:tabs>
          <w:tab w:leader="dot" w:pos="6820" w:val="left"/>
        </w:tabs>
        <w:rPr>
          <w:sz w:val="20"/>
          <w:szCs w:val="20"/>
          <w:color w:val="auto"/>
        </w:rPr>
      </w:pPr>
      <w:r>
        <w:rPr>
          <w:rFonts w:ascii="Courier New" w:cs="Courier New" w:eastAsia="Courier New" w:hAnsi="Courier New"/>
          <w:sz w:val="15"/>
          <w:szCs w:val="15"/>
          <w:color w:val="auto"/>
        </w:rPr>
        <w:t>Section 12.07. No Impairment of Subordination</w:t>
      </w:r>
      <w:r>
        <w:rPr>
          <w:sz w:val="20"/>
          <w:szCs w:val="20"/>
          <w:color w:val="auto"/>
        </w:rPr>
        <w:tab/>
      </w:r>
      <w:r>
        <w:rPr>
          <w:rFonts w:ascii="Courier New" w:cs="Courier New" w:eastAsia="Courier New" w:hAnsi="Courier New"/>
          <w:sz w:val="12"/>
          <w:szCs w:val="12"/>
          <w:color w:val="auto"/>
        </w:rPr>
        <w:t>70</w:t>
      </w:r>
    </w:p>
    <w:p>
      <w:pPr>
        <w:spacing w:after="0"/>
        <w:tabs>
          <w:tab w:leader="dot" w:pos="6820" w:val="left"/>
        </w:tabs>
        <w:rPr>
          <w:sz w:val="20"/>
          <w:szCs w:val="20"/>
          <w:color w:val="auto"/>
        </w:rPr>
      </w:pPr>
      <w:r>
        <w:rPr>
          <w:rFonts w:ascii="Courier New" w:cs="Courier New" w:eastAsia="Courier New" w:hAnsi="Courier New"/>
          <w:sz w:val="15"/>
          <w:szCs w:val="15"/>
          <w:color w:val="auto"/>
        </w:rPr>
        <w:t>Section 12.08. Rights of Trustee</w:t>
      </w:r>
      <w:r>
        <w:rPr>
          <w:sz w:val="20"/>
          <w:szCs w:val="20"/>
          <w:color w:val="auto"/>
        </w:rPr>
        <w:tab/>
      </w:r>
      <w:r>
        <w:rPr>
          <w:rFonts w:ascii="Courier New" w:cs="Courier New" w:eastAsia="Courier New" w:hAnsi="Courier New"/>
          <w:sz w:val="12"/>
          <w:szCs w:val="12"/>
          <w:color w:val="auto"/>
        </w:rPr>
        <w:t>71</w:t>
      </w:r>
    </w:p>
    <w:p>
      <w:pPr>
        <w:spacing w:after="0" w:line="335"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ARTICLE 13</w:t>
      </w:r>
    </w:p>
    <w:p>
      <w:pPr>
        <w:ind w:left="2380"/>
        <w:spacing w:after="0" w:line="237" w:lineRule="auto"/>
        <w:rPr>
          <w:sz w:val="20"/>
          <w:szCs w:val="20"/>
          <w:color w:val="auto"/>
        </w:rPr>
      </w:pPr>
      <w:r>
        <w:rPr>
          <w:rFonts w:ascii="Courier New" w:cs="Courier New" w:eastAsia="Courier New" w:hAnsi="Courier New"/>
          <w:sz w:val="15"/>
          <w:szCs w:val="15"/>
          <w:color w:val="auto"/>
        </w:rPr>
        <w:t>CONVERSION OF SECURITIES</w:t>
      </w:r>
    </w:p>
    <w:p>
      <w:pPr>
        <w:spacing w:after="0" w:line="167" w:lineRule="exact"/>
        <w:rPr>
          <w:sz w:val="20"/>
          <w:szCs w:val="20"/>
          <w:color w:val="auto"/>
        </w:rPr>
      </w:pPr>
    </w:p>
    <w:p>
      <w:pPr>
        <w:spacing w:after="0"/>
        <w:tabs>
          <w:tab w:leader="dot" w:pos="6820" w:val="left"/>
        </w:tabs>
        <w:rPr>
          <w:sz w:val="20"/>
          <w:szCs w:val="20"/>
          <w:color w:val="auto"/>
        </w:rPr>
      </w:pPr>
      <w:r>
        <w:rPr>
          <w:rFonts w:ascii="Courier New" w:cs="Courier New" w:eastAsia="Courier New" w:hAnsi="Courier New"/>
          <w:sz w:val="15"/>
          <w:szCs w:val="15"/>
          <w:color w:val="auto"/>
        </w:rPr>
        <w:t>Section 13.01. Applicability of Article</w:t>
      </w:r>
      <w:r>
        <w:rPr>
          <w:sz w:val="20"/>
          <w:szCs w:val="20"/>
          <w:color w:val="auto"/>
        </w:rPr>
        <w:tab/>
      </w:r>
      <w:r>
        <w:rPr>
          <w:rFonts w:ascii="Courier New" w:cs="Courier New" w:eastAsia="Courier New" w:hAnsi="Courier New"/>
          <w:sz w:val="12"/>
          <w:szCs w:val="12"/>
          <w:color w:val="auto"/>
        </w:rPr>
        <w:t>71</w:t>
      </w:r>
    </w:p>
    <w:p>
      <w:pPr>
        <w:spacing w:after="0"/>
        <w:tabs>
          <w:tab w:leader="dot" w:pos="6820" w:val="left"/>
        </w:tabs>
        <w:rPr>
          <w:sz w:val="20"/>
          <w:szCs w:val="20"/>
          <w:color w:val="auto"/>
        </w:rPr>
      </w:pPr>
      <w:r>
        <w:rPr>
          <w:rFonts w:ascii="Courier New" w:cs="Courier New" w:eastAsia="Courier New" w:hAnsi="Courier New"/>
          <w:sz w:val="15"/>
          <w:szCs w:val="15"/>
          <w:color w:val="auto"/>
        </w:rPr>
        <w:t>Section 13.02. Right of Securityholders to Convert Securities</w:t>
      </w:r>
      <w:r>
        <w:rPr>
          <w:sz w:val="20"/>
          <w:szCs w:val="20"/>
          <w:color w:val="auto"/>
        </w:rPr>
        <w:tab/>
      </w:r>
      <w:r>
        <w:rPr>
          <w:rFonts w:ascii="Courier New" w:cs="Courier New" w:eastAsia="Courier New" w:hAnsi="Courier New"/>
          <w:sz w:val="12"/>
          <w:szCs w:val="12"/>
          <w:color w:val="auto"/>
        </w:rPr>
        <w:t>71</w:t>
      </w:r>
    </w:p>
    <w:p>
      <w:pPr>
        <w:spacing w:after="0"/>
        <w:tabs>
          <w:tab w:leader="dot" w:pos="6820" w:val="left"/>
        </w:tabs>
        <w:rPr>
          <w:sz w:val="20"/>
          <w:szCs w:val="20"/>
          <w:color w:val="auto"/>
        </w:rPr>
      </w:pPr>
      <w:r>
        <w:rPr>
          <w:rFonts w:ascii="Courier New" w:cs="Courier New" w:eastAsia="Courier New" w:hAnsi="Courier New"/>
          <w:sz w:val="15"/>
          <w:szCs w:val="15"/>
          <w:color w:val="auto"/>
        </w:rPr>
        <w:t>Section 13.03. Issuance of Shares of Capital Stock on Conversion</w:t>
      </w:r>
      <w:r>
        <w:rPr>
          <w:sz w:val="20"/>
          <w:szCs w:val="20"/>
          <w:color w:val="auto"/>
        </w:rPr>
        <w:tab/>
      </w:r>
      <w:r>
        <w:rPr>
          <w:rFonts w:ascii="Courier New" w:cs="Courier New" w:eastAsia="Courier New" w:hAnsi="Courier New"/>
          <w:sz w:val="12"/>
          <w:szCs w:val="12"/>
          <w:color w:val="auto"/>
        </w:rPr>
        <w:t>72</w:t>
      </w:r>
    </w:p>
    <w:p>
      <w:pPr>
        <w:spacing w:after="0"/>
        <w:tabs>
          <w:tab w:leader="dot" w:pos="6820" w:val="left"/>
        </w:tabs>
        <w:rPr>
          <w:sz w:val="20"/>
          <w:szCs w:val="20"/>
          <w:color w:val="auto"/>
        </w:rPr>
      </w:pPr>
      <w:r>
        <w:rPr>
          <w:rFonts w:ascii="Courier New" w:cs="Courier New" w:eastAsia="Courier New" w:hAnsi="Courier New"/>
          <w:sz w:val="15"/>
          <w:szCs w:val="15"/>
          <w:color w:val="auto"/>
        </w:rPr>
        <w:t>Section 13.04. No Payment or Adjustment for Interest or Dividends</w:t>
      </w:r>
      <w:r>
        <w:rPr>
          <w:sz w:val="20"/>
          <w:szCs w:val="20"/>
          <w:color w:val="auto"/>
        </w:rPr>
        <w:tab/>
      </w:r>
      <w:r>
        <w:rPr>
          <w:rFonts w:ascii="Courier New" w:cs="Courier New" w:eastAsia="Courier New" w:hAnsi="Courier New"/>
          <w:sz w:val="12"/>
          <w:szCs w:val="12"/>
          <w:color w:val="auto"/>
        </w:rPr>
        <w:t>73</w:t>
      </w:r>
    </w:p>
    <w:p>
      <w:pPr>
        <w:spacing w:after="0"/>
        <w:tabs>
          <w:tab w:leader="dot" w:pos="6820" w:val="left"/>
        </w:tabs>
        <w:rPr>
          <w:sz w:val="20"/>
          <w:szCs w:val="20"/>
          <w:color w:val="auto"/>
        </w:rPr>
      </w:pPr>
      <w:r>
        <w:rPr>
          <w:rFonts w:ascii="Courier New" w:cs="Courier New" w:eastAsia="Courier New" w:hAnsi="Courier New"/>
          <w:sz w:val="15"/>
          <w:szCs w:val="15"/>
          <w:color w:val="auto"/>
        </w:rPr>
        <w:t>Section 13.05. Adjustment of Conversion Rate</w:t>
      </w:r>
      <w:r>
        <w:rPr>
          <w:sz w:val="20"/>
          <w:szCs w:val="20"/>
          <w:color w:val="auto"/>
        </w:rPr>
        <w:tab/>
      </w:r>
      <w:r>
        <w:rPr>
          <w:rFonts w:ascii="Courier New" w:cs="Courier New" w:eastAsia="Courier New" w:hAnsi="Courier New"/>
          <w:sz w:val="12"/>
          <w:szCs w:val="12"/>
          <w:color w:val="auto"/>
        </w:rPr>
        <w:t>73</w:t>
      </w:r>
    </w:p>
    <w:p>
      <w:pPr>
        <w:spacing w:after="0"/>
        <w:tabs>
          <w:tab w:leader="dot" w:pos="6820" w:val="left"/>
        </w:tabs>
        <w:rPr>
          <w:sz w:val="20"/>
          <w:szCs w:val="20"/>
          <w:color w:val="auto"/>
        </w:rPr>
      </w:pPr>
      <w:r>
        <w:rPr>
          <w:rFonts w:ascii="Courier New" w:cs="Courier New" w:eastAsia="Courier New" w:hAnsi="Courier New"/>
          <w:sz w:val="15"/>
          <w:szCs w:val="15"/>
          <w:color w:val="auto"/>
        </w:rPr>
        <w:t>Section 13.06. No Fractional Shares to Be Issued</w:t>
      </w:r>
      <w:r>
        <w:rPr>
          <w:sz w:val="20"/>
          <w:szCs w:val="20"/>
          <w:color w:val="auto"/>
        </w:rPr>
        <w:tab/>
      </w:r>
      <w:r>
        <w:rPr>
          <w:rFonts w:ascii="Courier New" w:cs="Courier New" w:eastAsia="Courier New" w:hAnsi="Courier New"/>
          <w:sz w:val="12"/>
          <w:szCs w:val="12"/>
          <w:color w:val="auto"/>
        </w:rPr>
        <w:t>78</w:t>
      </w:r>
    </w:p>
    <w:p>
      <w:pPr>
        <w:spacing w:after="0" w:line="238" w:lineRule="auto"/>
        <w:rPr>
          <w:sz w:val="20"/>
          <w:szCs w:val="20"/>
          <w:color w:val="auto"/>
        </w:rPr>
      </w:pPr>
      <w:r>
        <w:rPr>
          <w:rFonts w:ascii="Courier New" w:cs="Courier New" w:eastAsia="Courier New" w:hAnsi="Courier New"/>
          <w:sz w:val="15"/>
          <w:szCs w:val="15"/>
          <w:color w:val="auto"/>
        </w:rPr>
        <w:t>Section 13.07. Preservation of Conversion Rights Upon</w:t>
      </w:r>
    </w:p>
    <w:p>
      <w:pPr>
        <w:jc w:val="right"/>
        <w:ind w:right="3239"/>
        <w:spacing w:after="0"/>
        <w:tabs>
          <w:tab w:leader="dot" w:pos="140" w:val="left"/>
        </w:tabs>
        <w:rPr>
          <w:sz w:val="20"/>
          <w:szCs w:val="20"/>
          <w:color w:val="auto"/>
        </w:rPr>
      </w:pPr>
      <w:r>
        <w:rPr>
          <w:rFonts w:ascii="Courier New" w:cs="Courier New" w:eastAsia="Courier New" w:hAnsi="Courier New"/>
          <w:sz w:val="15"/>
          <w:szCs w:val="15"/>
          <w:color w:val="auto"/>
        </w:rPr>
        <w:t>Consolidation, Merger, Sale or Conveyance</w:t>
      </w:r>
      <w:r>
        <w:rPr>
          <w:sz w:val="20"/>
          <w:szCs w:val="20"/>
          <w:color w:val="auto"/>
        </w:rPr>
        <w:tab/>
      </w:r>
      <w:r>
        <w:rPr>
          <w:rFonts w:ascii="Courier New" w:cs="Courier New" w:eastAsia="Courier New" w:hAnsi="Courier New"/>
          <w:sz w:val="12"/>
          <w:szCs w:val="12"/>
          <w:color w:val="auto"/>
        </w:rPr>
        <w:t>78</w:t>
      </w:r>
    </w:p>
    <w:p>
      <w:pPr>
        <w:spacing w:after="0" w:line="238" w:lineRule="auto"/>
        <w:rPr>
          <w:sz w:val="20"/>
          <w:szCs w:val="20"/>
          <w:color w:val="auto"/>
        </w:rPr>
      </w:pPr>
      <w:r>
        <w:rPr>
          <w:rFonts w:ascii="Courier New" w:cs="Courier New" w:eastAsia="Courier New" w:hAnsi="Courier New"/>
          <w:sz w:val="15"/>
          <w:szCs w:val="15"/>
          <w:color w:val="auto"/>
        </w:rPr>
        <w:t>Section 13.08. Notice to Security Holders of a Series Prior to</w:t>
      </w:r>
    </w:p>
    <w:p>
      <w:pPr>
        <w:jc w:val="right"/>
        <w:ind w:right="3239"/>
        <w:spacing w:after="0"/>
        <w:tabs>
          <w:tab w:leader="dot" w:pos="140" w:val="left"/>
        </w:tabs>
        <w:rPr>
          <w:sz w:val="20"/>
          <w:szCs w:val="20"/>
          <w:color w:val="auto"/>
        </w:rPr>
      </w:pPr>
      <w:r>
        <w:rPr>
          <w:rFonts w:ascii="Courier New" w:cs="Courier New" w:eastAsia="Courier New" w:hAnsi="Courier New"/>
          <w:sz w:val="15"/>
          <w:szCs w:val="15"/>
          <w:color w:val="auto"/>
        </w:rPr>
        <w:t>Taking Certain Types of Action</w:t>
      </w:r>
      <w:r>
        <w:rPr>
          <w:sz w:val="20"/>
          <w:szCs w:val="20"/>
          <w:color w:val="auto"/>
        </w:rPr>
        <w:tab/>
      </w:r>
      <w:r>
        <w:rPr>
          <w:rFonts w:ascii="Courier New" w:cs="Courier New" w:eastAsia="Courier New" w:hAnsi="Courier New"/>
          <w:sz w:val="12"/>
          <w:szCs w:val="12"/>
          <w:color w:val="auto"/>
        </w:rPr>
        <w:t>79</w:t>
      </w:r>
    </w:p>
    <w:p>
      <w:pPr>
        <w:spacing w:after="0" w:line="237" w:lineRule="auto"/>
        <w:rPr>
          <w:sz w:val="20"/>
          <w:szCs w:val="20"/>
          <w:color w:val="auto"/>
        </w:rPr>
      </w:pPr>
      <w:r>
        <w:rPr>
          <w:rFonts w:ascii="Courier New" w:cs="Courier New" w:eastAsia="Courier New" w:hAnsi="Courier New"/>
          <w:sz w:val="15"/>
          <w:szCs w:val="15"/>
          <w:color w:val="auto"/>
        </w:rPr>
        <w:t>Section 13.09. Covenant to Reserve Shares for Issuance on</w:t>
      </w:r>
    </w:p>
    <w:p>
      <w:pPr>
        <w:jc w:val="right"/>
        <w:ind w:right="3239"/>
        <w:spacing w:after="0"/>
        <w:tabs>
          <w:tab w:leader="dot" w:pos="140" w:val="left"/>
        </w:tabs>
        <w:rPr>
          <w:sz w:val="20"/>
          <w:szCs w:val="20"/>
          <w:color w:val="auto"/>
        </w:rPr>
      </w:pPr>
      <w:r>
        <w:rPr>
          <w:rFonts w:ascii="Courier New" w:cs="Courier New" w:eastAsia="Courier New" w:hAnsi="Courier New"/>
          <w:sz w:val="15"/>
          <w:szCs w:val="15"/>
          <w:color w:val="auto"/>
        </w:rPr>
        <w:t>Conversion of Securities</w:t>
      </w:r>
      <w:r>
        <w:rPr>
          <w:sz w:val="20"/>
          <w:szCs w:val="20"/>
          <w:color w:val="auto"/>
        </w:rPr>
        <w:tab/>
      </w:r>
      <w:r>
        <w:rPr>
          <w:rFonts w:ascii="Courier New" w:cs="Courier New" w:eastAsia="Courier New" w:hAnsi="Courier New"/>
          <w:sz w:val="12"/>
          <w:szCs w:val="12"/>
          <w:color w:val="auto"/>
        </w:rPr>
        <w:t>80</w:t>
      </w:r>
    </w:p>
    <w:p>
      <w:pPr>
        <w:spacing w:after="0"/>
        <w:tabs>
          <w:tab w:leader="dot" w:pos="6820" w:val="left"/>
        </w:tabs>
        <w:rPr>
          <w:sz w:val="20"/>
          <w:szCs w:val="20"/>
          <w:color w:val="auto"/>
        </w:rPr>
      </w:pPr>
      <w:r>
        <w:rPr>
          <w:rFonts w:ascii="Courier New" w:cs="Courier New" w:eastAsia="Courier New" w:hAnsi="Courier New"/>
          <w:sz w:val="15"/>
          <w:szCs w:val="15"/>
          <w:color w:val="auto"/>
        </w:rPr>
        <w:t>Section 13.10. Compliance with Governmental Requirements</w:t>
      </w:r>
      <w:r>
        <w:rPr>
          <w:sz w:val="20"/>
          <w:szCs w:val="20"/>
          <w:color w:val="auto"/>
        </w:rPr>
        <w:tab/>
      </w:r>
      <w:r>
        <w:rPr>
          <w:rFonts w:ascii="Courier New" w:cs="Courier New" w:eastAsia="Courier New" w:hAnsi="Courier New"/>
          <w:sz w:val="12"/>
          <w:szCs w:val="12"/>
          <w:color w:val="auto"/>
        </w:rPr>
        <w:t>80</w:t>
      </w:r>
    </w:p>
    <w:p>
      <w:pPr>
        <w:spacing w:after="0" w:line="238" w:lineRule="auto"/>
        <w:rPr>
          <w:sz w:val="20"/>
          <w:szCs w:val="20"/>
          <w:color w:val="auto"/>
        </w:rPr>
      </w:pPr>
      <w:r>
        <w:rPr>
          <w:rFonts w:ascii="Courier New" w:cs="Courier New" w:eastAsia="Courier New" w:hAnsi="Courier New"/>
          <w:sz w:val="15"/>
          <w:szCs w:val="15"/>
          <w:color w:val="auto"/>
        </w:rPr>
        <w:t>Section 13.11. Payment of Taxes Upon Certificates for Shares</w:t>
      </w:r>
    </w:p>
    <w:p>
      <w:pPr>
        <w:jc w:val="right"/>
        <w:ind w:right="3239"/>
        <w:spacing w:after="0"/>
        <w:tabs>
          <w:tab w:leader="dot" w:pos="140" w:val="left"/>
        </w:tabs>
        <w:rPr>
          <w:sz w:val="20"/>
          <w:szCs w:val="20"/>
          <w:color w:val="auto"/>
        </w:rPr>
      </w:pPr>
      <w:r>
        <w:rPr>
          <w:rFonts w:ascii="Courier New" w:cs="Courier New" w:eastAsia="Courier New" w:hAnsi="Courier New"/>
          <w:sz w:val="15"/>
          <w:szCs w:val="15"/>
          <w:color w:val="auto"/>
        </w:rPr>
        <w:t>Issued Upon Conversion</w:t>
      </w:r>
      <w:r>
        <w:rPr>
          <w:sz w:val="20"/>
          <w:szCs w:val="20"/>
          <w:color w:val="auto"/>
        </w:rPr>
        <w:tab/>
      </w:r>
      <w:r>
        <w:rPr>
          <w:rFonts w:ascii="Courier New" w:cs="Courier New" w:eastAsia="Courier New" w:hAnsi="Courier New"/>
          <w:sz w:val="12"/>
          <w:szCs w:val="12"/>
          <w:color w:val="auto"/>
        </w:rPr>
        <w:t>80</w:t>
      </w:r>
    </w:p>
    <w:p>
      <w:pPr>
        <w:spacing w:after="0"/>
        <w:tabs>
          <w:tab w:leader="dot" w:pos="6820" w:val="left"/>
        </w:tabs>
        <w:rPr>
          <w:sz w:val="20"/>
          <w:szCs w:val="20"/>
          <w:color w:val="auto"/>
        </w:rPr>
      </w:pPr>
      <w:r>
        <w:rPr>
          <w:rFonts w:ascii="Courier New" w:cs="Courier New" w:eastAsia="Courier New" w:hAnsi="Courier New"/>
          <w:sz w:val="15"/>
          <w:szCs w:val="15"/>
          <w:color w:val="auto"/>
        </w:rPr>
        <w:t>Section 13.12. Trustee's Duties with Respect to Conversion Provisions</w:t>
      </w:r>
      <w:r>
        <w:rPr>
          <w:sz w:val="20"/>
          <w:szCs w:val="20"/>
          <w:color w:val="auto"/>
        </w:rPr>
        <w:tab/>
      </w:r>
      <w:r>
        <w:rPr>
          <w:rFonts w:ascii="Courier New" w:cs="Courier New" w:eastAsia="Courier New" w:hAnsi="Courier New"/>
          <w:sz w:val="12"/>
          <w:szCs w:val="12"/>
          <w:color w:val="auto"/>
        </w:rPr>
        <w:t>81</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iv</w:t>
      </w:r>
    </w:p>
    <w:p>
      <w:pPr>
        <w:spacing w:after="0" w:line="200" w:lineRule="exact"/>
        <w:rPr>
          <w:sz w:val="20"/>
          <w:szCs w:val="20"/>
          <w:color w:val="auto"/>
        </w:rPr>
      </w:pPr>
    </w:p>
    <w:p>
      <w:pPr>
        <w:spacing w:after="0" w:line="303"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ARTICLE 14</w:t>
      </w:r>
    </w:p>
    <w:p>
      <w:pPr>
        <w:ind w:left="3080"/>
        <w:spacing w:after="0" w:line="237" w:lineRule="auto"/>
        <w:rPr>
          <w:sz w:val="20"/>
          <w:szCs w:val="20"/>
          <w:color w:val="auto"/>
        </w:rPr>
      </w:pPr>
      <w:r>
        <w:rPr>
          <w:rFonts w:ascii="Courier New" w:cs="Courier New" w:eastAsia="Courier New" w:hAnsi="Courier New"/>
          <w:sz w:val="15"/>
          <w:szCs w:val="15"/>
          <w:color w:val="auto"/>
        </w:rPr>
        <w:t>GUARANTEES</w:t>
      </w:r>
    </w:p>
    <w:p>
      <w:pPr>
        <w:spacing w:after="0" w:line="167" w:lineRule="exact"/>
        <w:rPr>
          <w:sz w:val="20"/>
          <w:szCs w:val="20"/>
          <w:color w:val="auto"/>
        </w:rPr>
      </w:pPr>
    </w:p>
    <w:p>
      <w:pPr>
        <w:spacing w:after="0"/>
        <w:tabs>
          <w:tab w:leader="dot" w:pos="6820" w:val="left"/>
        </w:tabs>
        <w:rPr>
          <w:sz w:val="20"/>
          <w:szCs w:val="20"/>
          <w:color w:val="auto"/>
        </w:rPr>
      </w:pPr>
      <w:r>
        <w:rPr>
          <w:rFonts w:ascii="Courier New" w:cs="Courier New" w:eastAsia="Courier New" w:hAnsi="Courier New"/>
          <w:sz w:val="15"/>
          <w:szCs w:val="15"/>
          <w:color w:val="auto"/>
        </w:rPr>
        <w:t>Section 14.01. The Cable Guarantees</w:t>
      </w:r>
      <w:r>
        <w:rPr>
          <w:sz w:val="20"/>
          <w:szCs w:val="20"/>
          <w:color w:val="auto"/>
        </w:rPr>
        <w:tab/>
      </w:r>
      <w:r>
        <w:rPr>
          <w:rFonts w:ascii="Courier New" w:cs="Courier New" w:eastAsia="Courier New" w:hAnsi="Courier New"/>
          <w:sz w:val="12"/>
          <w:szCs w:val="12"/>
          <w:color w:val="auto"/>
        </w:rPr>
        <w:t>81</w:t>
      </w:r>
    </w:p>
    <w:p>
      <w:pPr>
        <w:spacing w:after="0"/>
        <w:tabs>
          <w:tab w:leader="dot" w:pos="6820" w:val="left"/>
        </w:tabs>
        <w:rPr>
          <w:sz w:val="20"/>
          <w:szCs w:val="20"/>
          <w:color w:val="auto"/>
        </w:rPr>
      </w:pPr>
      <w:r>
        <w:rPr>
          <w:rFonts w:ascii="Courier New" w:cs="Courier New" w:eastAsia="Courier New" w:hAnsi="Courier New"/>
          <w:sz w:val="15"/>
          <w:szCs w:val="15"/>
          <w:color w:val="auto"/>
        </w:rPr>
        <w:t>Section 14.02. Guarantee Unconditional</w:t>
      </w:r>
      <w:r>
        <w:rPr>
          <w:sz w:val="20"/>
          <w:szCs w:val="20"/>
          <w:color w:val="auto"/>
        </w:rPr>
        <w:tab/>
      </w:r>
      <w:r>
        <w:rPr>
          <w:rFonts w:ascii="Courier New" w:cs="Courier New" w:eastAsia="Courier New" w:hAnsi="Courier New"/>
          <w:sz w:val="12"/>
          <w:szCs w:val="12"/>
          <w:color w:val="auto"/>
        </w:rPr>
        <w:t>82</w:t>
      </w:r>
    </w:p>
    <w:p>
      <w:pPr>
        <w:spacing w:after="0"/>
        <w:tabs>
          <w:tab w:leader="dot" w:pos="6820" w:val="left"/>
        </w:tabs>
        <w:rPr>
          <w:sz w:val="20"/>
          <w:szCs w:val="20"/>
          <w:color w:val="auto"/>
        </w:rPr>
      </w:pPr>
      <w:r>
        <w:rPr>
          <w:rFonts w:ascii="Courier New" w:cs="Courier New" w:eastAsia="Courier New" w:hAnsi="Courier New"/>
          <w:sz w:val="15"/>
          <w:szCs w:val="15"/>
          <w:color w:val="auto"/>
        </w:rPr>
        <w:t>Section 14.03. Discharge; Reinstatement</w:t>
      </w:r>
      <w:r>
        <w:rPr>
          <w:sz w:val="20"/>
          <w:szCs w:val="20"/>
          <w:color w:val="auto"/>
        </w:rPr>
        <w:tab/>
      </w:r>
      <w:r>
        <w:rPr>
          <w:rFonts w:ascii="Courier New" w:cs="Courier New" w:eastAsia="Courier New" w:hAnsi="Courier New"/>
          <w:sz w:val="12"/>
          <w:szCs w:val="12"/>
          <w:color w:val="auto"/>
        </w:rPr>
        <w:t>82</w:t>
      </w:r>
    </w:p>
    <w:p>
      <w:pPr>
        <w:spacing w:after="0"/>
        <w:tabs>
          <w:tab w:leader="dot" w:pos="6820" w:val="left"/>
        </w:tabs>
        <w:rPr>
          <w:sz w:val="20"/>
          <w:szCs w:val="20"/>
          <w:color w:val="auto"/>
        </w:rPr>
      </w:pPr>
      <w:r>
        <w:rPr>
          <w:rFonts w:ascii="Courier New" w:cs="Courier New" w:eastAsia="Courier New" w:hAnsi="Courier New"/>
          <w:sz w:val="15"/>
          <w:szCs w:val="15"/>
          <w:color w:val="auto"/>
        </w:rPr>
        <w:t>Section 14.04. Waiver by the Cable Guarantors</w:t>
      </w:r>
      <w:r>
        <w:rPr>
          <w:sz w:val="20"/>
          <w:szCs w:val="20"/>
          <w:color w:val="auto"/>
        </w:rPr>
        <w:tab/>
      </w:r>
      <w:r>
        <w:rPr>
          <w:rFonts w:ascii="Courier New" w:cs="Courier New" w:eastAsia="Courier New" w:hAnsi="Courier New"/>
          <w:sz w:val="12"/>
          <w:szCs w:val="12"/>
          <w:color w:val="auto"/>
        </w:rPr>
        <w:t>83</w:t>
      </w:r>
    </w:p>
    <w:p>
      <w:pPr>
        <w:spacing w:after="0"/>
        <w:tabs>
          <w:tab w:leader="dot" w:pos="6820" w:val="left"/>
        </w:tabs>
        <w:rPr>
          <w:sz w:val="20"/>
          <w:szCs w:val="20"/>
          <w:color w:val="auto"/>
        </w:rPr>
      </w:pPr>
      <w:r>
        <w:rPr>
          <w:rFonts w:ascii="Courier New" w:cs="Courier New" w:eastAsia="Courier New" w:hAnsi="Courier New"/>
          <w:sz w:val="15"/>
          <w:szCs w:val="15"/>
          <w:color w:val="auto"/>
        </w:rPr>
        <w:t>Section 14.05. Subrogation and Contribution</w:t>
      </w:r>
      <w:r>
        <w:rPr>
          <w:sz w:val="20"/>
          <w:szCs w:val="20"/>
          <w:color w:val="auto"/>
        </w:rPr>
        <w:tab/>
      </w:r>
      <w:r>
        <w:rPr>
          <w:rFonts w:ascii="Courier New" w:cs="Courier New" w:eastAsia="Courier New" w:hAnsi="Courier New"/>
          <w:sz w:val="12"/>
          <w:szCs w:val="12"/>
          <w:color w:val="auto"/>
        </w:rPr>
        <w:t>83</w:t>
      </w:r>
    </w:p>
    <w:p>
      <w:pPr>
        <w:spacing w:after="0"/>
        <w:tabs>
          <w:tab w:leader="dot" w:pos="6820" w:val="left"/>
        </w:tabs>
        <w:rPr>
          <w:sz w:val="20"/>
          <w:szCs w:val="20"/>
          <w:color w:val="auto"/>
        </w:rPr>
      </w:pPr>
      <w:r>
        <w:rPr>
          <w:rFonts w:ascii="Courier New" w:cs="Courier New" w:eastAsia="Courier New" w:hAnsi="Courier New"/>
          <w:sz w:val="15"/>
          <w:szCs w:val="15"/>
          <w:color w:val="auto"/>
        </w:rPr>
        <w:t>Section 14.06. Stay of Acceleration</w:t>
      </w:r>
      <w:r>
        <w:rPr>
          <w:sz w:val="20"/>
          <w:szCs w:val="20"/>
          <w:color w:val="auto"/>
        </w:rPr>
        <w:tab/>
      </w:r>
      <w:r>
        <w:rPr>
          <w:rFonts w:ascii="Courier New" w:cs="Courier New" w:eastAsia="Courier New" w:hAnsi="Courier New"/>
          <w:sz w:val="12"/>
          <w:szCs w:val="12"/>
          <w:color w:val="auto"/>
        </w:rPr>
        <w:t>83</w:t>
      </w:r>
    </w:p>
    <w:p>
      <w:pPr>
        <w:spacing w:after="0"/>
        <w:tabs>
          <w:tab w:leader="dot" w:pos="6820" w:val="left"/>
        </w:tabs>
        <w:rPr>
          <w:sz w:val="20"/>
          <w:szCs w:val="20"/>
          <w:color w:val="auto"/>
        </w:rPr>
      </w:pPr>
      <w:r>
        <w:rPr>
          <w:rFonts w:ascii="Courier New" w:cs="Courier New" w:eastAsia="Courier New" w:hAnsi="Courier New"/>
          <w:sz w:val="15"/>
          <w:szCs w:val="15"/>
          <w:color w:val="auto"/>
        </w:rPr>
        <w:t>Section 14.07. Limitation on Amount of Cable Guarantee</w:t>
      </w:r>
      <w:r>
        <w:rPr>
          <w:sz w:val="20"/>
          <w:szCs w:val="20"/>
          <w:color w:val="auto"/>
        </w:rPr>
        <w:tab/>
      </w:r>
      <w:r>
        <w:rPr>
          <w:rFonts w:ascii="Courier New" w:cs="Courier New" w:eastAsia="Courier New" w:hAnsi="Courier New"/>
          <w:sz w:val="12"/>
          <w:szCs w:val="12"/>
          <w:color w:val="auto"/>
        </w:rPr>
        <w:t>83</w:t>
      </w:r>
    </w:p>
    <w:p>
      <w:pPr>
        <w:spacing w:after="0"/>
        <w:tabs>
          <w:tab w:leader="dot" w:pos="6820" w:val="left"/>
        </w:tabs>
        <w:rPr>
          <w:sz w:val="20"/>
          <w:szCs w:val="20"/>
          <w:color w:val="auto"/>
        </w:rPr>
      </w:pPr>
      <w:r>
        <w:rPr>
          <w:rFonts w:ascii="Courier New" w:cs="Courier New" w:eastAsia="Courier New" w:hAnsi="Courier New"/>
          <w:sz w:val="15"/>
          <w:szCs w:val="15"/>
          <w:color w:val="auto"/>
        </w:rPr>
        <w:t>Section 14.08. Execution and Delivery of Cable Guarantee</w:t>
      </w:r>
      <w:r>
        <w:rPr>
          <w:sz w:val="20"/>
          <w:szCs w:val="20"/>
          <w:color w:val="auto"/>
        </w:rPr>
        <w:tab/>
      </w:r>
      <w:r>
        <w:rPr>
          <w:rFonts w:ascii="Courier New" w:cs="Courier New" w:eastAsia="Courier New" w:hAnsi="Courier New"/>
          <w:sz w:val="12"/>
          <w:szCs w:val="12"/>
          <w:color w:val="auto"/>
        </w:rPr>
        <w:t>83</w:t>
      </w:r>
    </w:p>
    <w:p>
      <w:pPr>
        <w:spacing w:after="0"/>
        <w:tabs>
          <w:tab w:leader="dot" w:pos="6820" w:val="left"/>
        </w:tabs>
        <w:rPr>
          <w:sz w:val="20"/>
          <w:szCs w:val="20"/>
          <w:color w:val="auto"/>
        </w:rPr>
      </w:pPr>
      <w:r>
        <w:rPr>
          <w:rFonts w:ascii="Courier New" w:cs="Courier New" w:eastAsia="Courier New" w:hAnsi="Courier New"/>
          <w:sz w:val="15"/>
          <w:szCs w:val="15"/>
          <w:color w:val="auto"/>
        </w:rPr>
        <w:t>Section 14.09. Release of Cable Guarantee</w:t>
      </w:r>
      <w:r>
        <w:rPr>
          <w:sz w:val="20"/>
          <w:szCs w:val="20"/>
          <w:color w:val="auto"/>
        </w:rPr>
        <w:tab/>
      </w:r>
      <w:r>
        <w:rPr>
          <w:rFonts w:ascii="Courier New" w:cs="Courier New" w:eastAsia="Courier New" w:hAnsi="Courier New"/>
          <w:sz w:val="12"/>
          <w:szCs w:val="12"/>
          <w:color w:val="auto"/>
        </w:rPr>
        <w:t>84</w:t>
      </w:r>
    </w:p>
    <w:p>
      <w:pPr>
        <w:sectPr>
          <w:pgSz w:w="11900" w:h="16838" w:orient="portrait"/>
          <w:cols w:equalWidth="0" w:num="1">
            <w:col w:w="10239"/>
          </w:cols>
          <w:pgMar w:left="220" w:top="135" w:right="1440" w:bottom="85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3420"/>
        <w:spacing w:after="0"/>
        <w:rPr>
          <w:sz w:val="20"/>
          <w:szCs w:val="20"/>
          <w:color w:val="auto"/>
        </w:rPr>
      </w:pPr>
      <w:r>
        <w:rPr>
          <w:rFonts w:ascii="Courier New" w:cs="Courier New" w:eastAsia="Courier New" w:hAnsi="Courier New"/>
          <w:sz w:val="12"/>
          <w:szCs w:val="12"/>
          <w:color w:val="auto"/>
        </w:rPr>
        <w:t>v</w:t>
      </w:r>
    </w:p>
    <w:p>
      <w:pPr>
        <w:sectPr>
          <w:pgSz w:w="11900" w:h="16838" w:orient="portrait"/>
          <w:cols w:equalWidth="0" w:num="1">
            <w:col w:w="10239"/>
          </w:cols>
          <w:pgMar w:left="220" w:top="135" w:right="1440" w:bottom="859" w:gutter="0" w:footer="0" w:header="0"/>
          <w:type w:val="continuous"/>
        </w:sectPr>
      </w:pPr>
    </w:p>
    <w:bookmarkStart w:id="148" w:name="page149"/>
    <w:bookmarkEnd w:id="148"/>
    <w:p>
      <w:pPr>
        <w:ind w:right="3319" w:firstLine="437"/>
        <w:spacing w:after="0" w:line="258" w:lineRule="auto"/>
        <w:rPr>
          <w:sz w:val="20"/>
          <w:szCs w:val="20"/>
          <w:color w:val="auto"/>
        </w:rPr>
      </w:pPr>
      <w:r>
        <w:rPr>
          <w:rFonts w:ascii="Courier New" w:cs="Courier New" w:eastAsia="Courier New" w:hAnsi="Courier New"/>
          <w:sz w:val="14"/>
          <w:szCs w:val="14"/>
          <w:color w:val="auto"/>
        </w:rPr>
        <w:t>THIS INDENTURE, dated as of [ ], among COMCAST CORPORATION, a Pennsylvania corporation (the "Issuer"), the Cable Guarantors party hereto and THE BANK OF NEW YORK, a New York banking corporation, as trustee (the "Trustee").</w:t>
      </w:r>
    </w:p>
    <w:p>
      <w:pPr>
        <w:spacing w:after="0" w:line="323"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W I T N E S S E T H:</w:t>
      </w:r>
    </w:p>
    <w:p>
      <w:pPr>
        <w:spacing w:after="0" w:line="173"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WHEREAS, the Issuer has duly authorized the issue from time to time of its unsecured debentures, notes or other evidences of indebtedness to be issued in one or more series (the "Securities") up to such principal amount or amounts as may from time to time be authorized in accordance with the terms of this Indenture and to provide, among other things, for the authentication, delivery and administration thereof, the Issuer has duly authorized the execution and delivery of this Indenture;</w:t>
      </w:r>
    </w:p>
    <w:p>
      <w:pPr>
        <w:spacing w:after="0" w:line="176"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WHEREAS, the Cable Guarantors party hereto have duly authorized the execution and delivery of the Indenture as guarantors of the Securities, and each Cable Guarantor has done all things necessary to make the Cable Guarantees, when the Securities are executed by the Issuer and authenticated and delivered by the Trustee and duly issued by the Issuer, the valid obligations of such Cable Guarantor as hereinafter provided; and</w:t>
      </w:r>
    </w:p>
    <w:p>
      <w:pPr>
        <w:spacing w:after="0" w:line="175" w:lineRule="exact"/>
        <w:rPr>
          <w:sz w:val="20"/>
          <w:szCs w:val="20"/>
          <w:color w:val="auto"/>
        </w:rPr>
      </w:pPr>
    </w:p>
    <w:p>
      <w:pPr>
        <w:ind w:right="3319" w:firstLine="437"/>
        <w:spacing w:after="0" w:line="234" w:lineRule="auto"/>
        <w:rPr>
          <w:sz w:val="20"/>
          <w:szCs w:val="20"/>
          <w:color w:val="auto"/>
        </w:rPr>
      </w:pPr>
      <w:r>
        <w:rPr>
          <w:rFonts w:ascii="Courier New" w:cs="Courier New" w:eastAsia="Courier New" w:hAnsi="Courier New"/>
          <w:sz w:val="15"/>
          <w:szCs w:val="15"/>
          <w:color w:val="auto"/>
        </w:rPr>
        <w:t>WHEREAS, all things necessary to make this Indenture a valid indenture and agreement according to its terms have been done.</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NOW, THEREFORE:</w:t>
      </w:r>
    </w:p>
    <w:p>
      <w:pPr>
        <w:spacing w:after="0" w:line="173"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In consideration of the premises and the purchases of the Securities by the holders thereof, the Issuer, the Cable Guarantors and the Trustee mutually covenant and agree for the equal and proportionate benefit of the respective holders from time to time of the Securities as follows:</w:t>
      </w:r>
    </w:p>
    <w:p>
      <w:pPr>
        <w:spacing w:after="0" w:line="337"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Article 1</w:t>
      </w:r>
    </w:p>
    <w:p>
      <w:pPr>
        <w:jc w:val="center"/>
        <w:ind w:right="3139"/>
        <w:spacing w:after="0" w:line="237" w:lineRule="auto"/>
        <w:rPr>
          <w:sz w:val="20"/>
          <w:szCs w:val="20"/>
          <w:color w:val="auto"/>
        </w:rPr>
      </w:pPr>
      <w:r>
        <w:rPr>
          <w:rFonts w:ascii="Courier New" w:cs="Courier New" w:eastAsia="Courier New" w:hAnsi="Courier New"/>
          <w:sz w:val="15"/>
          <w:szCs w:val="15"/>
          <w:color w:val="auto"/>
        </w:rPr>
        <w:t>DEFINITIONS</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Section 1.01. Certain Terms Defined. The following terms (except as otherwise expressly provided or unless the context otherwise clearly requires) for all purposes of this Indenture and of any indenture supplemental hereto shall have the respective meanings specified in this Section. All other terms used in this Indenture that are defined in the Trust Indenture Act of 1939 or the definitions of which in the Securities Act of 1933 are referred to in the Trust Indenture Act of 1939, as amended, including terms defined therein by reference to the Securities Act of 1933, as amended, (except as herein otherwise expressly provided or unless the context otherwise clearly requires), shall have the meanings assigned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such terms in said Trust Indenture Act and in said Securities Act as in force at the date of this Indenture. All accounting terms used herein and not expressly defined shall have the meanings assigned to such terms in accordance with GAAP. The words "herein", "hereof" and "hereunder" and other words of similar import refer to this Indenture as a whole and not to any particular Article, Section or other subdivision. The terms defined in this Article have the meanings assigned to them in this Article and include the plural as well as the singular.</w:t>
      </w:r>
    </w:p>
    <w:p>
      <w:pPr>
        <w:spacing w:after="0" w:line="166"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"Authorized Newspaper" means a newspaper in the English language or in an official language of the country of publication, customarily printed on each Business Day, whether or not published on Saturdays, Sundays or holidays, and of general circulation in the place in connection with which the term is used or in the financial community of such place. If, because of temporary suspension of publication or general circulation of any newspaper or for any other reason, it is impossible or impracticable to make any publication of any notice required by this Indenture in the manner herein provided, such publication or other notice in lieu thereof which is made at the written direction of the Issuer by the Trustee shall constitute a sufficient publication of such notice.</w:t>
      </w:r>
    </w:p>
    <w:p>
      <w:pPr>
        <w:spacing w:after="0" w:line="165" w:lineRule="exact"/>
        <w:rPr>
          <w:sz w:val="20"/>
          <w:szCs w:val="20"/>
          <w:color w:val="auto"/>
        </w:rPr>
      </w:pPr>
    </w:p>
    <w:p>
      <w:pPr>
        <w:ind w:right="3399" w:firstLine="437"/>
        <w:spacing w:after="0" w:line="234" w:lineRule="auto"/>
        <w:rPr>
          <w:sz w:val="20"/>
          <w:szCs w:val="20"/>
          <w:color w:val="auto"/>
        </w:rPr>
      </w:pPr>
      <w:r>
        <w:rPr>
          <w:rFonts w:ascii="Courier New" w:cs="Courier New" w:eastAsia="Courier New" w:hAnsi="Courier New"/>
          <w:sz w:val="15"/>
          <w:szCs w:val="15"/>
          <w:color w:val="auto"/>
        </w:rPr>
        <w:t>"Board of Directors" means either the Board of Directors of the Issuer or any committee of such Board duly authorized to act hereunder.</w:t>
      </w:r>
    </w:p>
    <w:p>
      <w:pPr>
        <w:spacing w:after="0" w:line="173"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"Business Day" means, with respect to any Security, a day that in the city (or in all of the cities, if more than one) in which amounts are payable, as specified in the form of such Security, is not a day on which banking institutions are authorized by law or regulation to close.</w:t>
      </w:r>
    </w:p>
    <w:p>
      <w:pPr>
        <w:spacing w:after="0" w:line="175" w:lineRule="exact"/>
        <w:rPr>
          <w:sz w:val="20"/>
          <w:szCs w:val="20"/>
          <w:color w:val="auto"/>
        </w:rPr>
      </w:pPr>
    </w:p>
    <w:p>
      <w:pPr>
        <w:ind w:right="4019" w:firstLine="437"/>
        <w:spacing w:after="0" w:line="234" w:lineRule="auto"/>
        <w:rPr>
          <w:sz w:val="20"/>
          <w:szCs w:val="20"/>
          <w:color w:val="auto"/>
        </w:rPr>
      </w:pPr>
      <w:r>
        <w:rPr>
          <w:rFonts w:ascii="Courier New" w:cs="Courier New" w:eastAsia="Courier New" w:hAnsi="Courier New"/>
          <w:sz w:val="15"/>
          <w:szCs w:val="15"/>
          <w:color w:val="auto"/>
        </w:rPr>
        <w:t>"Cable Guarantee" means the guarantee of the Securities by a Cable Guarantor pursuant to this Indenture.</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"Cable Guarantor" means each of Comcast Cable Communications, Inc., Comcast Cable Communications Holdings, Inc., Comcast Cable Holdings, LLC and Comcast MO Group, Inc., in each case excluding such entities' Subsidiaries and unless and until such Cable Guarantor is released from its Cable Guarantee pursuant to this Indenture.</w:t>
      </w:r>
    </w:p>
    <w:p>
      <w:pPr>
        <w:spacing w:after="0" w:line="174" w:lineRule="exact"/>
        <w:rPr>
          <w:sz w:val="20"/>
          <w:szCs w:val="20"/>
          <w:color w:val="auto"/>
        </w:rPr>
      </w:pPr>
    </w:p>
    <w:p>
      <w:pPr>
        <w:jc w:val="both"/>
        <w:ind w:right="3579" w:firstLine="437"/>
        <w:spacing w:after="0" w:line="236" w:lineRule="auto"/>
        <w:rPr>
          <w:sz w:val="20"/>
          <w:szCs w:val="20"/>
          <w:color w:val="auto"/>
        </w:rPr>
      </w:pPr>
      <w:r>
        <w:rPr>
          <w:rFonts w:ascii="Courier New" w:cs="Courier New" w:eastAsia="Courier New" w:hAnsi="Courier New"/>
          <w:sz w:val="15"/>
          <w:szCs w:val="15"/>
          <w:color w:val="auto"/>
        </w:rPr>
        <w:t>"Capitalized Lease" means, as applied to any Person, any lease of any property (whether real, personal, or mixed) of which the discounted present value of the rental obligations of such Person as lessee, in conformity with GAAP, is required to be capitalized on the balance sheet of such Person; and "Capitalized Lease Obligation" is defined to mean the rental obligations, as aforesaid, under such lease.</w:t>
      </w:r>
    </w:p>
    <w:p>
      <w:pPr>
        <w:sectPr>
          <w:pgSz w:w="11900" w:h="16838" w:orient="portrait"/>
          <w:cols w:equalWidth="0" w:num="1">
            <w:col w:w="10239"/>
          </w:cols>
          <w:pgMar w:left="220" w:top="792" w:right="1440" w:bottom="0" w:gutter="0" w:footer="0" w:header="0"/>
        </w:sectPr>
      </w:pPr>
    </w:p>
    <w:bookmarkStart w:id="149" w:name="page150"/>
    <w:bookmarkEnd w:id="149"/>
    <w:p>
      <w:pPr>
        <w:ind w:right="3499" w:firstLine="437"/>
        <w:spacing w:after="0" w:line="261" w:lineRule="auto"/>
        <w:rPr>
          <w:sz w:val="20"/>
          <w:szCs w:val="20"/>
          <w:color w:val="auto"/>
        </w:rPr>
      </w:pPr>
      <w:r>
        <w:rPr>
          <w:rFonts w:ascii="Courier New" w:cs="Courier New" w:eastAsia="Courier New" w:hAnsi="Courier New"/>
          <w:sz w:val="14"/>
          <w:szCs w:val="14"/>
          <w:color w:val="auto"/>
        </w:rPr>
        <w:t>"Capital Stock" means, with respect to any Person, including the Issuer, any and all shares, interests, participations or other equivalents (however</w:t>
      </w:r>
    </w:p>
    <w:p>
      <w:pPr>
        <w:spacing w:after="0" w:line="32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39"/>
          </w:cols>
          <w:pgMar w:left="220" w:top="141" w:right="1440" w:bottom="1440" w:gutter="0" w:footer="0" w:header="0"/>
        </w:sectPr>
      </w:pPr>
    </w:p>
    <w:bookmarkStart w:id="150" w:name="page151"/>
    <w:bookmarkEnd w:id="150"/>
    <w:p>
      <w:pPr>
        <w:ind w:right="3399"/>
        <w:spacing w:after="0" w:line="235" w:lineRule="auto"/>
        <w:rPr>
          <w:sz w:val="20"/>
          <w:szCs w:val="20"/>
          <w:color w:val="auto"/>
        </w:rPr>
      </w:pPr>
      <w:r>
        <w:rPr>
          <w:rFonts w:ascii="Courier New" w:cs="Courier New" w:eastAsia="Courier New" w:hAnsi="Courier New"/>
          <w:sz w:val="15"/>
          <w:szCs w:val="15"/>
          <w:color w:val="auto"/>
        </w:rPr>
        <w:t>designated, whether voting or non-voting) of such Person's capital stock or other ownership interests, whether now outstanding or issued after the date of this Indenture, including, without limitation, all Common Stock and Preferred Stock.</w:t>
      </w:r>
    </w:p>
    <w:p>
      <w:pPr>
        <w:spacing w:after="0" w:line="175" w:lineRule="exact"/>
        <w:rPr>
          <w:sz w:val="20"/>
          <w:szCs w:val="20"/>
          <w:color w:val="auto"/>
        </w:rPr>
      </w:pPr>
    </w:p>
    <w:p>
      <w:pPr>
        <w:ind w:right="3319" w:firstLine="437"/>
        <w:spacing w:after="0" w:line="234" w:lineRule="auto"/>
        <w:rPr>
          <w:sz w:val="20"/>
          <w:szCs w:val="20"/>
          <w:color w:val="auto"/>
        </w:rPr>
      </w:pPr>
      <w:r>
        <w:rPr>
          <w:rFonts w:ascii="Courier New" w:cs="Courier New" w:eastAsia="Courier New" w:hAnsi="Courier New"/>
          <w:sz w:val="15"/>
          <w:szCs w:val="15"/>
          <w:color w:val="auto"/>
        </w:rPr>
        <w:t>"Class A Common Stock" means the Class A Common Stock, $0.01 par value, of the Issuer.</w:t>
      </w:r>
    </w:p>
    <w:p>
      <w:pPr>
        <w:spacing w:after="0" w:line="173" w:lineRule="exact"/>
        <w:rPr>
          <w:sz w:val="20"/>
          <w:szCs w:val="20"/>
          <w:color w:val="auto"/>
        </w:rPr>
      </w:pPr>
    </w:p>
    <w:p>
      <w:pPr>
        <w:ind w:right="3679" w:firstLine="437"/>
        <w:spacing w:after="0" w:line="234" w:lineRule="auto"/>
        <w:rPr>
          <w:sz w:val="20"/>
          <w:szCs w:val="20"/>
          <w:color w:val="auto"/>
        </w:rPr>
      </w:pPr>
      <w:r>
        <w:rPr>
          <w:rFonts w:ascii="Courier New" w:cs="Courier New" w:eastAsia="Courier New" w:hAnsi="Courier New"/>
          <w:sz w:val="15"/>
          <w:szCs w:val="15"/>
          <w:color w:val="auto"/>
        </w:rPr>
        <w:t>"Class A Special Common Stock" means the Class A Special Common Stock, $0.01 par value, of the Issuer.</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"Closing Price" on any day when used with respect to any class of Capital Stock means (i) if the stock is then listed or admitted to trading on a national securities exchange in the United States, the last reported sale price, regular way, for the stock as reported in the consolidated transaction or other reporting system for securities listed or traded on such exchange, or (ii) if the stock is listed on the National Association of Securities Dealers, Inc. Automated Quotations System National Market System (the "NASDAQ National Market System"), the last reported sale price, regular way, for the stock, as reported on such list, or (iii) if the stock is not so admitted for trading on any national securities exchange or the NASDAQ National Market System, the average of the last reported closing bid and asked prices reported by the National Association of Securities Dealers, Inc. Automated Quotations System as furnished by any member in good standing of the National Association of Securities Dealers, Inc., selected from time to time by the Issuer for that purpose or as quoted by the National Quotation Bureau Incorporated. In the event that no such quotation is available for any day, the Board of Directors shall be entitled to determine in good faith the current market price on the basis of such quotations as it considers appropriate.</w:t>
      </w:r>
    </w:p>
    <w:p>
      <w:pPr>
        <w:spacing w:after="0" w:line="331" w:lineRule="exact"/>
        <w:rPr>
          <w:sz w:val="20"/>
          <w:szCs w:val="20"/>
          <w:color w:val="auto"/>
        </w:rPr>
      </w:pPr>
    </w:p>
    <w:p>
      <w:pPr>
        <w:ind w:right="3319" w:firstLine="437"/>
        <w:spacing w:after="0" w:line="256" w:lineRule="auto"/>
        <w:rPr>
          <w:sz w:val="20"/>
          <w:szCs w:val="20"/>
          <w:color w:val="auto"/>
        </w:rPr>
      </w:pPr>
      <w:r>
        <w:rPr>
          <w:rFonts w:ascii="Courier New" w:cs="Courier New" w:eastAsia="Courier New" w:hAnsi="Courier New"/>
          <w:sz w:val="14"/>
          <w:szCs w:val="14"/>
          <w:color w:val="auto"/>
        </w:rPr>
        <w:t>"Commission" means the Securities and Exchange Commission, as from time to time constituted, created under the Securities Exchange Act of 1934, or if at any time after the execution and delivery of this Indenture such Commission is not existing and performing the duties now assigned to it under the Trust Indenture Act, then the body performing such duties on such date.</w:t>
      </w:r>
    </w:p>
    <w:p>
      <w:pPr>
        <w:spacing w:after="0" w:line="163"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"Common Stock" means, with respect to any Person, any and all shares, interests, participations or other equivalents (however designated, whether voting or non-voting) of such Person's common stock, whether now outstanding or issued after the date of this Indenture, including, without limitation, all series and classes of such common stock.</w:t>
      </w:r>
    </w:p>
    <w:p>
      <w:pPr>
        <w:spacing w:after="0" w:line="174"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"Corporate Trust Office" means the office of the Trustee at which the corporate trust business of the Trustee shall, at any particular time, be principally administered, which office is, at the date as of which this Indenture is dated, located at 101 Barclay Street, Floor 8W, New York, NY 10286, Attention: Corporate Trust Administration.</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39"/>
          </w:cols>
          <w:pgMar w:left="220" w:top="792" w:right="1440" w:bottom="1440" w:gutter="0" w:footer="0" w:header="0"/>
        </w:sectPr>
      </w:pPr>
    </w:p>
    <w:bookmarkStart w:id="151" w:name="page152"/>
    <w:bookmarkEnd w:id="151"/>
    <w:p>
      <w:pPr>
        <w:ind w:right="3239" w:firstLine="437"/>
        <w:spacing w:after="0" w:line="235" w:lineRule="auto"/>
        <w:rPr>
          <w:sz w:val="20"/>
          <w:szCs w:val="20"/>
          <w:color w:val="auto"/>
        </w:rPr>
      </w:pPr>
      <w:r>
        <w:rPr>
          <w:rFonts w:ascii="Courier New" w:cs="Courier New" w:eastAsia="Courier New" w:hAnsi="Courier New"/>
          <w:sz w:val="15"/>
          <w:szCs w:val="15"/>
          <w:color w:val="auto"/>
        </w:rPr>
        <w:t>"Currency Agreement" means any foreign exchange contract, currency swap agreement, or other similar agreement or arrangement designed to protect against the fluctuation in currency values.</w:t>
      </w:r>
    </w:p>
    <w:p>
      <w:pPr>
        <w:spacing w:after="0" w:line="174"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"Default" means any Event of Default as defined in Section 4.01 and any event that is, or after notice or passage of time or both would be, an Event of Default.</w:t>
      </w:r>
    </w:p>
    <w:p>
      <w:pPr>
        <w:spacing w:after="0" w:line="174"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"Depositary" means, with respect to the Securities of any series issuable or issued in the form of one or more Registered Global Securities, the Person designated as Depositary by the Issuer pursuant to Section 2.03 until a successor Depositary shall have become such pursuant to the applicable provisions of this Indenture, and thereafter "Depositary" shall mean or include each Person who is then a Depositary hereunder, and if at any time there is more than one such Person, "Depositary" as used with respect to the Securities of any such series shall mean the Depositary with respect to the Registered Global Securities of that series.</w:t>
      </w:r>
    </w:p>
    <w:p>
      <w:pPr>
        <w:spacing w:after="0" w:line="178" w:lineRule="exact"/>
        <w:rPr>
          <w:sz w:val="20"/>
          <w:szCs w:val="20"/>
          <w:color w:val="auto"/>
        </w:rPr>
      </w:pPr>
    </w:p>
    <w:p>
      <w:pPr>
        <w:ind w:right="3839" w:firstLine="437"/>
        <w:spacing w:after="0" w:line="234" w:lineRule="auto"/>
        <w:rPr>
          <w:sz w:val="20"/>
          <w:szCs w:val="20"/>
          <w:color w:val="auto"/>
        </w:rPr>
      </w:pPr>
      <w:r>
        <w:rPr>
          <w:rFonts w:ascii="Courier New" w:cs="Courier New" w:eastAsia="Courier New" w:hAnsi="Courier New"/>
          <w:sz w:val="15"/>
          <w:szCs w:val="15"/>
          <w:color w:val="auto"/>
        </w:rPr>
        <w:t>"Event of Default" means any event or condition specified as such in Section 4.01.</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"GAAP" means generally accepted accounting principles in the United States of America as in effect as of the date of determination, including, without limitation, those set forth in the opinions and pronouncements of the Accounting Principles Board of the American Institute of Certified Public Accountants and statements and pronouncements of the Financial Accounting Standards Board or in such other statements by such other entity as approved by a significant segment of the accounting profession. All ratios and computations contained in this Indenture shall be computed in conformity with GAAP applied on a consistent basis.</w:t>
      </w:r>
    </w:p>
    <w:p>
      <w:pPr>
        <w:spacing w:after="0" w:line="178"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"Guarantee" means any obligation, contingent or otherwise, of any Person directly or indirectly guaranteeing any Indebtedness or other obligation of any other Person and, without limiting the generality of the foregoing, any obligation, direct or indirect, contingent or otherwise, of such Person:</w:t>
      </w:r>
    </w:p>
    <w:p>
      <w:pPr>
        <w:spacing w:after="0" w:line="175" w:lineRule="exact"/>
        <w:rPr>
          <w:sz w:val="20"/>
          <w:szCs w:val="20"/>
          <w:color w:val="auto"/>
        </w:rPr>
      </w:pPr>
    </w:p>
    <w:p>
      <w:pPr>
        <w:ind w:left="880" w:right="3319" w:firstLine="442"/>
        <w:spacing w:after="0" w:line="236" w:lineRule="auto"/>
        <w:tabs>
          <w:tab w:leader="none" w:pos="1667" w:val="left"/>
        </w:tabs>
        <w:numPr>
          <w:ilvl w:val="0"/>
          <w:numId w:val="1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purchase or pay (or advance or supply funds for the purchase or payment of) such Indebtedness or other obligation of such other Person (whether arising by virtue of partnership arrangements, or by agreement to keep-well, to purchase assets, goods, securities, or services, to take-or-pay, or to maintain financial statement conditions or otherwise); or</w:t>
      </w:r>
    </w:p>
    <w:p>
      <w:pPr>
        <w:spacing w:after="0" w:line="174" w:lineRule="exact"/>
        <w:rPr>
          <w:rFonts w:ascii="Courier New" w:cs="Courier New" w:eastAsia="Courier New" w:hAnsi="Courier New"/>
          <w:sz w:val="15"/>
          <w:szCs w:val="15"/>
          <w:color w:val="auto"/>
        </w:rPr>
      </w:pPr>
    </w:p>
    <w:p>
      <w:pPr>
        <w:ind w:left="880" w:right="3239" w:firstLine="442"/>
        <w:spacing w:after="0" w:line="234" w:lineRule="auto"/>
        <w:tabs>
          <w:tab w:leader="none" w:pos="1667" w:val="left"/>
        </w:tabs>
        <w:numPr>
          <w:ilvl w:val="0"/>
          <w:numId w:val="1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entered into for purposes of assuring in any other manner the obligee of such Indebtedness or other obligation of the payment</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39"/>
          </w:cols>
          <w:pgMar w:left="220" w:top="792" w:right="1440" w:bottom="1440" w:gutter="0" w:footer="0" w:header="0"/>
        </w:sectPr>
      </w:pPr>
    </w:p>
    <w:bookmarkStart w:id="152" w:name="page153"/>
    <w:bookmarkEnd w:id="152"/>
    <w:p>
      <w:pPr>
        <w:ind w:left="880" w:right="3239"/>
        <w:spacing w:after="0" w:line="234" w:lineRule="auto"/>
        <w:rPr>
          <w:sz w:val="20"/>
          <w:szCs w:val="20"/>
          <w:color w:val="auto"/>
        </w:rPr>
      </w:pPr>
      <w:r>
        <w:rPr>
          <w:rFonts w:ascii="Courier New" w:cs="Courier New" w:eastAsia="Courier New" w:hAnsi="Courier New"/>
          <w:sz w:val="15"/>
          <w:szCs w:val="15"/>
          <w:color w:val="auto"/>
        </w:rPr>
        <w:t>thereof or to protect such obligee against loss in respect thereof (in whole or in part);</w:t>
      </w:r>
    </w:p>
    <w:p>
      <w:pPr>
        <w:spacing w:after="0" w:line="173" w:lineRule="exact"/>
        <w:rPr>
          <w:sz w:val="20"/>
          <w:szCs w:val="20"/>
          <w:color w:val="auto"/>
        </w:rPr>
      </w:pPr>
    </w:p>
    <w:p>
      <w:pPr>
        <w:ind w:right="3399" w:firstLine="437"/>
        <w:spacing w:after="0" w:line="235" w:lineRule="auto"/>
        <w:rPr>
          <w:sz w:val="20"/>
          <w:szCs w:val="20"/>
          <w:color w:val="auto"/>
        </w:rPr>
      </w:pPr>
      <w:r>
        <w:rPr>
          <w:rFonts w:ascii="Courier New" w:cs="Courier New" w:eastAsia="Courier New" w:hAnsi="Courier New"/>
          <w:sz w:val="15"/>
          <w:szCs w:val="15"/>
          <w:color w:val="auto"/>
        </w:rPr>
        <w:t>Provided that the term "Guarantee" shall not include endorsements for collection or deposit in the ordinary course of business. The term "Guarantee" used as a verb has a corresponding meaning.</w:t>
      </w:r>
    </w:p>
    <w:p>
      <w:pPr>
        <w:spacing w:after="0" w:line="174" w:lineRule="exact"/>
        <w:rPr>
          <w:sz w:val="20"/>
          <w:szCs w:val="20"/>
          <w:color w:val="auto"/>
        </w:rPr>
      </w:pPr>
    </w:p>
    <w:p>
      <w:pPr>
        <w:ind w:right="3399" w:firstLine="437"/>
        <w:spacing w:after="0" w:line="234" w:lineRule="auto"/>
        <w:rPr>
          <w:sz w:val="20"/>
          <w:szCs w:val="20"/>
          <w:color w:val="auto"/>
        </w:rPr>
      </w:pPr>
      <w:r>
        <w:rPr>
          <w:rFonts w:ascii="Courier New" w:cs="Courier New" w:eastAsia="Courier New" w:hAnsi="Courier New"/>
          <w:sz w:val="15"/>
          <w:szCs w:val="15"/>
          <w:color w:val="auto"/>
        </w:rPr>
        <w:t>"Holder", "holder of Securities", "Securityholder" or other similar terms mean the registered holder of any Security.</w:t>
      </w:r>
    </w:p>
    <w:p>
      <w:pPr>
        <w:spacing w:after="0" w:line="173" w:lineRule="exact"/>
        <w:rPr>
          <w:sz w:val="20"/>
          <w:szCs w:val="20"/>
          <w:color w:val="auto"/>
        </w:rPr>
      </w:pPr>
    </w:p>
    <w:p>
      <w:pPr>
        <w:ind w:right="4279" w:firstLine="437"/>
        <w:spacing w:after="0" w:line="234" w:lineRule="auto"/>
        <w:rPr>
          <w:sz w:val="20"/>
          <w:szCs w:val="20"/>
          <w:color w:val="auto"/>
        </w:rPr>
      </w:pPr>
      <w:r>
        <w:rPr>
          <w:rFonts w:ascii="Courier New" w:cs="Courier New" w:eastAsia="Courier New" w:hAnsi="Courier New"/>
          <w:sz w:val="15"/>
          <w:szCs w:val="15"/>
          <w:color w:val="auto"/>
        </w:rPr>
        <w:t>"Indebtedness" means, with respect to any Person at any date of determination (without duplication):</w:t>
      </w:r>
    </w:p>
    <w:p>
      <w:pPr>
        <w:spacing w:after="0" w:line="167" w:lineRule="exact"/>
        <w:rPr>
          <w:sz w:val="20"/>
          <w:szCs w:val="20"/>
          <w:color w:val="auto"/>
        </w:rPr>
      </w:pPr>
    </w:p>
    <w:p>
      <w:pPr>
        <w:ind w:left="1680" w:hanging="358"/>
        <w:spacing w:after="0"/>
        <w:tabs>
          <w:tab w:leader="none" w:pos="1680" w:val="left"/>
        </w:tabs>
        <w:numPr>
          <w:ilvl w:val="0"/>
          <w:numId w:val="1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indebtedness of such Person for borrowed money;</w:t>
      </w:r>
    </w:p>
    <w:p>
      <w:pPr>
        <w:spacing w:after="0" w:line="172" w:lineRule="exact"/>
        <w:rPr>
          <w:rFonts w:ascii="Courier New" w:cs="Courier New" w:eastAsia="Courier New" w:hAnsi="Courier New"/>
          <w:sz w:val="15"/>
          <w:szCs w:val="15"/>
          <w:color w:val="auto"/>
        </w:rPr>
      </w:pPr>
    </w:p>
    <w:p>
      <w:pPr>
        <w:ind w:left="880" w:right="3579" w:firstLine="442"/>
        <w:spacing w:after="0" w:line="235" w:lineRule="auto"/>
        <w:tabs>
          <w:tab w:leader="none" w:pos="1667" w:val="left"/>
        </w:tabs>
        <w:numPr>
          <w:ilvl w:val="0"/>
          <w:numId w:val="1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obligations of such Person evidenced by bonds, debentures, notes, or other similar instruments, in each case, for value received or settlement of claims;</w:t>
      </w:r>
    </w:p>
    <w:p>
      <w:pPr>
        <w:spacing w:after="0" w:line="173" w:lineRule="exact"/>
        <w:rPr>
          <w:rFonts w:ascii="Courier New" w:cs="Courier New" w:eastAsia="Courier New" w:hAnsi="Courier New"/>
          <w:sz w:val="15"/>
          <w:szCs w:val="15"/>
          <w:color w:val="auto"/>
        </w:rPr>
      </w:pPr>
    </w:p>
    <w:p>
      <w:pPr>
        <w:ind w:left="880" w:right="3759" w:firstLine="442"/>
        <w:spacing w:after="0" w:line="235" w:lineRule="auto"/>
        <w:tabs>
          <w:tab w:leader="none" w:pos="1667" w:val="left"/>
        </w:tabs>
        <w:numPr>
          <w:ilvl w:val="0"/>
          <w:numId w:val="1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obligations of such Person in respect of letters of credit or other similar instruments (including reimbursement obligations with respect thereto);</w:t>
      </w:r>
    </w:p>
    <w:p>
      <w:pPr>
        <w:spacing w:after="0" w:line="173" w:lineRule="exact"/>
        <w:rPr>
          <w:rFonts w:ascii="Courier New" w:cs="Courier New" w:eastAsia="Courier New" w:hAnsi="Courier New"/>
          <w:sz w:val="15"/>
          <w:szCs w:val="15"/>
          <w:color w:val="auto"/>
        </w:rPr>
      </w:pPr>
    </w:p>
    <w:p>
      <w:pPr>
        <w:ind w:left="880" w:right="3239" w:firstLine="442"/>
        <w:spacing w:after="0" w:line="235" w:lineRule="auto"/>
        <w:tabs>
          <w:tab w:leader="none" w:pos="1667" w:val="left"/>
        </w:tabs>
        <w:numPr>
          <w:ilvl w:val="0"/>
          <w:numId w:val="1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obligations of such Person to pay the deferred and unpaid purchase price of property or services (but excluding trade accounts payable or accrued liabilities arising in the ordinary course of business);</w:t>
      </w:r>
    </w:p>
    <w:p>
      <w:pPr>
        <w:spacing w:after="0" w:line="168" w:lineRule="exact"/>
        <w:rPr>
          <w:rFonts w:ascii="Courier New" w:cs="Courier New" w:eastAsia="Courier New" w:hAnsi="Courier New"/>
          <w:sz w:val="15"/>
          <w:szCs w:val="15"/>
          <w:color w:val="auto"/>
        </w:rPr>
      </w:pPr>
    </w:p>
    <w:p>
      <w:pPr>
        <w:ind w:left="1680" w:hanging="358"/>
        <w:spacing w:after="0"/>
        <w:tabs>
          <w:tab w:leader="none" w:pos="1680" w:val="left"/>
        </w:tabs>
        <w:numPr>
          <w:ilvl w:val="0"/>
          <w:numId w:val="1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obligations of such Person as lessee under Capitalized</w:t>
      </w:r>
    </w:p>
    <w:p>
      <w:pPr>
        <w:ind w:left="88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Leases;</w:t>
      </w:r>
    </w:p>
    <w:p>
      <w:pPr>
        <w:spacing w:after="0" w:line="173" w:lineRule="exact"/>
        <w:rPr>
          <w:rFonts w:ascii="Courier New" w:cs="Courier New" w:eastAsia="Courier New" w:hAnsi="Courier New"/>
          <w:sz w:val="15"/>
          <w:szCs w:val="15"/>
          <w:color w:val="auto"/>
        </w:rPr>
      </w:pPr>
    </w:p>
    <w:p>
      <w:pPr>
        <w:ind w:left="880" w:right="3399" w:firstLine="442"/>
        <w:spacing w:after="0" w:line="235" w:lineRule="auto"/>
        <w:tabs>
          <w:tab w:leader="none" w:pos="1667" w:val="left"/>
        </w:tabs>
        <w:numPr>
          <w:ilvl w:val="0"/>
          <w:numId w:val="1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Indebtedness of other Persons secured by a Lien on any asset of such Person, whether or not such Indebtedness is assumed by such Person; provided that the amount of such Indebtedness shall be the lesser of:</w:t>
      </w:r>
    </w:p>
    <w:p>
      <w:pPr>
        <w:spacing w:after="0" w:line="175" w:lineRule="exact"/>
        <w:rPr>
          <w:rFonts w:ascii="Courier New" w:cs="Courier New" w:eastAsia="Courier New" w:hAnsi="Courier New"/>
          <w:sz w:val="15"/>
          <w:szCs w:val="15"/>
          <w:color w:val="auto"/>
        </w:rPr>
      </w:pPr>
    </w:p>
    <w:p>
      <w:pPr>
        <w:ind w:left="1320" w:right="3679" w:firstLine="439"/>
        <w:spacing w:after="0" w:line="234" w:lineRule="auto"/>
        <w:tabs>
          <w:tab w:leader="none" w:pos="2107" w:val="left"/>
        </w:tabs>
        <w:numPr>
          <w:ilvl w:val="1"/>
          <w:numId w:val="1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fair market value of such asset at such date of determination; and</w:t>
      </w:r>
    </w:p>
    <w:p>
      <w:pPr>
        <w:spacing w:after="0" w:line="166" w:lineRule="exact"/>
        <w:rPr>
          <w:rFonts w:ascii="Courier New" w:cs="Courier New" w:eastAsia="Courier New" w:hAnsi="Courier New"/>
          <w:sz w:val="15"/>
          <w:szCs w:val="15"/>
          <w:color w:val="auto"/>
        </w:rPr>
      </w:pPr>
    </w:p>
    <w:p>
      <w:pPr>
        <w:ind w:left="2200" w:hanging="441"/>
        <w:spacing w:after="0"/>
        <w:tabs>
          <w:tab w:leader="none" w:pos="2200" w:val="left"/>
        </w:tabs>
        <w:numPr>
          <w:ilvl w:val="1"/>
          <w:numId w:val="1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amount of such Indebtedness;</w:t>
      </w:r>
    </w:p>
    <w:p>
      <w:pPr>
        <w:spacing w:after="0" w:line="172" w:lineRule="exact"/>
        <w:rPr>
          <w:rFonts w:ascii="Courier New" w:cs="Courier New" w:eastAsia="Courier New" w:hAnsi="Courier New"/>
          <w:sz w:val="15"/>
          <w:szCs w:val="15"/>
          <w:color w:val="auto"/>
        </w:rPr>
      </w:pPr>
    </w:p>
    <w:p>
      <w:pPr>
        <w:ind w:left="880" w:right="3239" w:firstLine="442"/>
        <w:spacing w:after="0" w:line="234" w:lineRule="auto"/>
        <w:tabs>
          <w:tab w:leader="none" w:pos="1667" w:val="left"/>
        </w:tabs>
        <w:numPr>
          <w:ilvl w:val="0"/>
          <w:numId w:val="1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Indebtedness of other Persons to the extent Guaranteed by such Person; and</w:t>
      </w:r>
    </w:p>
    <w:p>
      <w:pPr>
        <w:spacing w:after="0" w:line="173" w:lineRule="exact"/>
        <w:rPr>
          <w:rFonts w:ascii="Courier New" w:cs="Courier New" w:eastAsia="Courier New" w:hAnsi="Courier New"/>
          <w:sz w:val="15"/>
          <w:szCs w:val="15"/>
          <w:color w:val="auto"/>
        </w:rPr>
      </w:pPr>
    </w:p>
    <w:p>
      <w:pPr>
        <w:ind w:left="880" w:right="3499" w:firstLine="442"/>
        <w:spacing w:after="0" w:line="261" w:lineRule="auto"/>
        <w:tabs>
          <w:tab w:leader="none" w:pos="1667" w:val="left"/>
        </w:tabs>
        <w:numPr>
          <w:ilvl w:val="0"/>
          <w:numId w:val="1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the extent not otherwise included in this definition, obligations under Currency Agreements and Interest Rate Agreements.</w:t>
      </w:r>
    </w:p>
    <w:p>
      <w:pPr>
        <w:spacing w:after="0" w:line="32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39"/>
          </w:cols>
          <w:pgMar w:left="220" w:top="792" w:right="1440" w:bottom="1440" w:gutter="0" w:footer="0" w:header="0"/>
        </w:sectPr>
      </w:pPr>
    </w:p>
    <w:bookmarkStart w:id="153" w:name="page154"/>
    <w:bookmarkEnd w:id="153"/>
    <w:p>
      <w:pPr>
        <w:ind w:right="3239" w:firstLine="437"/>
        <w:spacing w:after="0" w:line="258" w:lineRule="auto"/>
        <w:rPr>
          <w:sz w:val="20"/>
          <w:szCs w:val="20"/>
          <w:color w:val="auto"/>
        </w:rPr>
      </w:pPr>
      <w:r>
        <w:rPr>
          <w:rFonts w:ascii="Courier New" w:cs="Courier New" w:eastAsia="Courier New" w:hAnsi="Courier New"/>
          <w:sz w:val="14"/>
          <w:szCs w:val="14"/>
          <w:color w:val="auto"/>
        </w:rPr>
        <w:t>Notwithstanding the foregoing, in no event shall the term "Indebtedness" be deemed to include letters of credit or bonds that secure performance or surety bonds or similar instruments that are issued in the ordinary course of business.</w:t>
      </w:r>
    </w:p>
    <w:p>
      <w:pPr>
        <w:spacing w:after="0" w:line="161" w:lineRule="exact"/>
        <w:rPr>
          <w:sz w:val="20"/>
          <w:szCs w:val="20"/>
          <w:color w:val="auto"/>
        </w:rPr>
      </w:pPr>
    </w:p>
    <w:p>
      <w:pPr>
        <w:ind w:right="3399" w:firstLine="437"/>
        <w:spacing w:after="0" w:line="256" w:lineRule="auto"/>
        <w:rPr>
          <w:sz w:val="20"/>
          <w:szCs w:val="20"/>
          <w:color w:val="auto"/>
        </w:rPr>
      </w:pPr>
      <w:r>
        <w:rPr>
          <w:rFonts w:ascii="Courier New" w:cs="Courier New" w:eastAsia="Courier New" w:hAnsi="Courier New"/>
          <w:sz w:val="14"/>
          <w:szCs w:val="14"/>
          <w:color w:val="auto"/>
        </w:rPr>
        <w:t>The amount of Indebtedness of any Person at any date shall be the outstanding balance at such date of all unconditional obligations as described above and, with respect to contingent obligations, the maximum liability upon the occurrence of the contingency giving rise to the obligation; provided:</w:t>
      </w:r>
    </w:p>
    <w:p>
      <w:pPr>
        <w:spacing w:after="0" w:line="164" w:lineRule="exact"/>
        <w:rPr>
          <w:sz w:val="20"/>
          <w:szCs w:val="20"/>
          <w:color w:val="auto"/>
        </w:rPr>
      </w:pPr>
    </w:p>
    <w:p>
      <w:pPr>
        <w:ind w:left="440" w:right="3239" w:firstLine="444"/>
        <w:spacing w:after="0" w:line="256" w:lineRule="auto"/>
        <w:tabs>
          <w:tab w:leader="none" w:pos="1227" w:val="left"/>
        </w:tabs>
        <w:numPr>
          <w:ilvl w:val="0"/>
          <w:numId w:val="1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that the amount outstanding at any time of any Indebtedness issued with original issue discount is the face amount of such Indebtedness less the remaining unamortized portion of the original issue discount of such Indebtedness at such time as determined in conformity with GAAP; and</w:t>
      </w:r>
    </w:p>
    <w:p>
      <w:pPr>
        <w:spacing w:after="0" w:line="164" w:lineRule="exact"/>
        <w:rPr>
          <w:rFonts w:ascii="Courier New" w:cs="Courier New" w:eastAsia="Courier New" w:hAnsi="Courier New"/>
          <w:sz w:val="14"/>
          <w:szCs w:val="14"/>
          <w:color w:val="auto"/>
        </w:rPr>
      </w:pPr>
    </w:p>
    <w:p>
      <w:pPr>
        <w:ind w:left="440" w:right="3579" w:firstLine="444"/>
        <w:spacing w:after="0" w:line="234" w:lineRule="auto"/>
        <w:tabs>
          <w:tab w:leader="none" w:pos="1227" w:val="left"/>
        </w:tabs>
        <w:numPr>
          <w:ilvl w:val="0"/>
          <w:numId w:val="1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that Indebtedness shall not include any liability for federal, state, local, or other taxes.</w:t>
      </w:r>
    </w:p>
    <w:p>
      <w:pPr>
        <w:spacing w:after="0" w:line="173" w:lineRule="exact"/>
        <w:rPr>
          <w:sz w:val="20"/>
          <w:szCs w:val="20"/>
          <w:color w:val="auto"/>
        </w:rPr>
      </w:pPr>
    </w:p>
    <w:p>
      <w:pPr>
        <w:jc w:val="both"/>
        <w:ind w:right="3319" w:firstLine="437"/>
        <w:spacing w:after="0" w:line="235" w:lineRule="auto"/>
        <w:rPr>
          <w:sz w:val="20"/>
          <w:szCs w:val="20"/>
          <w:color w:val="auto"/>
        </w:rPr>
      </w:pPr>
      <w:r>
        <w:rPr>
          <w:rFonts w:ascii="Courier New" w:cs="Courier New" w:eastAsia="Courier New" w:hAnsi="Courier New"/>
          <w:sz w:val="15"/>
          <w:szCs w:val="15"/>
          <w:color w:val="auto"/>
        </w:rPr>
        <w:t>"Indenture" means this instrument as originally executed and delivered or, if amended or supplemented as herein provided, as so amended or supplemented or both, and shall include the forms and terms of particular series of Securities established as contemplated hereunder.</w:t>
      </w:r>
    </w:p>
    <w:p>
      <w:pPr>
        <w:spacing w:after="0" w:line="175" w:lineRule="exact"/>
        <w:rPr>
          <w:sz w:val="20"/>
          <w:szCs w:val="20"/>
          <w:color w:val="auto"/>
        </w:rPr>
      </w:pPr>
    </w:p>
    <w:p>
      <w:pPr>
        <w:ind w:right="4199" w:firstLine="437"/>
        <w:spacing w:after="0" w:line="234" w:lineRule="auto"/>
        <w:rPr>
          <w:sz w:val="20"/>
          <w:szCs w:val="20"/>
          <w:color w:val="auto"/>
        </w:rPr>
      </w:pPr>
      <w:r>
        <w:rPr>
          <w:rFonts w:ascii="Courier New" w:cs="Courier New" w:eastAsia="Courier New" w:hAnsi="Courier New"/>
          <w:sz w:val="15"/>
          <w:szCs w:val="15"/>
          <w:color w:val="auto"/>
        </w:rPr>
        <w:t>"Interest" means, when used with respect to non-interest bearing Securities, interest payable after maturity.</w:t>
      </w:r>
    </w:p>
    <w:p>
      <w:pPr>
        <w:spacing w:after="0" w:line="173"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"Interest Rate Agreements" means any obligations of any Person pursuant to any interest rate swaps, caps, collars, and similar arrangements providing protection against fluctuations in interest rates. For purposes of the Indenture, the amount of such obligations shall be the amount determined in respect thereof as of the end of the then most recently ended fiscal quarter of such Person, based on the assumption that such obligation had terminated at the end of such fiscal quarter, and in making such determination, if any agreement relating to such obligation provides for the netting of amounts payable by and to such Person thereunder or if any such agreement provides for the simultaneous payment of amounts by and to such Person, then in each such case, the amount of such obligations shall be the net amount so determined, plus any premium due upon default by such Person.</w:t>
      </w:r>
    </w:p>
    <w:p>
      <w:pPr>
        <w:spacing w:after="0" w:line="173" w:lineRule="exact"/>
        <w:rPr>
          <w:sz w:val="20"/>
          <w:szCs w:val="20"/>
          <w:color w:val="auto"/>
        </w:rPr>
      </w:pPr>
    </w:p>
    <w:p>
      <w:pPr>
        <w:jc w:val="both"/>
        <w:ind w:right="4019" w:firstLine="437"/>
        <w:spacing w:after="0" w:line="235" w:lineRule="auto"/>
        <w:rPr>
          <w:sz w:val="20"/>
          <w:szCs w:val="20"/>
          <w:color w:val="auto"/>
        </w:rPr>
      </w:pPr>
      <w:r>
        <w:rPr>
          <w:rFonts w:ascii="Courier New" w:cs="Courier New" w:eastAsia="Courier New" w:hAnsi="Courier New"/>
          <w:sz w:val="15"/>
          <w:szCs w:val="15"/>
          <w:color w:val="auto"/>
        </w:rPr>
        <w:t>"Issuer" means (except as otherwise provided in Article 5) Comcast Corporation, a Pennsylvania corporation, and, subject to Article 8, its successors and assigns.</w:t>
      </w:r>
    </w:p>
    <w:p>
      <w:pPr>
        <w:spacing w:after="0" w:line="174" w:lineRule="exact"/>
        <w:rPr>
          <w:sz w:val="20"/>
          <w:szCs w:val="20"/>
          <w:color w:val="auto"/>
        </w:rPr>
      </w:pPr>
    </w:p>
    <w:p>
      <w:pPr>
        <w:ind w:right="3759" w:firstLine="437"/>
        <w:spacing w:after="0" w:line="261" w:lineRule="auto"/>
        <w:rPr>
          <w:sz w:val="20"/>
          <w:szCs w:val="20"/>
          <w:color w:val="auto"/>
        </w:rPr>
      </w:pPr>
      <w:r>
        <w:rPr>
          <w:rFonts w:ascii="Courier New" w:cs="Courier New" w:eastAsia="Courier New" w:hAnsi="Courier New"/>
          <w:sz w:val="14"/>
          <w:szCs w:val="14"/>
          <w:color w:val="auto"/>
        </w:rPr>
        <w:t>"Lien" means, with respect to any asset, any mortgage, lien, pledge, charge, security interest or encumbrance of any kind, or any other type of</w:t>
      </w:r>
    </w:p>
    <w:p>
      <w:pPr>
        <w:spacing w:after="0" w:line="32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39"/>
          </w:cols>
          <w:pgMar w:left="220" w:top="792" w:right="1440" w:bottom="1440" w:gutter="0" w:footer="0" w:header="0"/>
        </w:sectPr>
      </w:pPr>
    </w:p>
    <w:bookmarkStart w:id="154" w:name="page155"/>
    <w:bookmarkEnd w:id="154"/>
    <w:p>
      <w:pPr>
        <w:ind w:right="3239"/>
        <w:spacing w:after="0" w:line="236" w:lineRule="auto"/>
        <w:rPr>
          <w:sz w:val="20"/>
          <w:szCs w:val="20"/>
          <w:color w:val="auto"/>
        </w:rPr>
      </w:pPr>
      <w:r>
        <w:rPr>
          <w:rFonts w:ascii="Courier New" w:cs="Courier New" w:eastAsia="Courier New" w:hAnsi="Courier New"/>
          <w:sz w:val="15"/>
          <w:szCs w:val="15"/>
          <w:color w:val="auto"/>
        </w:rPr>
        <w:t>preferential arrangement that has the practical effect of creating a security interest, in respect of such asset. For the purposes of this Indenture, the Issuer or any Cable Guarantor shall be deemed to own subject to a Lien any asset that it has acquired or holds subject to the interest of a vendor or lessor under any conditional sale agreement, capital lease or other title retention agreement relating to such asset.</w:t>
      </w:r>
    </w:p>
    <w:p>
      <w:pPr>
        <w:spacing w:after="0" w:line="175" w:lineRule="exact"/>
        <w:rPr>
          <w:sz w:val="20"/>
          <w:szCs w:val="20"/>
          <w:color w:val="auto"/>
        </w:rPr>
      </w:pPr>
    </w:p>
    <w:p>
      <w:pPr>
        <w:ind w:right="3399" w:firstLine="437"/>
        <w:spacing w:after="0" w:line="235" w:lineRule="auto"/>
        <w:rPr>
          <w:sz w:val="20"/>
          <w:szCs w:val="20"/>
          <w:color w:val="auto"/>
        </w:rPr>
      </w:pPr>
      <w:r>
        <w:rPr>
          <w:rFonts w:ascii="Courier New" w:cs="Courier New" w:eastAsia="Courier New" w:hAnsi="Courier New"/>
          <w:sz w:val="15"/>
          <w:szCs w:val="15"/>
          <w:color w:val="auto"/>
        </w:rPr>
        <w:t>"Obligor" means each of the Issuer and each Cable Guarantor, in each case excluding such entities' Subsidiaries (other than the Issuer and the Cable Guarantors).</w:t>
      </w:r>
    </w:p>
    <w:p>
      <w:pPr>
        <w:spacing w:after="0" w:line="174" w:lineRule="exact"/>
        <w:rPr>
          <w:sz w:val="20"/>
          <w:szCs w:val="20"/>
          <w:color w:val="auto"/>
        </w:rPr>
      </w:pPr>
    </w:p>
    <w:p>
      <w:pPr>
        <w:ind w:right="3319" w:firstLine="437"/>
        <w:spacing w:after="0" w:line="256" w:lineRule="auto"/>
        <w:rPr>
          <w:sz w:val="20"/>
          <w:szCs w:val="20"/>
          <w:color w:val="auto"/>
        </w:rPr>
      </w:pPr>
      <w:r>
        <w:rPr>
          <w:rFonts w:ascii="Courier New" w:cs="Courier New" w:eastAsia="Courier New" w:hAnsi="Courier New"/>
          <w:sz w:val="14"/>
          <w:szCs w:val="14"/>
          <w:color w:val="auto"/>
        </w:rPr>
        <w:t>"Officers' Certificate" means a certificate signed by the chairman of the Board of Directors or the president or any vice president and by the treasurer or the secretary or any assistant secretary of the Issuer and delivered to the Trustee. Each such certificate shall comply with Section 314 of the Trust Indenture Act of 1939 and include the statements provided for in Section 10.05.</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200" w:type="dxa"/>
            <w:vAlign w:val="bottom"/>
            <w:gridSpan w:val="3"/>
          </w:tcPr>
          <w:p>
            <w:pPr>
              <w:ind w:left="440"/>
              <w:spacing w:after="0"/>
              <w:rPr>
                <w:sz w:val="20"/>
                <w:szCs w:val="20"/>
                <w:color w:val="auto"/>
              </w:rPr>
            </w:pPr>
            <w:r>
              <w:rPr>
                <w:rFonts w:ascii="Courier New" w:cs="Courier New" w:eastAsia="Courier New" w:hAnsi="Courier New"/>
                <w:sz w:val="15"/>
                <w:szCs w:val="15"/>
                <w:color w:val="auto"/>
              </w:rPr>
              <w:t>"Opinion</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w w:val="98"/>
              </w:rPr>
              <w:t>of Counsel"</w:t>
            </w:r>
          </w:p>
        </w:tc>
        <w:tc>
          <w:tcPr>
            <w:tcW w:w="3360" w:type="dxa"/>
            <w:vAlign w:val="bottom"/>
          </w:tcPr>
          <w:p>
            <w:pPr>
              <w:ind w:left="40"/>
              <w:spacing w:after="0"/>
              <w:rPr>
                <w:sz w:val="20"/>
                <w:szCs w:val="20"/>
                <w:color w:val="auto"/>
              </w:rPr>
            </w:pPr>
            <w:r>
              <w:rPr>
                <w:rFonts w:ascii="Courier New" w:cs="Courier New" w:eastAsia="Courier New" w:hAnsi="Courier New"/>
                <w:sz w:val="15"/>
                <w:szCs w:val="15"/>
                <w:color w:val="auto"/>
                <w:w w:val="99"/>
              </w:rPr>
              <w:t>means an opinion in writing signed by</w:t>
            </w:r>
          </w:p>
        </w:tc>
        <w:tc>
          <w:tcPr>
            <w:tcW w:w="1400" w:type="dxa"/>
            <w:vAlign w:val="bottom"/>
          </w:tcPr>
          <w:p>
            <w:pPr>
              <w:spacing w:after="0"/>
              <w:rPr>
                <w:sz w:val="20"/>
                <w:szCs w:val="20"/>
                <w:color w:val="auto"/>
              </w:rPr>
            </w:pPr>
            <w:r>
              <w:rPr>
                <w:rFonts w:ascii="Courier New" w:cs="Courier New" w:eastAsia="Courier New" w:hAnsi="Courier New"/>
                <w:sz w:val="15"/>
                <w:szCs w:val="15"/>
                <w:color w:val="auto"/>
              </w:rPr>
              <w:t>legal counsel</w:t>
            </w:r>
          </w:p>
        </w:tc>
      </w:tr>
      <w:tr>
        <w:trPr>
          <w:trHeight w:val="168"/>
        </w:trPr>
        <w:tc>
          <w:tcPr>
            <w:tcW w:w="2240" w:type="dxa"/>
            <w:vAlign w:val="bottom"/>
            <w:gridSpan w:val="4"/>
          </w:tcPr>
          <w:p>
            <w:pPr>
              <w:spacing w:after="0" w:line="168" w:lineRule="exact"/>
              <w:rPr>
                <w:sz w:val="20"/>
                <w:szCs w:val="20"/>
                <w:color w:val="auto"/>
              </w:rPr>
            </w:pPr>
            <w:r>
              <w:rPr>
                <w:rFonts w:ascii="Courier New" w:cs="Courier New" w:eastAsia="Courier New" w:hAnsi="Courier New"/>
                <w:sz w:val="15"/>
                <w:szCs w:val="15"/>
                <w:color w:val="auto"/>
                <w:w w:val="98"/>
              </w:rPr>
              <w:t>who may be an employee of</w:t>
            </w:r>
          </w:p>
        </w:tc>
        <w:tc>
          <w:tcPr>
            <w:tcW w:w="33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6"/>
              </w:rPr>
              <w:t>or counsel to the Issuer and who shall</w:t>
            </w:r>
          </w:p>
        </w:tc>
        <w:tc>
          <w:tcPr>
            <w:tcW w:w="14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4"/>
              </w:rPr>
              <w:t>be satisfactory</w:t>
            </w:r>
          </w:p>
        </w:tc>
      </w:tr>
      <w:tr>
        <w:trPr>
          <w:trHeight w:val="168"/>
        </w:trPr>
        <w:tc>
          <w:tcPr>
            <w:tcW w:w="580" w:type="dxa"/>
            <w:vAlign w:val="bottom"/>
          </w:tcPr>
          <w:p>
            <w:pPr>
              <w:spacing w:after="0" w:line="168" w:lineRule="exact"/>
              <w:rPr>
                <w:sz w:val="20"/>
                <w:szCs w:val="20"/>
                <w:color w:val="auto"/>
              </w:rPr>
            </w:pPr>
            <w:r>
              <w:rPr>
                <w:rFonts w:ascii="Courier New" w:cs="Courier New" w:eastAsia="Courier New" w:hAnsi="Courier New"/>
                <w:sz w:val="15"/>
                <w:szCs w:val="15"/>
                <w:color w:val="auto"/>
              </w:rPr>
              <w:t>to the</w:t>
            </w:r>
          </w:p>
        </w:tc>
        <w:tc>
          <w:tcPr>
            <w:tcW w:w="166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w w:val="98"/>
              </w:rPr>
              <w:t>Trustee. Each such</w:t>
            </w:r>
          </w:p>
        </w:tc>
        <w:tc>
          <w:tcPr>
            <w:tcW w:w="33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9"/>
              </w:rPr>
              <w:t>opinion shall comply with Section 314</w:t>
            </w:r>
          </w:p>
        </w:tc>
        <w:tc>
          <w:tcPr>
            <w:tcW w:w="1400" w:type="dxa"/>
            <w:vAlign w:val="bottom"/>
          </w:tcPr>
          <w:p>
            <w:pPr>
              <w:spacing w:after="0" w:line="168" w:lineRule="exact"/>
              <w:rPr>
                <w:sz w:val="20"/>
                <w:szCs w:val="20"/>
                <w:color w:val="auto"/>
              </w:rPr>
            </w:pPr>
            <w:r>
              <w:rPr>
                <w:rFonts w:ascii="Courier New" w:cs="Courier New" w:eastAsia="Courier New" w:hAnsi="Courier New"/>
                <w:sz w:val="15"/>
                <w:szCs w:val="15"/>
                <w:color w:val="auto"/>
              </w:rPr>
              <w:t>of the Trust</w:t>
            </w:r>
          </w:p>
        </w:tc>
      </w:tr>
      <w:tr>
        <w:trPr>
          <w:trHeight w:val="168"/>
        </w:trPr>
        <w:tc>
          <w:tcPr>
            <w:tcW w:w="8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Indenture</w:t>
            </w:r>
          </w:p>
        </w:tc>
        <w:tc>
          <w:tcPr>
            <w:tcW w:w="14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9"/>
              </w:rPr>
              <w:t>Act of 1939 and</w:t>
            </w:r>
          </w:p>
        </w:tc>
        <w:tc>
          <w:tcPr>
            <w:tcW w:w="33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6"/>
              </w:rPr>
              <w:t>include the statements provided for in</w:t>
            </w:r>
          </w:p>
        </w:tc>
        <w:tc>
          <w:tcPr>
            <w:tcW w:w="14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Section 10.05,</w:t>
            </w:r>
          </w:p>
        </w:tc>
      </w:tr>
      <w:tr>
        <w:trPr>
          <w:trHeight w:val="168"/>
        </w:trPr>
        <w:tc>
          <w:tcPr>
            <w:tcW w:w="580" w:type="dxa"/>
            <w:vAlign w:val="bottom"/>
          </w:tcPr>
          <w:p>
            <w:pPr>
              <w:spacing w:after="0" w:line="168" w:lineRule="exact"/>
              <w:rPr>
                <w:sz w:val="20"/>
                <w:szCs w:val="20"/>
                <w:color w:val="auto"/>
              </w:rPr>
            </w:pPr>
            <w:r>
              <w:rPr>
                <w:rFonts w:ascii="Courier New" w:cs="Courier New" w:eastAsia="Courier New" w:hAnsi="Courier New"/>
                <w:sz w:val="15"/>
                <w:szCs w:val="15"/>
                <w:color w:val="auto"/>
              </w:rPr>
              <w:t>if and</w:t>
            </w:r>
          </w:p>
        </w:tc>
        <w:tc>
          <w:tcPr>
            <w:tcW w:w="2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to</w:t>
            </w:r>
          </w:p>
        </w:tc>
        <w:tc>
          <w:tcPr>
            <w:tcW w:w="4760" w:type="dxa"/>
            <w:vAlign w:val="bottom"/>
            <w:gridSpan w:val="3"/>
          </w:tcPr>
          <w:p>
            <w:pPr>
              <w:ind w:left="40"/>
              <w:spacing w:after="0" w:line="168" w:lineRule="exact"/>
              <w:rPr>
                <w:sz w:val="20"/>
                <w:szCs w:val="20"/>
                <w:color w:val="auto"/>
              </w:rPr>
            </w:pPr>
            <w:r>
              <w:rPr>
                <w:rFonts w:ascii="Courier New" w:cs="Courier New" w:eastAsia="Courier New" w:hAnsi="Courier New"/>
                <w:sz w:val="15"/>
                <w:szCs w:val="15"/>
                <w:color w:val="auto"/>
              </w:rPr>
              <w:t>the extent required hereby.</w:t>
            </w:r>
          </w:p>
        </w:tc>
        <w:tc>
          <w:tcPr>
            <w:tcW w:w="1400" w:type="dxa"/>
            <w:vAlign w:val="bottom"/>
          </w:tcPr>
          <w:p>
            <w:pPr>
              <w:spacing w:after="0"/>
              <w:rPr>
                <w:sz w:val="14"/>
                <w:szCs w:val="14"/>
                <w:color w:val="auto"/>
              </w:rPr>
            </w:pPr>
          </w:p>
        </w:tc>
      </w:tr>
    </w:tbl>
    <w:p>
      <w:pPr>
        <w:spacing w:after="0" w:line="173"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"Original issue date" of any Security (or portion thereof) means the earlier of (a) the date of such Security or (b) the date of any Security (or portion thereof) for which such Security was issued (directly or indirectly) on registration of transfer, exchange or substitution.</w:t>
      </w:r>
    </w:p>
    <w:p>
      <w:pPr>
        <w:spacing w:after="0" w:line="175" w:lineRule="exact"/>
        <w:rPr>
          <w:sz w:val="20"/>
          <w:szCs w:val="20"/>
          <w:color w:val="auto"/>
        </w:rPr>
      </w:pPr>
    </w:p>
    <w:p>
      <w:pPr>
        <w:ind w:right="3319" w:firstLine="437"/>
        <w:spacing w:after="0" w:line="258" w:lineRule="auto"/>
        <w:rPr>
          <w:sz w:val="20"/>
          <w:szCs w:val="20"/>
          <w:color w:val="auto"/>
        </w:rPr>
      </w:pPr>
      <w:r>
        <w:rPr>
          <w:rFonts w:ascii="Courier New" w:cs="Courier New" w:eastAsia="Courier New" w:hAnsi="Courier New"/>
          <w:sz w:val="14"/>
          <w:szCs w:val="14"/>
          <w:color w:val="auto"/>
        </w:rPr>
        <w:t>"Original Issue Discount Security" means any Security that provides for an amount less than the principal amount thereof to be due and payable upon a declaration of acceleration of the maturity thereof pursuant to Section 4.01.</w:t>
      </w:r>
    </w:p>
    <w:p>
      <w:pPr>
        <w:spacing w:after="0" w:line="161" w:lineRule="exact"/>
        <w:rPr>
          <w:sz w:val="20"/>
          <w:szCs w:val="20"/>
          <w:color w:val="auto"/>
        </w:rPr>
      </w:pPr>
    </w:p>
    <w:p>
      <w:pPr>
        <w:ind w:right="3319" w:firstLine="437"/>
        <w:spacing w:after="0" w:line="258" w:lineRule="auto"/>
        <w:rPr>
          <w:sz w:val="20"/>
          <w:szCs w:val="20"/>
          <w:color w:val="auto"/>
        </w:rPr>
      </w:pPr>
      <w:r>
        <w:rPr>
          <w:rFonts w:ascii="Courier New" w:cs="Courier New" w:eastAsia="Courier New" w:hAnsi="Courier New"/>
          <w:sz w:val="14"/>
          <w:szCs w:val="14"/>
          <w:color w:val="auto"/>
        </w:rPr>
        <w:t>"Outstanding", when used with reference to Securities, shall, subject to the provisions of Section 6.04, mean, as of any particular time, all Securities authenticated and delivered by the Trustee under this Indenture, except:</w:t>
      </w:r>
    </w:p>
    <w:p>
      <w:pPr>
        <w:spacing w:after="0" w:line="161" w:lineRule="exact"/>
        <w:rPr>
          <w:sz w:val="20"/>
          <w:szCs w:val="20"/>
          <w:color w:val="auto"/>
        </w:rPr>
      </w:pPr>
    </w:p>
    <w:p>
      <w:pPr>
        <w:ind w:left="440" w:right="3239" w:firstLine="444"/>
        <w:spacing w:after="0" w:line="234" w:lineRule="auto"/>
        <w:tabs>
          <w:tab w:leader="none" w:pos="1227" w:val="left"/>
        </w:tabs>
        <w:numPr>
          <w:ilvl w:val="0"/>
          <w:numId w:val="1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Securities theretofore canceled by the Trustee or delivered to the Trustee for cancellation;</w:t>
      </w:r>
    </w:p>
    <w:p>
      <w:pPr>
        <w:spacing w:after="0" w:line="173" w:lineRule="exact"/>
        <w:rPr>
          <w:rFonts w:ascii="Courier New" w:cs="Courier New" w:eastAsia="Courier New" w:hAnsi="Courier New"/>
          <w:sz w:val="15"/>
          <w:szCs w:val="15"/>
          <w:color w:val="auto"/>
        </w:rPr>
      </w:pPr>
    </w:p>
    <w:p>
      <w:pPr>
        <w:ind w:left="440" w:right="3319" w:firstLine="444"/>
        <w:spacing w:after="0" w:line="255" w:lineRule="auto"/>
        <w:tabs>
          <w:tab w:leader="none" w:pos="1227" w:val="left"/>
        </w:tabs>
        <w:numPr>
          <w:ilvl w:val="0"/>
          <w:numId w:val="1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Securities, or portions thereof, for the payment or redemption of which moneys in the necessary amount shall have been deposited in trust with the Trustee or with any paying agent (other than the Issuer) or shall have been set aside, segregated and held in trust by the Issuer for the holders of such Securities (if the Issuer shall act as its own paying agent), provided that if such Securities, or portions thereof, are to</w:t>
      </w:r>
    </w:p>
    <w:p>
      <w:pPr>
        <w:spacing w:after="0" w:line="32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39"/>
          </w:cols>
          <w:pgMar w:left="220" w:top="792" w:right="1440" w:bottom="1440" w:gutter="0" w:footer="0" w:header="0"/>
        </w:sectPr>
      </w:pPr>
    </w:p>
    <w:bookmarkStart w:id="155" w:name="page156"/>
    <w:bookmarkEnd w:id="155"/>
    <w:p>
      <w:pPr>
        <w:ind w:left="440" w:right="3319"/>
        <w:spacing w:after="0" w:line="235" w:lineRule="auto"/>
        <w:rPr>
          <w:sz w:val="20"/>
          <w:szCs w:val="20"/>
          <w:color w:val="auto"/>
        </w:rPr>
      </w:pPr>
      <w:r>
        <w:rPr>
          <w:rFonts w:ascii="Courier New" w:cs="Courier New" w:eastAsia="Courier New" w:hAnsi="Courier New"/>
          <w:sz w:val="15"/>
          <w:szCs w:val="15"/>
          <w:color w:val="auto"/>
        </w:rPr>
        <w:t>be redeemed prior to the maturity thereof, notice of such redemption shall have been given as herein provided, or provision satisfactory to the Trustee shall have been made for giving such notice; and</w:t>
      </w:r>
    </w:p>
    <w:p>
      <w:pPr>
        <w:spacing w:after="0" w:line="174" w:lineRule="exact"/>
        <w:rPr>
          <w:sz w:val="20"/>
          <w:szCs w:val="20"/>
          <w:color w:val="auto"/>
        </w:rPr>
      </w:pPr>
    </w:p>
    <w:p>
      <w:pPr>
        <w:ind w:left="440" w:right="3319" w:firstLine="444"/>
        <w:spacing w:after="0" w:line="236" w:lineRule="auto"/>
        <w:tabs>
          <w:tab w:leader="none" w:pos="1227" w:val="left"/>
        </w:tabs>
        <w:numPr>
          <w:ilvl w:val="0"/>
          <w:numId w:val="1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Securities in substitution for which other Securities shall have been authenticated and delivered, or which shall have been paid, pursuant to the terms of Section 2.09 (except with respect to any such Security as to which proof satisfactory to the Trustee is presented that such Security is held by a person in whose hands such Security is a legal, valid and binding obligation of the Issuer).</w:t>
      </w:r>
    </w:p>
    <w:p>
      <w:pPr>
        <w:spacing w:after="0" w:line="175"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In determining whether the holders of the requisite principal amount of Outstanding Securities of any or all series have given any request, demand, authorization, direction, notice, consent or waiver hereunder, the principal amount of an Original Issue Discount Security that shall be deemed to be Outstanding for such purposes shall be the amount of the principal thereof that would be due and payable as of the date of such determination upon a declaration of acceleration of the maturity thereof pursuant to Section 4.01.</w:t>
      </w:r>
    </w:p>
    <w:p>
      <w:pPr>
        <w:spacing w:after="0" w:line="176"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"Permitted Liens" means (a) any Lien on any asset incurred prior to the date of this Indenture; (b) any Lien on any assets acquired after the date of this Indenture (including by way of merger or consolidation) by the Issuer or any Cable Guarantor, which Lien is created, incurred or assumed contemporaneously with such acquisition, or within 270 days thereafter, to secure or provide for the payment or financing of any part of the purchase price thereof, or any Lien upon any assets acquired after the date of this Indenture existing at the time of such acquisition (whether or not assumed by the Issuer or any Cable Guarantor), provided that any such Lien shall attach only to the assets so acquired; (c) any Lien on any assets in favor of the Issuer or any Cable Guarantor; (d) any Lien on assets incurred in connection with the issuance of tax-exempt governmental obligations (including, without limitation, industrial revenue bonds and similar financing); (e) any Lien granted by any Cable Guarantor on assets to the extent limitations on the incurrence of such Liens are prohibited by any agreement to which such Cable Guarantor is subject as of the date of this Indenture; and (f) any renewal of or substitution for any Lien permitted by any of the preceding clauses, including any Lien securing reborrowing of amounts previously secured within 270 days of the repayment thereof, provided that no such renewal or substitution shall extend to any assets other than the assets covered by the Lien being renewed or substituted.</w:t>
      </w:r>
    </w:p>
    <w:p>
      <w:pPr>
        <w:spacing w:after="0" w:line="343" w:lineRule="exact"/>
        <w:rPr>
          <w:sz w:val="20"/>
          <w:szCs w:val="20"/>
          <w:color w:val="auto"/>
        </w:rPr>
      </w:pPr>
    </w:p>
    <w:p>
      <w:pPr>
        <w:jc w:val="both"/>
        <w:ind w:right="3239" w:firstLine="437"/>
        <w:spacing w:after="0" w:line="235" w:lineRule="auto"/>
        <w:rPr>
          <w:sz w:val="20"/>
          <w:szCs w:val="20"/>
          <w:color w:val="auto"/>
        </w:rPr>
      </w:pPr>
      <w:r>
        <w:rPr>
          <w:rFonts w:ascii="Courier New" w:cs="Courier New" w:eastAsia="Courier New" w:hAnsi="Courier New"/>
          <w:sz w:val="15"/>
          <w:szCs w:val="15"/>
          <w:color w:val="auto"/>
        </w:rPr>
        <w:t>"Person" means any individual, corporation, partnership, limited liability company, joint venture, association, joint stock company, trust, unincorporated organization or government or any agency or political subdivision thereof or any other entity.</w:t>
      </w:r>
    </w:p>
    <w:p>
      <w:pPr>
        <w:spacing w:after="0" w:line="33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39"/>
          </w:cols>
          <w:pgMar w:left="220" w:top="792" w:right="1440" w:bottom="1440" w:gutter="0" w:footer="0" w:header="0"/>
        </w:sectPr>
      </w:pPr>
    </w:p>
    <w:bookmarkStart w:id="156" w:name="page157"/>
    <w:bookmarkEnd w:id="156"/>
    <w:p>
      <w:pPr>
        <w:ind w:right="3499" w:firstLine="437"/>
        <w:spacing w:after="0" w:line="256" w:lineRule="auto"/>
        <w:rPr>
          <w:sz w:val="20"/>
          <w:szCs w:val="20"/>
          <w:color w:val="auto"/>
        </w:rPr>
      </w:pPr>
      <w:r>
        <w:rPr>
          <w:rFonts w:ascii="Courier New" w:cs="Courier New" w:eastAsia="Courier New" w:hAnsi="Courier New"/>
          <w:sz w:val="14"/>
          <w:szCs w:val="14"/>
          <w:color w:val="auto"/>
        </w:rPr>
        <w:t>"Preferred Stock" means, with respect to any Person, any and all shares, interests, participations or other equivalents (however designated, whether voting or non-voting) of such Person's preferred or preference stock, whether now outstanding or issued after the date of the Indenture, including, without limitation, all series and classes of such preferred or preference stock.</w:t>
      </w:r>
    </w:p>
    <w:p>
      <w:pPr>
        <w:spacing w:after="0" w:line="163" w:lineRule="exact"/>
        <w:rPr>
          <w:sz w:val="20"/>
          <w:szCs w:val="20"/>
          <w:color w:val="auto"/>
        </w:rPr>
      </w:pPr>
    </w:p>
    <w:p>
      <w:pPr>
        <w:ind w:right="3319" w:firstLine="437"/>
        <w:spacing w:after="0" w:line="261" w:lineRule="auto"/>
        <w:rPr>
          <w:sz w:val="20"/>
          <w:szCs w:val="20"/>
          <w:color w:val="auto"/>
        </w:rPr>
      </w:pPr>
      <w:r>
        <w:rPr>
          <w:rFonts w:ascii="Courier New" w:cs="Courier New" w:eastAsia="Courier New" w:hAnsi="Courier New"/>
          <w:sz w:val="14"/>
          <w:szCs w:val="14"/>
          <w:color w:val="auto"/>
        </w:rPr>
        <w:t>"Principal" whenever used with reference to the Securities or any Security or any portion thereof, shall be deemed to include "and premium, if any".</w:t>
      </w:r>
    </w:p>
    <w:p>
      <w:pPr>
        <w:spacing w:after="0" w:line="160" w:lineRule="exact"/>
        <w:rPr>
          <w:sz w:val="20"/>
          <w:szCs w:val="20"/>
          <w:color w:val="auto"/>
        </w:rPr>
      </w:pPr>
    </w:p>
    <w:p>
      <w:pPr>
        <w:ind w:right="3239" w:firstLine="437"/>
        <w:spacing w:after="0" w:line="258" w:lineRule="auto"/>
        <w:rPr>
          <w:sz w:val="20"/>
          <w:szCs w:val="20"/>
          <w:color w:val="auto"/>
        </w:rPr>
      </w:pPr>
      <w:r>
        <w:rPr>
          <w:rFonts w:ascii="Courier New" w:cs="Courier New" w:eastAsia="Courier New" w:hAnsi="Courier New"/>
          <w:sz w:val="14"/>
          <w:szCs w:val="14"/>
          <w:color w:val="auto"/>
        </w:rPr>
        <w:t>"Registered Global Security" means a Security evidencing all or a part of a series of Registered Securities, issued to the Depositary for such series in accordance with Section 2.04, and bearing the legend prescribed in Section 2.04.</w:t>
      </w:r>
    </w:p>
    <w:p>
      <w:pPr>
        <w:spacing w:after="0" w:line="161" w:lineRule="exact"/>
        <w:rPr>
          <w:sz w:val="20"/>
          <w:szCs w:val="20"/>
          <w:color w:val="auto"/>
        </w:rPr>
      </w:pPr>
    </w:p>
    <w:p>
      <w:pPr>
        <w:ind w:right="3939" w:firstLine="437"/>
        <w:spacing w:after="0" w:line="234" w:lineRule="auto"/>
        <w:rPr>
          <w:sz w:val="20"/>
          <w:szCs w:val="20"/>
          <w:color w:val="auto"/>
        </w:rPr>
      </w:pPr>
      <w:r>
        <w:rPr>
          <w:rFonts w:ascii="Courier New" w:cs="Courier New" w:eastAsia="Courier New" w:hAnsi="Courier New"/>
          <w:sz w:val="15"/>
          <w:szCs w:val="15"/>
          <w:color w:val="auto"/>
        </w:rPr>
        <w:t>"Registered Security" means any Security registered on the register maintained by the Issuer pursuant to Section 2.08.</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"Responsible Officer" when used with respect to the Trustee means any officer within the corporate trust department of the Trustee, including any vice president, assistant vice president, assistant secretary, assistant treasurer, trust officer or any other officer of the Trustee who customarily performs functions similar to those performed by the Persons who at the time shall be such officers, respectively, or to whom any corporate trust matter is referred because of such person's knowledge of and familiarity with the particular subject and who shall have direct responsibility for the administration of this Indenture.</w:t>
      </w:r>
    </w:p>
    <w:p>
      <w:pPr>
        <w:spacing w:after="0" w:line="178"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"Sale and Leaseback Transaction" means any direct or indirect arrangement with any Person or to which any such Person is a party, providing for the leasing to the Issuer or a Cable Guarantor of any property, whether owned by the Issuer or such Cable Guarantor at the date of the original issuance of any series of Securities or later acquired, which has been or is to be sold or transferred by the Issuer or such Cable Guarantor to such Person or to any other Person by whom funds have been or are to be advanced on the security of such property. Notwithstanding the foregoing no arrangement shall be deemed a "Sale and Leaseback Transaction" if (a) the lease is for a period of not in excess of three years, including renewal of rights; (b) the lease secures or relates to industrial revenue or similar financing; (c) the transaction is solely between the Issuer and a Cable Guarantor or between or among Cable Guarantors; or (d) the Issuer or such Cable Guarantor, within 270 days after the sale is completed, applies an amount equal to or greater than (i) the net proceeds of the sale of the assets or part thereof leased or (ii) the fair market value of the assets or part thereof leased (as determined in good faith by Board of Directors) either to (A) the retirement (or open market purchase) of Securities, other long-term Indebtedness of the Issuer ranking on a parity with or senior to each series of Securities or long-term Indebtedness of a Cable Guarantor; or (B) the purchase by the Issuer or any Cable Guarantor of other property, plant or equipment related to the business of the</w:t>
      </w:r>
    </w:p>
    <w:p>
      <w:pPr>
        <w:spacing w:after="0" w:line="200" w:lineRule="exact"/>
        <w:rPr>
          <w:sz w:val="20"/>
          <w:szCs w:val="20"/>
          <w:color w:val="auto"/>
        </w:rPr>
      </w:pPr>
    </w:p>
    <w:p>
      <w:pPr>
        <w:spacing w:after="0" w:line="30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39"/>
          </w:cols>
          <w:pgMar w:left="220" w:top="792" w:right="1440" w:bottom="1440" w:gutter="0" w:footer="0" w:header="0"/>
        </w:sectPr>
      </w:pPr>
    </w:p>
    <w:bookmarkStart w:id="157" w:name="page158"/>
    <w:bookmarkEnd w:id="157"/>
    <w:p>
      <w:pPr>
        <w:jc w:val="both"/>
        <w:ind w:right="3319"/>
        <w:spacing w:after="0" w:line="234" w:lineRule="auto"/>
        <w:rPr>
          <w:sz w:val="20"/>
          <w:szCs w:val="20"/>
          <w:color w:val="auto"/>
        </w:rPr>
      </w:pPr>
      <w:r>
        <w:rPr>
          <w:rFonts w:ascii="Courier New" w:cs="Courier New" w:eastAsia="Courier New" w:hAnsi="Courier New"/>
          <w:sz w:val="15"/>
          <w:szCs w:val="15"/>
          <w:color w:val="auto"/>
        </w:rPr>
        <w:t>Issuer or any Cable Guarantor having a value at least equal to the value of the assets or part thereof leased.</w:t>
      </w:r>
    </w:p>
    <w:p>
      <w:pPr>
        <w:spacing w:after="0" w:line="173" w:lineRule="exact"/>
        <w:rPr>
          <w:sz w:val="20"/>
          <w:szCs w:val="20"/>
          <w:color w:val="auto"/>
        </w:rPr>
      </w:pPr>
    </w:p>
    <w:p>
      <w:pPr>
        <w:jc w:val="both"/>
        <w:ind w:right="3319" w:firstLine="437"/>
        <w:spacing w:after="0" w:line="235" w:lineRule="auto"/>
        <w:rPr>
          <w:sz w:val="20"/>
          <w:szCs w:val="20"/>
          <w:color w:val="auto"/>
        </w:rPr>
      </w:pPr>
      <w:r>
        <w:rPr>
          <w:rFonts w:ascii="Courier New" w:cs="Courier New" w:eastAsia="Courier New" w:hAnsi="Courier New"/>
          <w:sz w:val="15"/>
          <w:szCs w:val="15"/>
          <w:color w:val="auto"/>
        </w:rPr>
        <w:t>"Security" or "Securities" has the meaning stated in the first recital of this Indenture, or, as the case may be, Securities that have been authenticated and delivered under this Indenture.</w:t>
      </w:r>
    </w:p>
    <w:p>
      <w:pPr>
        <w:spacing w:after="0" w:line="174" w:lineRule="exact"/>
        <w:rPr>
          <w:sz w:val="20"/>
          <w:szCs w:val="20"/>
          <w:color w:val="auto"/>
        </w:rPr>
      </w:pPr>
    </w:p>
    <w:p>
      <w:pPr>
        <w:jc w:val="both"/>
        <w:ind w:right="3319" w:firstLine="437"/>
        <w:spacing w:after="0" w:line="235" w:lineRule="auto"/>
        <w:rPr>
          <w:sz w:val="20"/>
          <w:szCs w:val="20"/>
          <w:color w:val="auto"/>
        </w:rPr>
      </w:pPr>
      <w:r>
        <w:rPr>
          <w:rFonts w:ascii="Courier New" w:cs="Courier New" w:eastAsia="Courier New" w:hAnsi="Courier New"/>
          <w:sz w:val="15"/>
          <w:szCs w:val="15"/>
          <w:color w:val="auto"/>
        </w:rPr>
        <w:t>"Senior Indebtedness" of the Issuer or a Cable Guarantor, as the case may be, means the principal of, premium, if any, interest on, and any other payment due pursuant to any of the following, whether outstanding at the date hereof or hereafter incurred or created:</w:t>
      </w:r>
    </w:p>
    <w:p>
      <w:pPr>
        <w:spacing w:after="0" w:line="175" w:lineRule="exact"/>
        <w:rPr>
          <w:sz w:val="20"/>
          <w:szCs w:val="20"/>
          <w:color w:val="auto"/>
        </w:rPr>
      </w:pPr>
    </w:p>
    <w:p>
      <w:pPr>
        <w:ind w:left="440" w:right="3319" w:firstLine="444"/>
        <w:spacing w:after="0" w:line="236" w:lineRule="auto"/>
        <w:tabs>
          <w:tab w:leader="none" w:pos="1227" w:val="left"/>
        </w:tabs>
        <w:numPr>
          <w:ilvl w:val="0"/>
          <w:numId w:val="1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indebtedness of such Person for money borrowed (including any indebtedness secured by a mortgage, conditional sales contract or other lien which is (i) given to secure all or part of the purchase price of property subject thereto, whether given to the vendor of such property or to another or (ii) existing on property at the time of acquisition thereof);</w:t>
      </w:r>
    </w:p>
    <w:p>
      <w:pPr>
        <w:spacing w:after="0" w:line="174" w:lineRule="exact"/>
        <w:rPr>
          <w:rFonts w:ascii="Courier New" w:cs="Courier New" w:eastAsia="Courier New" w:hAnsi="Courier New"/>
          <w:sz w:val="15"/>
          <w:szCs w:val="15"/>
          <w:color w:val="auto"/>
        </w:rPr>
      </w:pPr>
    </w:p>
    <w:p>
      <w:pPr>
        <w:ind w:left="440" w:right="3499" w:firstLine="444"/>
        <w:spacing w:after="0" w:line="234" w:lineRule="auto"/>
        <w:tabs>
          <w:tab w:leader="none" w:pos="1227" w:val="left"/>
        </w:tabs>
        <w:numPr>
          <w:ilvl w:val="0"/>
          <w:numId w:val="1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indebtedness of such Person evidenced by notes, debentures, bonds or other securities sold by such Person for money;</w:t>
      </w:r>
    </w:p>
    <w:p>
      <w:pPr>
        <w:spacing w:after="0" w:line="173" w:lineRule="exact"/>
        <w:rPr>
          <w:rFonts w:ascii="Courier New" w:cs="Courier New" w:eastAsia="Courier New" w:hAnsi="Courier New"/>
          <w:sz w:val="15"/>
          <w:szCs w:val="15"/>
          <w:color w:val="auto"/>
        </w:rPr>
      </w:pPr>
    </w:p>
    <w:p>
      <w:pPr>
        <w:ind w:left="440" w:right="3319" w:firstLine="444"/>
        <w:spacing w:after="0" w:line="235" w:lineRule="auto"/>
        <w:tabs>
          <w:tab w:leader="none" w:pos="1227" w:val="left"/>
        </w:tabs>
        <w:numPr>
          <w:ilvl w:val="0"/>
          <w:numId w:val="1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lease obligations of such Person which are capitalized on the books of such Person in accordance with generally accepted accounting principles;</w:t>
      </w:r>
    </w:p>
    <w:p>
      <w:pPr>
        <w:spacing w:after="0" w:line="173" w:lineRule="exact"/>
        <w:rPr>
          <w:rFonts w:ascii="Courier New" w:cs="Courier New" w:eastAsia="Courier New" w:hAnsi="Courier New"/>
          <w:sz w:val="15"/>
          <w:szCs w:val="15"/>
          <w:color w:val="auto"/>
        </w:rPr>
      </w:pPr>
    </w:p>
    <w:p>
      <w:pPr>
        <w:ind w:left="440" w:right="3239" w:firstLine="444"/>
        <w:spacing w:after="0" w:line="236" w:lineRule="auto"/>
        <w:tabs>
          <w:tab w:leader="none" w:pos="1227" w:val="left"/>
        </w:tabs>
        <w:numPr>
          <w:ilvl w:val="0"/>
          <w:numId w:val="1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indebtedness of others of the kinds described in either of the preceding clauses (a) or (b) and all lease obligations of others of the kind described in the preceding clause (c) assumed by or guaranteed in any manner by such Person or in effect guaranteed by such Person through an agreement to purchase, contingent or otherwise; and</w:t>
      </w:r>
    </w:p>
    <w:p>
      <w:pPr>
        <w:spacing w:after="0" w:line="173" w:lineRule="exact"/>
        <w:rPr>
          <w:rFonts w:ascii="Courier New" w:cs="Courier New" w:eastAsia="Courier New" w:hAnsi="Courier New"/>
          <w:sz w:val="15"/>
          <w:szCs w:val="15"/>
          <w:color w:val="auto"/>
        </w:rPr>
      </w:pPr>
    </w:p>
    <w:p>
      <w:pPr>
        <w:ind w:left="440" w:right="3499" w:firstLine="444"/>
        <w:spacing w:after="0" w:line="235" w:lineRule="auto"/>
        <w:tabs>
          <w:tab w:leader="none" w:pos="1227" w:val="left"/>
        </w:tabs>
        <w:numPr>
          <w:ilvl w:val="0"/>
          <w:numId w:val="1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renewals, extensions or refundings of indebtedness of the kinds described in any of the preceding clauses (a), (b) and (d) and all renewals or extensions of lease obligations of the kinds described in either of the preceding clauses (c) and (d);</w:t>
      </w:r>
    </w:p>
    <w:p>
      <w:pPr>
        <w:spacing w:after="0" w:line="175"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unless, in the case of any particular indebtedness, lease, renewal, extension or refunding, the instrument or lease creating or evidencing the same or the assumption or guarantee of the same expressly provides that such indebtedness, lease, renewal, extension or refunding is not superior in right of payment to the Securities or the Cable Guarantees, as the case may be.</w:t>
      </w:r>
    </w:p>
    <w:p>
      <w:pPr>
        <w:spacing w:after="0" w:line="174" w:lineRule="exact"/>
        <w:rPr>
          <w:sz w:val="20"/>
          <w:szCs w:val="20"/>
          <w:color w:val="auto"/>
        </w:rPr>
      </w:pPr>
    </w:p>
    <w:p>
      <w:pPr>
        <w:ind w:right="3939" w:firstLine="437"/>
        <w:spacing w:after="0" w:line="261" w:lineRule="auto"/>
        <w:rPr>
          <w:sz w:val="20"/>
          <w:szCs w:val="20"/>
          <w:color w:val="auto"/>
        </w:rPr>
      </w:pPr>
      <w:r>
        <w:rPr>
          <w:rFonts w:ascii="Courier New" w:cs="Courier New" w:eastAsia="Courier New" w:hAnsi="Courier New"/>
          <w:sz w:val="14"/>
          <w:szCs w:val="14"/>
          <w:color w:val="auto"/>
        </w:rPr>
        <w:t>"Subsidiary" means, with respect to any Person, any corporation, association or other business entity of which more than 50% of all votes</w:t>
      </w:r>
    </w:p>
    <w:p>
      <w:pPr>
        <w:spacing w:after="0" w:line="32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39"/>
          </w:cols>
          <w:pgMar w:left="220" w:top="792" w:right="1440" w:bottom="1440" w:gutter="0" w:footer="0" w:header="0"/>
        </w:sectPr>
      </w:pPr>
    </w:p>
    <w:bookmarkStart w:id="158" w:name="page159"/>
    <w:bookmarkEnd w:id="158"/>
    <w:p>
      <w:pPr>
        <w:ind w:right="3499"/>
        <w:spacing w:after="0" w:line="261" w:lineRule="auto"/>
        <w:rPr>
          <w:sz w:val="20"/>
          <w:szCs w:val="20"/>
          <w:color w:val="auto"/>
        </w:rPr>
      </w:pPr>
      <w:r>
        <w:rPr>
          <w:rFonts w:ascii="Courier New" w:cs="Courier New" w:eastAsia="Courier New" w:hAnsi="Courier New"/>
          <w:sz w:val="14"/>
          <w:szCs w:val="14"/>
          <w:color w:val="auto"/>
        </w:rPr>
        <w:t>represented by all classes of outstanding Voting Stock is owned, directly or indirectly, by such Person and one or more other Subsidiaries of such Person.</w:t>
      </w:r>
    </w:p>
    <w:p>
      <w:pPr>
        <w:spacing w:after="0" w:line="160" w:lineRule="exact"/>
        <w:rPr>
          <w:sz w:val="20"/>
          <w:szCs w:val="20"/>
          <w:color w:val="auto"/>
        </w:rPr>
      </w:pPr>
    </w:p>
    <w:p>
      <w:pPr>
        <w:ind w:right="3399" w:firstLine="437"/>
        <w:spacing w:after="0" w:line="235" w:lineRule="auto"/>
        <w:rPr>
          <w:sz w:val="20"/>
          <w:szCs w:val="20"/>
          <w:color w:val="auto"/>
        </w:rPr>
      </w:pPr>
      <w:r>
        <w:rPr>
          <w:rFonts w:ascii="Courier New" w:cs="Courier New" w:eastAsia="Courier New" w:hAnsi="Courier New"/>
          <w:sz w:val="15"/>
          <w:szCs w:val="15"/>
          <w:color w:val="auto"/>
        </w:rPr>
        <w:t>"Trustee" means the Person identified as "Trustee" in the first paragraph hereof and, subject to the provisions of Article 5, shall also include any successor trustee.</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"Trust Indenture Act of 1939" (except as otherwise provided in Sections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7.01 and 7.02) means the Trust Indenture Act of 1939 as in force at the date as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 which this Indenture was originally executed.</w:t>
      </w:r>
    </w:p>
    <w:p>
      <w:pPr>
        <w:spacing w:after="0" w:line="173" w:lineRule="exact"/>
        <w:rPr>
          <w:sz w:val="20"/>
          <w:szCs w:val="20"/>
          <w:color w:val="auto"/>
        </w:rPr>
      </w:pPr>
    </w:p>
    <w:p>
      <w:pPr>
        <w:ind w:right="3499" w:firstLine="437"/>
        <w:spacing w:after="0" w:line="234" w:lineRule="auto"/>
        <w:rPr>
          <w:sz w:val="20"/>
          <w:szCs w:val="20"/>
          <w:color w:val="auto"/>
        </w:rPr>
      </w:pPr>
      <w:r>
        <w:rPr>
          <w:rFonts w:ascii="Courier New" w:cs="Courier New" w:eastAsia="Courier New" w:hAnsi="Courier New"/>
          <w:sz w:val="15"/>
          <w:szCs w:val="15"/>
          <w:color w:val="auto"/>
        </w:rPr>
        <w:t>"UCC" means the Uniform Commercial Code, as in effect in each applicable jurisdiction.</w:t>
      </w:r>
    </w:p>
    <w:p>
      <w:pPr>
        <w:spacing w:after="0" w:line="173" w:lineRule="exact"/>
        <w:rPr>
          <w:sz w:val="20"/>
          <w:szCs w:val="20"/>
          <w:color w:val="auto"/>
        </w:rPr>
      </w:pPr>
    </w:p>
    <w:p>
      <w:pPr>
        <w:ind w:right="4019" w:firstLine="437"/>
        <w:spacing w:after="0" w:line="234" w:lineRule="auto"/>
        <w:rPr>
          <w:sz w:val="20"/>
          <w:szCs w:val="20"/>
          <w:color w:val="auto"/>
        </w:rPr>
      </w:pPr>
      <w:r>
        <w:rPr>
          <w:rFonts w:ascii="Courier New" w:cs="Courier New" w:eastAsia="Courier New" w:hAnsi="Courier New"/>
          <w:sz w:val="15"/>
          <w:szCs w:val="15"/>
          <w:color w:val="auto"/>
        </w:rPr>
        <w:t>"Unregistered Security" means any Security other than a Registered Security.</w:t>
      </w:r>
    </w:p>
    <w:p>
      <w:pPr>
        <w:spacing w:after="0" w:line="173"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"U.S. Government Obligations" means securities that are (i) direct obligations of the United States of America for the payment of which its full faith and credit is pledged or (ii) obligations of an agency or instrumentality of the United States of America the payment of which is unconditionally guaranteed as a full faith and credit obligation by the United States of America, and shall also include a depository receipt issued by a bank or trust company as custodian with respect to any such U.S. Government Obligation or a specific payment of interest on or principal of any such U.S. Government Obligation held by such custodian for the account of the holder of a depository receipt; provided that (except as required by law) such custodian is not authorized to make any deduction from the amount payable to the holder of such depository receipt from any amount received by the custodian in respect of the U.S. Government Obligation or the specific payment of interest on or principal of the U.S. Government Obligation evidenced by such depository receipt.</w:t>
      </w:r>
    </w:p>
    <w:p>
      <w:pPr>
        <w:spacing w:after="0" w:line="164"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"Vice president" when used with respect to the Issuer or the Trustee, means any vice president, whether or not designated by a number or a word or words added before or after the title of "vice president".</w:t>
      </w:r>
    </w:p>
    <w:p>
      <w:pPr>
        <w:spacing w:after="0" w:line="174" w:lineRule="exact"/>
        <w:rPr>
          <w:sz w:val="20"/>
          <w:szCs w:val="20"/>
          <w:color w:val="auto"/>
        </w:rPr>
      </w:pPr>
    </w:p>
    <w:p>
      <w:pPr>
        <w:ind w:right="3239" w:firstLine="437"/>
        <w:spacing w:after="0" w:line="258" w:lineRule="auto"/>
        <w:rPr>
          <w:sz w:val="20"/>
          <w:szCs w:val="20"/>
          <w:color w:val="auto"/>
        </w:rPr>
      </w:pPr>
      <w:r>
        <w:rPr>
          <w:rFonts w:ascii="Courier New" w:cs="Courier New" w:eastAsia="Courier New" w:hAnsi="Courier New"/>
          <w:sz w:val="14"/>
          <w:szCs w:val="14"/>
          <w:color w:val="auto"/>
        </w:rPr>
        <w:t>"Voting Stock" means with respect to any Person, Capital Stock of any class or kind ordinarily having the power to vote for the election of directors, managers or other voting members of the governing body of such Person.</w:t>
      </w:r>
    </w:p>
    <w:p>
      <w:pPr>
        <w:spacing w:after="0" w:line="161"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"Wholly-Owned" is defined to mean, with respect to any Subsidiary of any person, such Subsidiary if all of the outstanding common stock or other similar equity ownership interests (but not including preferred stock) in such Subsidiary (other than any director's qualifying shares or investments by foreign</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39"/>
          </w:cols>
          <w:pgMar w:left="220" w:top="792" w:right="1440" w:bottom="1440" w:gutter="0" w:footer="0" w:header="0"/>
        </w:sectPr>
      </w:pPr>
    </w:p>
    <w:bookmarkStart w:id="159" w:name="page160"/>
    <w:bookmarkEnd w:id="159"/>
    <w:p>
      <w:pPr>
        <w:ind w:right="3499"/>
        <w:spacing w:after="0" w:line="234" w:lineRule="auto"/>
        <w:rPr>
          <w:sz w:val="20"/>
          <w:szCs w:val="20"/>
          <w:color w:val="auto"/>
        </w:rPr>
      </w:pPr>
      <w:r>
        <w:rPr>
          <w:rFonts w:ascii="Courier New" w:cs="Courier New" w:eastAsia="Courier New" w:hAnsi="Courier New"/>
          <w:sz w:val="15"/>
          <w:szCs w:val="15"/>
          <w:color w:val="auto"/>
        </w:rPr>
        <w:t>nationals mandated by applicable law) is owned directly or indirectly by such person.</w:t>
      </w:r>
    </w:p>
    <w:p>
      <w:pPr>
        <w:spacing w:after="0" w:line="173"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"Yield to Maturity" means the yield to maturity on a series of securities, calculated at the time of issuance of such series, or, if applicable, at the most recent redetermination of interest on such series, and calculated in accordance with accepted financial practice.</w:t>
      </w:r>
    </w:p>
    <w:p>
      <w:pPr>
        <w:spacing w:after="0" w:line="337"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Article 2</w:t>
      </w:r>
    </w:p>
    <w:p>
      <w:pPr>
        <w:ind w:left="3080"/>
        <w:spacing w:after="0" w:line="237" w:lineRule="auto"/>
        <w:rPr>
          <w:sz w:val="20"/>
          <w:szCs w:val="20"/>
          <w:color w:val="auto"/>
        </w:rPr>
      </w:pPr>
      <w:r>
        <w:rPr>
          <w:rFonts w:ascii="Courier New" w:cs="Courier New" w:eastAsia="Courier New" w:hAnsi="Courier New"/>
          <w:sz w:val="15"/>
          <w:szCs w:val="15"/>
          <w:color w:val="auto"/>
        </w:rPr>
        <w:t>SECURITIES</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Section 2.01. Forms Generally. The Securities of each series shall be substantially in such form (not inconsistent with this Indenture) as shall be established by or pursuant to a resolution of the Board of Directors or in one or more indentures supplemental hereto, in each case with such appropriate insertions, omissions, substitutions and other variations as are required or permitted by this Indenture and may have imprinted or otherwise reproduced thereon such legend or legends, not inconsistent with the provisions of this Indenture, as may be required to comply with any law or with any rules or regulations pursuant thereto, or with any rules of any securities exchange or to conform to general usage, all as may be determined by the officers executing such Securities, as evidenced by their execution of the Securities. The Issuer shall furnish any such legends to the Trustee in writing.</w:t>
      </w:r>
    </w:p>
    <w:p>
      <w:pPr>
        <w:spacing w:after="0" w:line="164"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The definitive Securities shall be printed, lithographed or engraved on steel engraved borders or may be produced in any other manner, all as determined by the officers executing such Securities, as evidenced by their execution of such Securities.</w:t>
      </w:r>
    </w:p>
    <w:p>
      <w:pPr>
        <w:spacing w:after="0" w:line="175" w:lineRule="exact"/>
        <w:rPr>
          <w:sz w:val="20"/>
          <w:szCs w:val="20"/>
          <w:color w:val="auto"/>
        </w:rPr>
      </w:pPr>
    </w:p>
    <w:p>
      <w:pPr>
        <w:ind w:right="3839" w:firstLine="437"/>
        <w:spacing w:after="0" w:line="235" w:lineRule="auto"/>
        <w:rPr>
          <w:sz w:val="20"/>
          <w:szCs w:val="20"/>
          <w:color w:val="auto"/>
        </w:rPr>
      </w:pPr>
      <w:r>
        <w:rPr>
          <w:rFonts w:ascii="Courier New" w:cs="Courier New" w:eastAsia="Courier New" w:hAnsi="Courier New"/>
          <w:sz w:val="15"/>
          <w:szCs w:val="15"/>
          <w:color w:val="auto"/>
        </w:rPr>
        <w:t>Section 2.02. Form of Trustee's Certification of Authentication. The Trustee's certificate of authentication on all Securities shall be in substantially the following form:</w:t>
      </w:r>
    </w:p>
    <w:p>
      <w:pPr>
        <w:spacing w:after="0" w:line="174" w:lineRule="exact"/>
        <w:rPr>
          <w:sz w:val="20"/>
          <w:szCs w:val="20"/>
          <w:color w:val="auto"/>
        </w:rPr>
      </w:pPr>
    </w:p>
    <w:p>
      <w:pPr>
        <w:ind w:right="3319" w:firstLine="437"/>
        <w:spacing w:after="0" w:line="234" w:lineRule="auto"/>
        <w:rPr>
          <w:sz w:val="20"/>
          <w:szCs w:val="20"/>
          <w:color w:val="auto"/>
        </w:rPr>
      </w:pPr>
      <w:r>
        <w:rPr>
          <w:rFonts w:ascii="Courier New" w:cs="Courier New" w:eastAsia="Courier New" w:hAnsi="Courier New"/>
          <w:sz w:val="15"/>
          <w:szCs w:val="15"/>
          <w:color w:val="auto"/>
        </w:rPr>
        <w:t>This is one of the Securities of the series designated herein and referred to in the within-mentioned Indenture.</w:t>
      </w:r>
    </w:p>
    <w:p>
      <w:pPr>
        <w:spacing w:after="0" w:line="335" w:lineRule="exact"/>
        <w:rPr>
          <w:sz w:val="20"/>
          <w:szCs w:val="20"/>
          <w:color w:val="auto"/>
        </w:rPr>
      </w:pPr>
    </w:p>
    <w:p>
      <w:pPr>
        <w:ind w:left="3860"/>
        <w:spacing w:after="0"/>
        <w:rPr>
          <w:sz w:val="20"/>
          <w:szCs w:val="20"/>
          <w:color w:val="auto"/>
        </w:rPr>
      </w:pPr>
      <w:r>
        <w:rPr>
          <w:rFonts w:ascii="Courier New" w:cs="Courier New" w:eastAsia="Courier New" w:hAnsi="Courier New"/>
          <w:sz w:val="15"/>
          <w:szCs w:val="15"/>
          <w:color w:val="auto"/>
        </w:rPr>
        <w:t>THE BANK OF NEW YORK,</w:t>
      </w:r>
    </w:p>
    <w:p>
      <w:pPr>
        <w:ind w:left="4300"/>
        <w:spacing w:after="0" w:line="237" w:lineRule="auto"/>
        <w:rPr>
          <w:sz w:val="20"/>
          <w:szCs w:val="20"/>
          <w:color w:val="auto"/>
        </w:rPr>
      </w:pPr>
      <w:r>
        <w:rPr>
          <w:rFonts w:ascii="Courier New" w:cs="Courier New" w:eastAsia="Courier New" w:hAnsi="Courier New"/>
          <w:sz w:val="15"/>
          <w:szCs w:val="15"/>
          <w:color w:val="auto"/>
        </w:rPr>
        <w:t>as Trustee</w:t>
      </w:r>
    </w:p>
    <w:p>
      <w:pPr>
        <w:ind w:left="3860"/>
        <w:spacing w:after="0" w:line="238" w:lineRule="auto"/>
        <w:rPr>
          <w:sz w:val="20"/>
          <w:szCs w:val="20"/>
          <w:color w:val="auto"/>
        </w:rPr>
      </w:pPr>
      <w:r>
        <w:rPr>
          <w:rFonts w:ascii="Courier New" w:cs="Courier New" w:eastAsia="Courier New" w:hAnsi="Courier New"/>
          <w:sz w:val="15"/>
          <w:szCs w:val="15"/>
          <w:color w:val="auto"/>
        </w:rPr>
        <w:t>By:</w:t>
      </w:r>
    </w:p>
    <w:p>
      <w:pPr>
        <w:spacing w:after="0" w:line="5" w:lineRule="exact"/>
        <w:rPr>
          <w:sz w:val="20"/>
          <w:szCs w:val="20"/>
          <w:color w:val="auto"/>
        </w:rPr>
      </w:pPr>
    </w:p>
    <w:p>
      <w:pPr>
        <w:ind w:left="420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jc w:val="center"/>
        <w:ind w:right="79"/>
        <w:spacing w:after="0"/>
        <w:rPr>
          <w:sz w:val="20"/>
          <w:szCs w:val="20"/>
          <w:color w:val="auto"/>
        </w:rPr>
      </w:pPr>
      <w:r>
        <w:rPr>
          <w:rFonts w:ascii="Courier New" w:cs="Courier New" w:eastAsia="Courier New" w:hAnsi="Courier New"/>
          <w:sz w:val="15"/>
          <w:szCs w:val="15"/>
          <w:color w:val="auto"/>
        </w:rPr>
        <w:t>Authorized Signatory</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39"/>
          </w:cols>
          <w:pgMar w:left="220" w:top="792" w:right="1440" w:bottom="1440" w:gutter="0" w:footer="0" w:header="0"/>
        </w:sectPr>
      </w:pPr>
    </w:p>
    <w:bookmarkStart w:id="160" w:name="page161"/>
    <w:bookmarkEnd w:id="160"/>
    <w:p>
      <w:pPr>
        <w:ind w:right="3239" w:firstLine="437"/>
        <w:spacing w:after="0" w:line="235" w:lineRule="auto"/>
        <w:rPr>
          <w:sz w:val="20"/>
          <w:szCs w:val="20"/>
          <w:color w:val="auto"/>
        </w:rPr>
      </w:pPr>
      <w:r>
        <w:rPr>
          <w:rFonts w:ascii="Courier New" w:cs="Courier New" w:eastAsia="Courier New" w:hAnsi="Courier New"/>
          <w:sz w:val="15"/>
          <w:szCs w:val="15"/>
          <w:color w:val="auto"/>
        </w:rPr>
        <w:t>SECTION 2.03. Amount Unlimited; Issuable in Series. The aggregate principal amount of Securities which may be authenticated and delivered under this Indenture is unlimited.</w:t>
      </w:r>
    </w:p>
    <w:p>
      <w:pPr>
        <w:spacing w:after="0" w:line="174" w:lineRule="exact"/>
        <w:rPr>
          <w:sz w:val="20"/>
          <w:szCs w:val="20"/>
          <w:color w:val="auto"/>
        </w:rPr>
      </w:pPr>
    </w:p>
    <w:p>
      <w:pPr>
        <w:ind w:right="3579" w:firstLine="437"/>
        <w:spacing w:after="0" w:line="256" w:lineRule="auto"/>
        <w:rPr>
          <w:sz w:val="20"/>
          <w:szCs w:val="20"/>
          <w:color w:val="auto"/>
        </w:rPr>
      </w:pPr>
      <w:r>
        <w:rPr>
          <w:rFonts w:ascii="Courier New" w:cs="Courier New" w:eastAsia="Courier New" w:hAnsi="Courier New"/>
          <w:sz w:val="14"/>
          <w:szCs w:val="14"/>
          <w:color w:val="auto"/>
        </w:rPr>
        <w:t>The Securities may be issued in one or more series. There shall be established in or pursuant to a resolution of the Board of Directors and set forth in an Officers' Certificate, or established in one or more indentures supplemental hereto, prior to the issuance of Securities of any series:</w:t>
      </w:r>
    </w:p>
    <w:p>
      <w:pPr>
        <w:spacing w:after="0" w:line="164" w:lineRule="exact"/>
        <w:rPr>
          <w:sz w:val="20"/>
          <w:szCs w:val="20"/>
          <w:color w:val="auto"/>
        </w:rPr>
      </w:pPr>
    </w:p>
    <w:p>
      <w:pPr>
        <w:ind w:left="440" w:right="3239" w:firstLine="444"/>
        <w:spacing w:after="0" w:line="234" w:lineRule="auto"/>
        <w:tabs>
          <w:tab w:leader="none" w:pos="1227" w:val="left"/>
        </w:tabs>
        <w:numPr>
          <w:ilvl w:val="0"/>
          <w:numId w:val="1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title of the Securities of the series (which shall distinguish the Securities of the series from all other Securities);</w:t>
      </w:r>
    </w:p>
    <w:p>
      <w:pPr>
        <w:spacing w:after="0" w:line="173" w:lineRule="exact"/>
        <w:rPr>
          <w:rFonts w:ascii="Courier New" w:cs="Courier New" w:eastAsia="Courier New" w:hAnsi="Courier New"/>
          <w:sz w:val="15"/>
          <w:szCs w:val="15"/>
          <w:color w:val="auto"/>
        </w:rPr>
      </w:pPr>
    </w:p>
    <w:p>
      <w:pPr>
        <w:ind w:left="440" w:right="3239" w:firstLine="444"/>
        <w:spacing w:after="0" w:line="236" w:lineRule="auto"/>
        <w:tabs>
          <w:tab w:leader="none" w:pos="1227" w:val="left"/>
        </w:tabs>
        <w:numPr>
          <w:ilvl w:val="0"/>
          <w:numId w:val="1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limit upon the aggregate principal amount of the Securities of the series that may be authenticated and delivered under this Indenture (except for Securities authenticated and delivered upon registration of transfer of, or in exchange for, or in lieu of, other Securities of the series pursuant to Section 2.08, 2.09, 2.11 or 13.03);</w:t>
      </w:r>
    </w:p>
    <w:p>
      <w:pPr>
        <w:spacing w:after="0" w:line="173" w:lineRule="exact"/>
        <w:rPr>
          <w:rFonts w:ascii="Courier New" w:cs="Courier New" w:eastAsia="Courier New" w:hAnsi="Courier New"/>
          <w:sz w:val="15"/>
          <w:szCs w:val="15"/>
          <w:color w:val="auto"/>
        </w:rPr>
      </w:pPr>
    </w:p>
    <w:p>
      <w:pPr>
        <w:ind w:left="440" w:right="3319" w:firstLine="444"/>
        <w:spacing w:after="0" w:line="234" w:lineRule="auto"/>
        <w:tabs>
          <w:tab w:leader="none" w:pos="1227" w:val="left"/>
        </w:tabs>
        <w:numPr>
          <w:ilvl w:val="0"/>
          <w:numId w:val="1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date or dates on which the principal of the Securities of the series is payable;</w:t>
      </w:r>
    </w:p>
    <w:p>
      <w:pPr>
        <w:spacing w:after="0" w:line="173" w:lineRule="exact"/>
        <w:rPr>
          <w:rFonts w:ascii="Courier New" w:cs="Courier New" w:eastAsia="Courier New" w:hAnsi="Courier New"/>
          <w:sz w:val="15"/>
          <w:szCs w:val="15"/>
          <w:color w:val="auto"/>
        </w:rPr>
      </w:pPr>
    </w:p>
    <w:p>
      <w:pPr>
        <w:ind w:left="440" w:right="3239" w:firstLine="444"/>
        <w:spacing w:after="0" w:line="256" w:lineRule="auto"/>
        <w:tabs>
          <w:tab w:leader="none" w:pos="1227" w:val="left"/>
        </w:tabs>
        <w:numPr>
          <w:ilvl w:val="0"/>
          <w:numId w:val="1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rate or rates at which the Securities of the series shall bear interest, if any, or the method by which such rate shall be determined, the date or dates from which such interest shall accrue, the interest payment dates on which such interest shall be payable and the record dates for the determination of Holders to whom interest is payable;</w:t>
      </w:r>
    </w:p>
    <w:p>
      <w:pPr>
        <w:spacing w:after="0" w:line="163" w:lineRule="exact"/>
        <w:rPr>
          <w:rFonts w:ascii="Courier New" w:cs="Courier New" w:eastAsia="Courier New" w:hAnsi="Courier New"/>
          <w:sz w:val="14"/>
          <w:szCs w:val="14"/>
          <w:color w:val="auto"/>
        </w:rPr>
      </w:pPr>
    </w:p>
    <w:p>
      <w:pPr>
        <w:jc w:val="both"/>
        <w:ind w:left="440" w:right="3579" w:firstLine="444"/>
        <w:spacing w:after="0" w:line="235" w:lineRule="auto"/>
        <w:tabs>
          <w:tab w:leader="none" w:pos="1227" w:val="left"/>
        </w:tabs>
        <w:numPr>
          <w:ilvl w:val="0"/>
          <w:numId w:val="1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place or places where the principal of and any interest on Securities of the series shall be payable (if other than as provided in Section 3.02);</w:t>
      </w:r>
    </w:p>
    <w:p>
      <w:pPr>
        <w:spacing w:after="0" w:line="173" w:lineRule="exact"/>
        <w:rPr>
          <w:rFonts w:ascii="Courier New" w:cs="Courier New" w:eastAsia="Courier New" w:hAnsi="Courier New"/>
          <w:sz w:val="15"/>
          <w:szCs w:val="15"/>
          <w:color w:val="auto"/>
        </w:rPr>
      </w:pPr>
    </w:p>
    <w:p>
      <w:pPr>
        <w:ind w:left="440" w:right="3239" w:firstLine="444"/>
        <w:spacing w:after="0" w:line="235" w:lineRule="auto"/>
        <w:tabs>
          <w:tab w:leader="none" w:pos="1227" w:val="left"/>
        </w:tabs>
        <w:numPr>
          <w:ilvl w:val="0"/>
          <w:numId w:val="1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price or prices at which, the period or periods within which and the terms and conditions upon which Securities of the series may be redeemed, in whole or in part, at the option of the Issuer, pursuant to any sinking fund or otherwise;</w:t>
      </w:r>
    </w:p>
    <w:p>
      <w:pPr>
        <w:spacing w:after="0" w:line="175" w:lineRule="exact"/>
        <w:rPr>
          <w:rFonts w:ascii="Courier New" w:cs="Courier New" w:eastAsia="Courier New" w:hAnsi="Courier New"/>
          <w:sz w:val="15"/>
          <w:szCs w:val="15"/>
          <w:color w:val="auto"/>
        </w:rPr>
      </w:pPr>
    </w:p>
    <w:p>
      <w:pPr>
        <w:ind w:left="440" w:right="3239" w:firstLine="444"/>
        <w:spacing w:after="0" w:line="236" w:lineRule="auto"/>
        <w:tabs>
          <w:tab w:leader="none" w:pos="1227" w:val="left"/>
        </w:tabs>
        <w:numPr>
          <w:ilvl w:val="0"/>
          <w:numId w:val="1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obligation, if any, of the Issuer to redeem, purchase or repay Securities of the series pursuant to any sinking fund or analogous provisions or at the option of a Holder thereof and the price or prices at which and the period or periods within which and the terms and conditions upon which Securities of the series shall be redeemed, purchased or repaid, in whole or in part, pursuant to such obligation;</w:t>
      </w:r>
    </w:p>
    <w:p>
      <w:pPr>
        <w:spacing w:after="0" w:line="174" w:lineRule="exact"/>
        <w:rPr>
          <w:rFonts w:ascii="Courier New" w:cs="Courier New" w:eastAsia="Courier New" w:hAnsi="Courier New"/>
          <w:sz w:val="15"/>
          <w:szCs w:val="15"/>
          <w:color w:val="auto"/>
        </w:rPr>
      </w:pPr>
    </w:p>
    <w:p>
      <w:pPr>
        <w:ind w:left="440" w:right="3319" w:firstLine="444"/>
        <w:spacing w:after="0" w:line="234" w:lineRule="auto"/>
        <w:tabs>
          <w:tab w:leader="none" w:pos="1227" w:val="left"/>
        </w:tabs>
        <w:numPr>
          <w:ilvl w:val="0"/>
          <w:numId w:val="1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obligation, if any, of the Issuer to permit the conversion of the Securities of such series into Class A Common Stock or Class A</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39"/>
          </w:cols>
          <w:pgMar w:left="220" w:top="792" w:right="1440" w:bottom="1440" w:gutter="0" w:footer="0" w:header="0"/>
        </w:sectPr>
      </w:pPr>
    </w:p>
    <w:bookmarkStart w:id="161" w:name="page162"/>
    <w:bookmarkEnd w:id="161"/>
    <w:p>
      <w:pPr>
        <w:ind w:left="440" w:right="3239"/>
        <w:spacing w:after="0" w:line="236" w:lineRule="auto"/>
        <w:rPr>
          <w:sz w:val="20"/>
          <w:szCs w:val="20"/>
          <w:color w:val="auto"/>
        </w:rPr>
      </w:pPr>
      <w:r>
        <w:rPr>
          <w:rFonts w:ascii="Courier New" w:cs="Courier New" w:eastAsia="Courier New" w:hAnsi="Courier New"/>
          <w:sz w:val="15"/>
          <w:szCs w:val="15"/>
          <w:color w:val="auto"/>
        </w:rPr>
        <w:t>Special Common Stock, or a combination thereof, and the terms and conditions upon which such conversion shall be effected (including, without limitation, the initial conversion price or rate, the conversion period and any other provision in addition to or in lieu of those set forth in this Indenture relative to such obligation);</w:t>
      </w:r>
    </w:p>
    <w:p>
      <w:pPr>
        <w:spacing w:after="0" w:line="174" w:lineRule="exact"/>
        <w:rPr>
          <w:sz w:val="20"/>
          <w:szCs w:val="20"/>
          <w:color w:val="auto"/>
        </w:rPr>
      </w:pPr>
    </w:p>
    <w:p>
      <w:pPr>
        <w:ind w:left="440" w:right="3499" w:firstLine="444"/>
        <w:spacing w:after="0" w:line="261" w:lineRule="auto"/>
        <w:tabs>
          <w:tab w:leader="none" w:pos="1227" w:val="left"/>
        </w:tabs>
        <w:numPr>
          <w:ilvl w:val="0"/>
          <w:numId w:val="1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other than denominations of $1,000 and any multiple thereof, the denominations in which Securities of the series shall be issuable;</w:t>
      </w:r>
    </w:p>
    <w:p>
      <w:pPr>
        <w:spacing w:after="0" w:line="159" w:lineRule="exact"/>
        <w:rPr>
          <w:rFonts w:ascii="Courier New" w:cs="Courier New" w:eastAsia="Courier New" w:hAnsi="Courier New"/>
          <w:sz w:val="14"/>
          <w:szCs w:val="14"/>
          <w:color w:val="auto"/>
        </w:rPr>
      </w:pPr>
    </w:p>
    <w:p>
      <w:pPr>
        <w:ind w:left="440" w:right="3499" w:firstLine="444"/>
        <w:spacing w:after="0" w:line="256" w:lineRule="auto"/>
        <w:tabs>
          <w:tab w:leader="none" w:pos="1227" w:val="left"/>
        </w:tabs>
        <w:numPr>
          <w:ilvl w:val="0"/>
          <w:numId w:val="1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other than the principal amount thereof, the portion of the principal amount of Securities of the series which shall be payable upon declaration of acceleration of the maturity thereof pursuant to Section 4.01 or provable in bankruptcy pursuant to Section 4.02;</w:t>
      </w:r>
    </w:p>
    <w:p>
      <w:pPr>
        <w:spacing w:after="0" w:line="164" w:lineRule="exact"/>
        <w:rPr>
          <w:rFonts w:ascii="Courier New" w:cs="Courier New" w:eastAsia="Courier New" w:hAnsi="Courier New"/>
          <w:sz w:val="14"/>
          <w:szCs w:val="14"/>
          <w:color w:val="auto"/>
        </w:rPr>
      </w:pPr>
    </w:p>
    <w:p>
      <w:pPr>
        <w:ind w:left="440" w:right="3239" w:firstLine="444"/>
        <w:spacing w:after="0" w:line="235" w:lineRule="auto"/>
        <w:tabs>
          <w:tab w:leader="none" w:pos="1227" w:val="left"/>
        </w:tabs>
        <w:numPr>
          <w:ilvl w:val="0"/>
          <w:numId w:val="1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Securities of the series are issuable in whole or in part as one or more Registered Global Securities, the identity of the Depositary for such Registered Global Security or Securities;</w:t>
      </w:r>
    </w:p>
    <w:p>
      <w:pPr>
        <w:spacing w:after="0" w:line="173" w:lineRule="exact"/>
        <w:rPr>
          <w:rFonts w:ascii="Courier New" w:cs="Courier New" w:eastAsia="Courier New" w:hAnsi="Courier New"/>
          <w:sz w:val="15"/>
          <w:szCs w:val="15"/>
          <w:color w:val="auto"/>
        </w:rPr>
      </w:pPr>
    </w:p>
    <w:p>
      <w:pPr>
        <w:ind w:left="440" w:right="4199" w:firstLine="444"/>
        <w:spacing w:after="0" w:line="234" w:lineRule="auto"/>
        <w:tabs>
          <w:tab w:leader="none" w:pos="1227" w:val="left"/>
        </w:tabs>
        <w:numPr>
          <w:ilvl w:val="0"/>
          <w:numId w:val="1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other terms of the series (which terms shall not be inconsistent with the provisions of this Indenture); and</w:t>
      </w:r>
    </w:p>
    <w:p>
      <w:pPr>
        <w:spacing w:after="0" w:line="173" w:lineRule="exact"/>
        <w:rPr>
          <w:rFonts w:ascii="Courier New" w:cs="Courier New" w:eastAsia="Courier New" w:hAnsi="Courier New"/>
          <w:sz w:val="15"/>
          <w:szCs w:val="15"/>
          <w:color w:val="auto"/>
        </w:rPr>
      </w:pPr>
    </w:p>
    <w:p>
      <w:pPr>
        <w:ind w:left="440" w:right="3319" w:firstLine="444"/>
        <w:spacing w:after="0" w:line="235" w:lineRule="auto"/>
        <w:tabs>
          <w:tab w:leader="none" w:pos="1227" w:val="left"/>
        </w:tabs>
        <w:numPr>
          <w:ilvl w:val="0"/>
          <w:numId w:val="1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trustees, authenticating or paying agents, transfer agents or registrar or any other agents with respect to the Securities of such series.</w:t>
      </w:r>
    </w:p>
    <w:p>
      <w:pPr>
        <w:spacing w:after="0" w:line="174"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All Securities of any one series shall be substantially identical except as to denomination and except as may otherwise be provided in or pursuant to such resolution of the Board of Directors or in any such indenture supplemental hereto.</w:t>
      </w:r>
    </w:p>
    <w:p>
      <w:pPr>
        <w:spacing w:after="0" w:line="175"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Section 2.04. Authentication and Delivery of Securities. At any time and from time to time after the execution and delivery of this Indenture, the Issuer may deliver Securities of any series executed by the Issuer to the Trustee for authentication, and the Trustee shall thereupon authenticate and deliver such Securities to or upon the written order of the Issuer, such order to be signed by both (a) the chairman of its Board of Directors, or any vice chairman of its Board of Directors, or its president or any vice president and (b) by its treasurer or any assistant treasurer, without any further action by the Issuer. In authenticating such Securities and accepting the additional responsibilities under this Indenture in relation to such Securities the Trustee shall receive, and (subject to Section 5.01) shall be fully protected in relying upon:</w:t>
      </w:r>
    </w:p>
    <w:p>
      <w:pPr>
        <w:spacing w:after="0" w:line="165" w:lineRule="exact"/>
        <w:rPr>
          <w:sz w:val="20"/>
          <w:szCs w:val="20"/>
          <w:color w:val="auto"/>
        </w:rPr>
      </w:pPr>
    </w:p>
    <w:p>
      <w:pPr>
        <w:ind w:left="440" w:right="3319" w:firstLine="444"/>
        <w:spacing w:after="0" w:line="235" w:lineRule="auto"/>
        <w:tabs>
          <w:tab w:leader="none" w:pos="1227" w:val="left"/>
        </w:tabs>
        <w:numPr>
          <w:ilvl w:val="0"/>
          <w:numId w:val="1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certified copy of any resolution or resolutions of the Board of Directors authorizing the action taken pursuant to the resolution or resolutions delivered under clause Section 2.04(b) below;</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39"/>
          </w:cols>
          <w:pgMar w:left="220" w:top="792" w:right="1440" w:bottom="1440" w:gutter="0" w:footer="0" w:header="0"/>
        </w:sectPr>
      </w:pPr>
    </w:p>
    <w:bookmarkStart w:id="162" w:name="page163"/>
    <w:bookmarkEnd w:id="162"/>
    <w:p>
      <w:pPr>
        <w:ind w:left="440" w:right="3319" w:firstLine="444"/>
        <w:spacing w:after="0" w:line="235" w:lineRule="auto"/>
        <w:tabs>
          <w:tab w:leader="none" w:pos="1227" w:val="left"/>
        </w:tabs>
        <w:numPr>
          <w:ilvl w:val="0"/>
          <w:numId w:val="1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copy of any resolution or resolutions of the Board of Directors relating to such series, in each case certified by the secretary or an assistant secretary of the Issuer;</w:t>
      </w:r>
    </w:p>
    <w:p>
      <w:pPr>
        <w:spacing w:after="0" w:line="173" w:lineRule="exact"/>
        <w:rPr>
          <w:rFonts w:ascii="Courier New" w:cs="Courier New" w:eastAsia="Courier New" w:hAnsi="Courier New"/>
          <w:sz w:val="15"/>
          <w:szCs w:val="15"/>
          <w:color w:val="auto"/>
        </w:rPr>
      </w:pPr>
    </w:p>
    <w:p>
      <w:pPr>
        <w:ind w:left="440" w:right="3319" w:firstLine="444"/>
        <w:spacing w:after="0" w:line="234" w:lineRule="auto"/>
        <w:tabs>
          <w:tab w:leader="none" w:pos="1227" w:val="left"/>
        </w:tabs>
        <w:numPr>
          <w:ilvl w:val="0"/>
          <w:numId w:val="1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executed supplemental indenture, if any, and the documentation required to be delivered pursuant to Section 7.04;</w:t>
      </w:r>
    </w:p>
    <w:p>
      <w:pPr>
        <w:spacing w:after="0" w:line="173" w:lineRule="exact"/>
        <w:rPr>
          <w:rFonts w:ascii="Courier New" w:cs="Courier New" w:eastAsia="Courier New" w:hAnsi="Courier New"/>
          <w:sz w:val="15"/>
          <w:szCs w:val="15"/>
          <w:color w:val="auto"/>
        </w:rPr>
      </w:pPr>
    </w:p>
    <w:p>
      <w:pPr>
        <w:ind w:left="440" w:right="3319" w:firstLine="444"/>
        <w:spacing w:after="0" w:line="235" w:lineRule="auto"/>
        <w:tabs>
          <w:tab w:leader="none" w:pos="1227" w:val="left"/>
        </w:tabs>
        <w:numPr>
          <w:ilvl w:val="0"/>
          <w:numId w:val="1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Officers' Certificate setting forth the form and terms of the Securities as required pursuant to Section 2.01 and 2.03, respectively and prepared in accordance with Section 10.05;</w:t>
      </w:r>
    </w:p>
    <w:p>
      <w:pPr>
        <w:spacing w:after="0" w:line="173" w:lineRule="exact"/>
        <w:rPr>
          <w:rFonts w:ascii="Courier New" w:cs="Courier New" w:eastAsia="Courier New" w:hAnsi="Courier New"/>
          <w:sz w:val="15"/>
          <w:szCs w:val="15"/>
          <w:color w:val="auto"/>
        </w:rPr>
      </w:pPr>
    </w:p>
    <w:p>
      <w:pPr>
        <w:ind w:left="440" w:right="3319" w:firstLine="444"/>
        <w:spacing w:after="0" w:line="234" w:lineRule="auto"/>
        <w:tabs>
          <w:tab w:leader="none" w:pos="1227" w:val="left"/>
        </w:tabs>
        <w:numPr>
          <w:ilvl w:val="0"/>
          <w:numId w:val="1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Opinion of Counsel, prepared in accordance with Section 10.05, to the effect</w:t>
      </w:r>
    </w:p>
    <w:p>
      <w:pPr>
        <w:spacing w:after="0" w:line="173" w:lineRule="exact"/>
        <w:rPr>
          <w:rFonts w:ascii="Courier New" w:cs="Courier New" w:eastAsia="Courier New" w:hAnsi="Courier New"/>
          <w:sz w:val="15"/>
          <w:szCs w:val="15"/>
          <w:color w:val="auto"/>
        </w:rPr>
      </w:pPr>
    </w:p>
    <w:p>
      <w:pPr>
        <w:ind w:left="880" w:right="3239" w:firstLine="442"/>
        <w:spacing w:after="0" w:line="256" w:lineRule="auto"/>
        <w:tabs>
          <w:tab w:leader="none" w:pos="1667" w:val="left"/>
        </w:tabs>
        <w:numPr>
          <w:ilvl w:val="1"/>
          <w:numId w:val="1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that the form or forms and terms of such Securities have been established by or pursuant to a resolution of the Board of Directors or by a supplemental indenture as permitted by Section 2.01 and 2.03 in conformity with the provisions of this Indenture; and</w:t>
      </w:r>
    </w:p>
    <w:p>
      <w:pPr>
        <w:spacing w:after="0" w:line="164" w:lineRule="exact"/>
        <w:rPr>
          <w:rFonts w:ascii="Courier New" w:cs="Courier New" w:eastAsia="Courier New" w:hAnsi="Courier New"/>
          <w:sz w:val="14"/>
          <w:szCs w:val="14"/>
          <w:color w:val="auto"/>
        </w:rPr>
      </w:pPr>
    </w:p>
    <w:p>
      <w:pPr>
        <w:ind w:left="880" w:right="3239" w:firstLine="442"/>
        <w:spacing w:after="0" w:line="236" w:lineRule="auto"/>
        <w:tabs>
          <w:tab w:leader="none" w:pos="1755" w:val="left"/>
        </w:tabs>
        <w:numPr>
          <w:ilvl w:val="1"/>
          <w:numId w:val="1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that such Securities, when authenticated and delivered by the Trustee and issued by the Issuer in the manner and subject to any conditions specified in such Opinion of Counsel, will constitute legal, valid and binding obligations of the Issuer enforceable against the Issuer in accordance with their terms.</w:t>
      </w:r>
    </w:p>
    <w:p>
      <w:pPr>
        <w:spacing w:after="0" w:line="174"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The Trustee shall have the right to decline to authenticate and deliver any Securities under this section if the Trustee, being advised by counsel, determines that such action may not lawfully be taken by the Issuer or if the Trustee in good faith by its board of directors or board of trustees, executive committee, or a trust committee of directors or trustees or Responsible Officers shall determine that such action would expose the Trustee to personal liability.</w:t>
      </w:r>
    </w:p>
    <w:p>
      <w:pPr>
        <w:spacing w:after="0" w:line="166"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If the Issuer shall establish pursuant to Section 2.03 that the Securities of a series or a portion thereof are to be issued in the form of one or more Registered Global Securities, then the Issuer shall execute (in accordance with Section 2.05) and the Trustee shall authenticate and make available for delivery one or more Registered Global Securities that (i) shall represent and shall be denominated in an amount equal to the aggregate principal amount of all of the Securities of such series issued in such form and not yet canceled, (ii) shall be registered in the name of the Depositary for such Registered Global Security or Securities or the nominee of such Depositary, (iii) shall be delivered by the Trustee to such Depositary or its custodian or pursuant to such Depositary's instructions and (iv) shall bear a legend substantially to the following effect: "Unless and until it is exchanged in whole or in part for Securities in definitive registered form, this</w:t>
      </w:r>
    </w:p>
    <w:p>
      <w:pPr>
        <w:spacing w:after="0" w:line="32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39"/>
          </w:cols>
          <w:pgMar w:left="220" w:top="792" w:right="1440" w:bottom="1440" w:gutter="0" w:footer="0" w:header="0"/>
        </w:sectPr>
      </w:pPr>
    </w:p>
    <w:bookmarkStart w:id="163" w:name="page164"/>
    <w:bookmarkEnd w:id="163"/>
    <w:p>
      <w:pPr>
        <w:ind w:right="3239"/>
        <w:spacing w:after="0" w:line="235" w:lineRule="auto"/>
        <w:rPr>
          <w:sz w:val="20"/>
          <w:szCs w:val="20"/>
          <w:color w:val="auto"/>
        </w:rPr>
      </w:pPr>
      <w:r>
        <w:rPr>
          <w:rFonts w:ascii="Courier New" w:cs="Courier New" w:eastAsia="Courier New" w:hAnsi="Courier New"/>
          <w:sz w:val="15"/>
          <w:szCs w:val="15"/>
          <w:color w:val="auto"/>
        </w:rPr>
        <w:t>Security may not be transferred except as a whole by the Depositary to a nominee of the Depositary or by a nominee of the Depositary to the Depositary or another nominee of the Depositary or by the Depositary or any such nominee to a successor Depositary or a nominee of such successor Depositary."</w:t>
      </w:r>
    </w:p>
    <w:p>
      <w:pPr>
        <w:spacing w:after="0" w:line="175"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Section 2.05. Execution of Securities. The Securities shall be signed on behalf of the Issuer by the chairman of its Board of Directors or any vice chairman of its Board of Directors or its president or any vice president or its treasurer or any assistant treasurer, under its corporate seal and attested by its secretary or any assistant secretary. Such signatures may be the manual or facsimile signatures of the present or any future such officers. The seal of the Issuer may be in the form of a facsimile thereof and may be impressed, affixed, imprinted or otherwise reproduced on the Securities. Typographical and other minor errors or defects in any such reproduction of the seal or any such signature shall not affect the validity or enforceability of any Security that has been duly authenticated and delivered by the Trustee.</w:t>
      </w:r>
    </w:p>
    <w:p>
      <w:pPr>
        <w:spacing w:after="0" w:line="165"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In case any officer of the Issuer who shall have signed any of the Securities shall cease to be such officer before the Security so signed shall be authenticated and delivered by the Trustee or disposed of by the Issuer, such Security nevertheless may be authenticated and delivered or disposed of as though the person who signed such Security had not ceased to be such officer of the Issuer; and any Security may be signed on behalf of the Issuer by such persons as, at the actual date of the execution of such Security, shall be the proper officers of the Issuer, although at the date of the execution and delivery of this Indenture any such person was not such an officer.</w:t>
      </w:r>
    </w:p>
    <w:p>
      <w:pPr>
        <w:spacing w:after="0" w:line="165"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Section 2.06. Certificate of Authentication. Only such Securities as shall bear thereon a certificate of authentication substantially in the form hereinbefore recited, executed by the Trustee by the manual signature of one of its authorized signatories, shall be entitled to the benefits of this Indenture or be valid or obligatory for any purpose. Such certificate by the Trustee upon any Security executed by the Issuer shall be conclusive evidence that the Security so authenticated has been duly authenticated and delivered hereunder and that the holder is entitled to the benefits of this Indenture.</w:t>
      </w:r>
    </w:p>
    <w:p>
      <w:pPr>
        <w:spacing w:after="0" w:line="166"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Section 2.07. Denomination and Date of Securities; Payments of Interest. The Securities shall be issuable as registered securities without coupons and in denominations as shall be specified as contemplated by Section 2.03. In the absence of any such specification with respect to the Securities of any series, the Securities of such series shall be issuable in denominations of $1,000 and any multiple thereof. The Securities shall be numbered, lettered, or otherwise distinguished in such manner or in accordance with such plan as the officers of the Issuer executing the same may determine as evidenced by the execution and authentication thereof.</w:t>
      </w:r>
    </w:p>
    <w:p>
      <w:pPr>
        <w:spacing w:after="0" w:line="34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39"/>
          </w:cols>
          <w:pgMar w:left="220" w:top="792" w:right="1440" w:bottom="1440" w:gutter="0" w:footer="0" w:header="0"/>
        </w:sectPr>
      </w:pPr>
    </w:p>
    <w:bookmarkStart w:id="164" w:name="page165"/>
    <w:bookmarkEnd w:id="164"/>
    <w:p>
      <w:pPr>
        <w:ind w:right="3239" w:firstLine="437"/>
        <w:spacing w:after="0" w:line="235" w:lineRule="auto"/>
        <w:rPr>
          <w:sz w:val="20"/>
          <w:szCs w:val="20"/>
          <w:color w:val="auto"/>
        </w:rPr>
      </w:pPr>
      <w:r>
        <w:rPr>
          <w:rFonts w:ascii="Courier New" w:cs="Courier New" w:eastAsia="Courier New" w:hAnsi="Courier New"/>
          <w:sz w:val="15"/>
          <w:szCs w:val="15"/>
          <w:color w:val="auto"/>
        </w:rPr>
        <w:t>Each Security shall be dated the date of its authentication, shall bear interest, if any, from the date and shall be payable on the dates, in each case, which shall be specified as contemplated by Section 2.03.</w:t>
      </w:r>
    </w:p>
    <w:p>
      <w:pPr>
        <w:spacing w:after="0" w:line="174"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The person in whose name any Security of any series is registered at the close of business on any record date applicable to a particular series with respect to any interest payment date for such series shall be entitled to receive the interest, if any, payable on such interest payment date notwithstanding any transfer or exchange of such Security subsequent to the record date and prior to such interest payment date, except if and to the extent the Issuer shall default in the payment of the interest due on such interest payment date for such series, in which case such defaulted interest shall be paid to the persons in whose names Outstanding Securities for such series are registered at the close of business on a subsequent record date (which shall be not less than five Business Days prior to the date of payment of such defaulted interest) established by notice given by mail by or on behalf of the Issuer to the holders of Securities not less than 15 days preceding such subsequent record date. The term "record date" as used with respect to any interest payment date (except a date for payment of defaulted interest) shall mean the date specified as such in the terms of the Securities of any particular series, or, if no such date is so specified, if such interest payment date is the first day of a calendar month, the fifteenth day of the next preceding calendar month or, if such interest payment date is the fifteenth day of a calendar month, the first day of such calendar month, whether or not such record date is a Business Day.</w:t>
      </w:r>
    </w:p>
    <w:p>
      <w:pPr>
        <w:spacing w:after="0" w:line="175"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Section 2.08. Registration, Transfer and Exchange. The Issuer will keep or cause to be kept at each office or agency to be maintained for the purpose as provided in Section 3.02 a register or registers in which, subject to such reasonable regulations as it may prescribe, it will register, and will register the transfer of, Securities as in this Article provided. Such register shall be in written form in the English language or in any other form capable of being converted into such form within a reasonable time. At all reasonable times such register or registers shall be open for inspection by the Trustee.</w:t>
      </w:r>
    </w:p>
    <w:p>
      <w:pPr>
        <w:spacing w:after="0" w:line="166" w:lineRule="exact"/>
        <w:rPr>
          <w:sz w:val="20"/>
          <w:szCs w:val="20"/>
          <w:color w:val="auto"/>
        </w:rPr>
      </w:pPr>
    </w:p>
    <w:p>
      <w:pPr>
        <w:ind w:right="3319" w:firstLine="437"/>
        <w:spacing w:after="0" w:line="237" w:lineRule="auto"/>
        <w:rPr>
          <w:sz w:val="20"/>
          <w:szCs w:val="20"/>
          <w:color w:val="auto"/>
        </w:rPr>
      </w:pPr>
      <w:r>
        <w:rPr>
          <w:rFonts w:ascii="Courier New" w:cs="Courier New" w:eastAsia="Courier New" w:hAnsi="Courier New"/>
          <w:sz w:val="15"/>
          <w:szCs w:val="15"/>
          <w:color w:val="auto"/>
        </w:rPr>
        <w:t>At the option of the Holder thereof, Registered Securities of any series (other than a Registered Global Security, except as set forth below) may be exchanged for a Registered Security or Registered Securities of such series and tenor having authorized denominations and an equal aggregate principal amount, upon surrender of such Registered Securities to be exchanged at the agency of the Issuer that shall be maintained for such purpose in accordance with Section 3.02 and upon payment, if the Issuer shall so require, of the charges hereinafter provided. If the Securities of any series are issued in both registered and unregistered form, except as otherwise established pursuant to Section 2.03, at the option of the Holder thereof, Unregistered Securities of any series may be exchanged for Registered Securities of such series and tenor having authorized denominations and an equal aggregate principal amount, upon surrender of such</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39"/>
          </w:cols>
          <w:pgMar w:left="220" w:top="792" w:right="1440" w:bottom="1440" w:gutter="0" w:footer="0" w:header="0"/>
        </w:sectPr>
      </w:pPr>
    </w:p>
    <w:bookmarkStart w:id="165" w:name="page166"/>
    <w:bookmarkEnd w:id="165"/>
    <w:p>
      <w:pPr>
        <w:ind w:right="3239"/>
        <w:spacing w:after="0" w:line="254" w:lineRule="auto"/>
        <w:rPr>
          <w:sz w:val="20"/>
          <w:szCs w:val="20"/>
          <w:color w:val="auto"/>
        </w:rPr>
      </w:pPr>
      <w:r>
        <w:rPr>
          <w:rFonts w:ascii="Courier New" w:cs="Courier New" w:eastAsia="Courier New" w:hAnsi="Courier New"/>
          <w:sz w:val="14"/>
          <w:szCs w:val="14"/>
          <w:color w:val="auto"/>
        </w:rPr>
        <w:t>Unregistered Securities to be exchanged at the agency of the Issuer that shall be maintained for such purpose in accordance with Section 3.02 and upon payment, if the Issuer shall so require, of the charges hereinafter provided. At the option of the Holder thereof, if Unregistered Securities of any series, maturity date, interest rate and original issue date are issued in more than one authorized denomination, except as otherwise established pursuant to Section</w:t>
      </w:r>
    </w:p>
    <w:p>
      <w:pPr>
        <w:spacing w:after="0" w:line="2"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2.03, such Unregistered Securities may be exchanged for Unregistered Securities of such series and tenor having authorized denominations and an equal aggregate principal amount, upon surrender of such Unregistered Securities to be exchanged at the agency of the Issuer that shall be maintained for such purpose in accordance with Section 3.02 and upon payment, if the Issuer shall so require, of the charges hereinafter provided. Registered Securities of any series may not be exchanged for Unregistered Securities of such series. Whenever any Securities are so surrendered for exchange, the Issuer shall execute, and the Trustee shall authenticate and make available for delivery, the Securities which the Holder making the exchange is entitled to receive.</w:t>
      </w:r>
    </w:p>
    <w:p>
      <w:pPr>
        <w:spacing w:after="0" w:line="165"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All Registered Securities presented for registration of transfer, exchange, redemption, conversion or payment shall be duly endorsed by, or be accompanied by a written instrument or instruments of transfer in form satisfactory to the Issuer and the Trustee duly executed by, the holder or his attorney duly authorized in writing.</w:t>
      </w:r>
    </w:p>
    <w:p>
      <w:pPr>
        <w:spacing w:after="0" w:line="174"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The Issuer may require payment of a sum sufficient to cover any tax or other governmental charge that may be imposed in connection with any exchange or registration of transfer of Securities. No service charge shall be made for any such transaction.</w:t>
      </w:r>
    </w:p>
    <w:p>
      <w:pPr>
        <w:spacing w:after="0" w:line="175"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Notwithstanding any other provision of this Section 2.08, unless and until it is exchanged in whole or in part for Securities in definitive registered form, a Registered Global Security representing all or a portion of the Securities of a series may not be transferred except as a whole by the Depositary for such series to a nominee of such Depositary or by a nominee of such Depositary to such Depositary or another nominee of such Depositary or by such Depositary or any such nominee to a successor Depositary for such series or a nominee of such successor Depositary.</w:t>
      </w:r>
    </w:p>
    <w:p>
      <w:pPr>
        <w:spacing w:after="0" w:line="177" w:lineRule="exact"/>
        <w:rPr>
          <w:sz w:val="20"/>
          <w:szCs w:val="20"/>
          <w:color w:val="auto"/>
        </w:rPr>
      </w:pPr>
    </w:p>
    <w:p>
      <w:pPr>
        <w:ind w:right="3399" w:firstLine="437"/>
        <w:spacing w:after="0" w:line="236" w:lineRule="auto"/>
        <w:rPr>
          <w:sz w:val="20"/>
          <w:szCs w:val="20"/>
          <w:color w:val="auto"/>
        </w:rPr>
      </w:pPr>
      <w:r>
        <w:rPr>
          <w:rFonts w:ascii="Courier New" w:cs="Courier New" w:eastAsia="Courier New" w:hAnsi="Courier New"/>
          <w:sz w:val="15"/>
          <w:szCs w:val="15"/>
          <w:color w:val="auto"/>
        </w:rPr>
        <w:t>If at any time the Depositary for any Registered Global Securities of any series notifies the Issuer that it is unwilling or unable to continue as Depositary for such Registered Global Securities or if at any time the Depositary for such Registered Global Securities shall no longer be eligible under applicable law, the Issuer shall appoint a successor Depositary eligible under applicable law with respect to such Registered Global Securities. If a successor Depositary eligible under applicable law for such Registered Global Securities is not appointed by the Issuer within 90 days after the Issuer receives such notice or becomes aware of</w:t>
      </w:r>
    </w:p>
    <w:p>
      <w:pPr>
        <w:spacing w:after="0" w:line="34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39"/>
          </w:cols>
          <w:pgMar w:left="220" w:top="792" w:right="1440" w:bottom="1440" w:gutter="0" w:footer="0" w:header="0"/>
        </w:sectPr>
      </w:pPr>
    </w:p>
    <w:bookmarkStart w:id="166" w:name="page167"/>
    <w:bookmarkEnd w:id="166"/>
    <w:p>
      <w:pPr>
        <w:ind w:right="3239"/>
        <w:spacing w:after="0" w:line="236" w:lineRule="auto"/>
        <w:rPr>
          <w:sz w:val="20"/>
          <w:szCs w:val="20"/>
          <w:color w:val="auto"/>
        </w:rPr>
      </w:pPr>
      <w:r>
        <w:rPr>
          <w:rFonts w:ascii="Courier New" w:cs="Courier New" w:eastAsia="Courier New" w:hAnsi="Courier New"/>
          <w:sz w:val="15"/>
          <w:szCs w:val="15"/>
          <w:color w:val="auto"/>
        </w:rPr>
        <w:t>such ineligibility, the Issuer will execute, and the Trustee, upon receipt of the Issuer's order for the authentication and delivery of definitive Registered Securities of such series and tenor, will authenticate and make available for delivery Registered Securities of such series and tenor, in any authorized denominations, in an aggregate principal amount equal to the principal amount of such Registered Global Securities, in exchange for such Registered Global Securities.</w:t>
      </w:r>
    </w:p>
    <w:p>
      <w:pPr>
        <w:spacing w:after="0" w:line="176"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The Issuer may at any time and in its sole discretion determine that any Registered Global Securities of any series shall no longer be maintained in global form. In such event, or in the event that there shall have occurred and be continuing an Event of Default with respect to a series of Securities, the Issuer will, upon the request of any Holder, execute, and the Trustee, upon receipt of the Issuer's order for the authentication and delivery of definitive Registered Securities of such series and tenor, will authenticate and make available for delivery, Registered Securities of such series and tenor in any authorized denominations, in an aggregate principal amount equal to the principal amount of such Registered Global Securities, in exchange for such Registered Global Securities.</w:t>
      </w:r>
    </w:p>
    <w:p>
      <w:pPr>
        <w:spacing w:after="0" w:line="180" w:lineRule="exact"/>
        <w:rPr>
          <w:sz w:val="20"/>
          <w:szCs w:val="20"/>
          <w:color w:val="auto"/>
        </w:rPr>
      </w:pPr>
    </w:p>
    <w:p>
      <w:pPr>
        <w:ind w:right="3579" w:firstLine="437"/>
        <w:spacing w:after="0" w:line="255" w:lineRule="auto"/>
        <w:rPr>
          <w:sz w:val="20"/>
          <w:szCs w:val="20"/>
          <w:color w:val="auto"/>
        </w:rPr>
      </w:pPr>
      <w:r>
        <w:rPr>
          <w:rFonts w:ascii="Courier New" w:cs="Courier New" w:eastAsia="Courier New" w:hAnsi="Courier New"/>
          <w:sz w:val="14"/>
          <w:szCs w:val="14"/>
          <w:color w:val="auto"/>
        </w:rPr>
        <w:t>Any time the Registered Securities of any series are not in the form of Registered Global Securities pursuant to the preceding two paragraphs, the Issuer agrees to supply the Trustee with a reasonable supply of certificated Registered Securities without the legend required by Section 2.04 and the Trustee agrees to hold such Registered Securities in safekeeping until authenticated and delivered pursuant to the terms of this Indenture.</w:t>
      </w:r>
    </w:p>
    <w:p>
      <w:pPr>
        <w:spacing w:after="0" w:line="166"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If established by the Issuer pursuant to Section 2.03 with respect to any Registered Global Security, the Depositary for such Registered Global Security may surrender such Registered Global Security in exchange in whole or in part for Registered Securities of the same series and tenor in definitive registered form on such terms as are acceptable to the Issuer and such Depositary. Thereupon, the Issuer shall execute, and the Trustee shall authenticate and make available for delivery, without service charge,</w:t>
      </w:r>
    </w:p>
    <w:p>
      <w:pPr>
        <w:spacing w:after="0" w:line="169" w:lineRule="exact"/>
        <w:rPr>
          <w:sz w:val="20"/>
          <w:szCs w:val="20"/>
          <w:color w:val="auto"/>
        </w:rPr>
      </w:pPr>
    </w:p>
    <w:p>
      <w:pPr>
        <w:ind w:left="1240" w:hanging="356"/>
        <w:spacing w:after="0"/>
        <w:tabs>
          <w:tab w:leader="none" w:pos="1240" w:val="left"/>
        </w:tabs>
        <w:numPr>
          <w:ilvl w:val="0"/>
          <w:numId w:val="1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the Person specified by such Depositary new Registered</w:t>
      </w:r>
    </w:p>
    <w:p>
      <w:pPr>
        <w:spacing w:after="0" w:line="4" w:lineRule="exact"/>
        <w:rPr>
          <w:rFonts w:ascii="Courier New" w:cs="Courier New" w:eastAsia="Courier New" w:hAnsi="Courier New"/>
          <w:sz w:val="15"/>
          <w:szCs w:val="15"/>
          <w:color w:val="auto"/>
        </w:rPr>
      </w:pPr>
    </w:p>
    <w:p>
      <w:pPr>
        <w:ind w:left="440" w:right="3239"/>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Securities of the same series and tenor, of any authorized denominations as requested by such Person, in an aggregate principal amount equal to and in exchange for such Person's beneficial interest in the Registered Global Security; and</w:t>
      </w:r>
    </w:p>
    <w:p>
      <w:pPr>
        <w:spacing w:after="0" w:line="175" w:lineRule="exact"/>
        <w:rPr>
          <w:rFonts w:ascii="Courier New" w:cs="Courier New" w:eastAsia="Courier New" w:hAnsi="Courier New"/>
          <w:sz w:val="15"/>
          <w:szCs w:val="15"/>
          <w:color w:val="auto"/>
        </w:rPr>
      </w:pPr>
    </w:p>
    <w:p>
      <w:pPr>
        <w:ind w:left="440" w:right="3319" w:firstLine="444"/>
        <w:spacing w:after="0" w:line="258" w:lineRule="auto"/>
        <w:tabs>
          <w:tab w:leader="none" w:pos="1315" w:val="left"/>
        </w:tabs>
        <w:numPr>
          <w:ilvl w:val="0"/>
          <w:numId w:val="1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such Depositary a new Registered Global Security in a denomination equal to the difference, if any, between the principal amount of the surrendered Registered Global Security and the aggregate principal</w:t>
      </w:r>
    </w:p>
    <w:p>
      <w:pPr>
        <w:spacing w:after="0" w:line="32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39"/>
          </w:cols>
          <w:pgMar w:left="220" w:top="792" w:right="1440" w:bottom="1440" w:gutter="0" w:footer="0" w:header="0"/>
        </w:sectPr>
      </w:pPr>
    </w:p>
    <w:bookmarkStart w:id="167" w:name="page168"/>
    <w:bookmarkEnd w:id="167"/>
    <w:p>
      <w:pPr>
        <w:ind w:left="440" w:right="3579"/>
        <w:spacing w:after="0" w:line="234" w:lineRule="auto"/>
        <w:rPr>
          <w:sz w:val="20"/>
          <w:szCs w:val="20"/>
          <w:color w:val="auto"/>
        </w:rPr>
      </w:pPr>
      <w:r>
        <w:rPr>
          <w:rFonts w:ascii="Courier New" w:cs="Courier New" w:eastAsia="Courier New" w:hAnsi="Courier New"/>
          <w:sz w:val="15"/>
          <w:szCs w:val="15"/>
          <w:color w:val="auto"/>
        </w:rPr>
        <w:t>amount of Registered Securities authenticated and delivered pursuant to clause (i) above.</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Registered Securities issued in exchange for a Registered Global Security pursuant to this Section 2.08 shall be registered in such names and in such authorized denominations as the Depositary for such Registered Global Security, pursuant to instructions from its direct or indirect participants or otherwise, shall instruct the Trustee or an agent of the Issuer or the Trustee. The Trustee or such agent shall deliver such Securities to or as directed by the Persons in whose names such Securities are so registered.</w:t>
      </w:r>
    </w:p>
    <w:p>
      <w:pPr>
        <w:spacing w:after="0" w:line="176"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All Securities issued upon any transfer or exchange of Securities shall be valid obligations of the Issuer, evidencing the same debt, and entitled to the same benefits under this Indenture, as the Securities surrendered upon such transfer or exchange.</w:t>
      </w:r>
    </w:p>
    <w:p>
      <w:pPr>
        <w:spacing w:after="0" w:line="175"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Notwithstanding anything herein or in the forms or terms of any Securities to the contrary, none of the Issuer, the Trustee or any agent of the Issuer or the Trustee shall be required to exchange any Unregistered Security for a Registered Security if such exchange would result in adverse Federal income tax consequences to the Issuer (such as, for example, the inability of the Issuer to deduct from its income, as computed for Federal income tax purposes, the interest payable on the Unregistered Securities) under then applicable United States Federal income tax laws. The Trustee and any such agent shall be entitled to rely on an Officers' Certificate or an Opinion of Counsel in determining such result.</w:t>
      </w:r>
    </w:p>
    <w:p>
      <w:pPr>
        <w:spacing w:after="0" w:line="179"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Neither the Registrar nor the Issuer shall be required (i) to issue, authenticate, register the transfer of or exchange Securities of any series for a period of 15 days before the mailing of a notice of redemption of such Securities to be redeemed or (ii) to register the transfer of or exchange any Security selected for redemption in whole or in part.</w:t>
      </w:r>
    </w:p>
    <w:p>
      <w:pPr>
        <w:spacing w:after="0" w:line="174"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Section 2.09. Mutilated, Defaced, Destroyed, Lost and Stolen Securities. In case any temporary or definitive Security shall become mutilated or defaced and shall be surrendered to the Trustee, the Issuer shall execute, and the Trustee shall authenticate and deliver, a new Security of the same series, bearing a number not contemporaneously outstanding, in exchange and substitution for the mutilated or defaced Security. If the Holder of any Security claims that the Security has been lost, destroyed or wrongfully taken, the Issuer shall execute, and the Trustee shall authenticate and deliver, a new Security of the same series, bearing a number not contemporaneously outstanding, in exchange and substitution for the lost, destroyed or wrongfully taken Security, if the applicant so requests before the Issuer has notice that the Security has been acquired by a protected purchaser, and the applicant furnishes to the Issuer and to the Trustee and any agent of the Issuer or the Trustee such security or indemnity as may be</w:t>
      </w:r>
    </w:p>
    <w:p>
      <w:pPr>
        <w:spacing w:after="0" w:line="33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239"/>
          </w:cols>
          <w:pgMar w:left="220" w:top="792" w:right="1440" w:bottom="1440" w:gutter="0" w:footer="0" w:header="0"/>
        </w:sectPr>
      </w:pPr>
    </w:p>
    <w:bookmarkStart w:id="168" w:name="page169"/>
    <w:bookmarkEnd w:id="168"/>
    <w:p>
      <w:pPr>
        <w:ind w:right="3399"/>
        <w:spacing w:after="0" w:line="261" w:lineRule="auto"/>
        <w:rPr>
          <w:sz w:val="20"/>
          <w:szCs w:val="20"/>
          <w:color w:val="auto"/>
        </w:rPr>
      </w:pPr>
      <w:r>
        <w:rPr>
          <w:rFonts w:ascii="Courier New" w:cs="Courier New" w:eastAsia="Courier New" w:hAnsi="Courier New"/>
          <w:sz w:val="14"/>
          <w:szCs w:val="14"/>
          <w:color w:val="auto"/>
        </w:rPr>
        <w:t>required by them to indemnify and defend and to save each of them harmless and the applicant satisfies other reasonable requirements imposed by the Issuer.</w:t>
      </w:r>
    </w:p>
    <w:p>
      <w:pPr>
        <w:spacing w:after="0" w:line="160"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Upon the issuance of any substitute Security, the Issuer may require the payment of a sum sufficient to cover any tax or other governmental charge that may be imposed in relation thereto and any other expenses (including the fees and expenses of the Trustee and its counsel) connected therewith. In case any Security which has matured or is about to mature or has been called for redemption in full shall become mutilated or defaced or be destroyed, lost or stolen, the Issuer may instead of issuing a substitute Security, pay or authorize the payment of the same (without surrender thereof except in the case of a mutilated or defaced Security), if the applicant for such payment shall furnish to the Issuer and to the Trustee and any agent of the Issuer or the Trustee such security or indemnity as any of them may require to save each of them harmless, and, in every case of destruction, loss or wrongful taking, the applicant shall also furnish to the Issuer and the Trustee and any agent of the Issuer or the Trustee evidence to their satisfaction of the destruction, loss or wrongful taking of such Security and of the ownership thereof.</w:t>
      </w:r>
    </w:p>
    <w:p>
      <w:pPr>
        <w:spacing w:after="0" w:line="16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Every substitute Security of any series issued pursuant to the provisions of this section by virtue of the fact that any such Security is destroyed, lost or stolen shall constitute an additional contractual obligation of the Issuer, whether or not the destroyed, lost or wrongfully taken Security shall be at any time enforceable by anyone and shall be entitled to all the benefits of (but shall be subject to all the limitations of rights set forth in) this Indenture equally and proportionately with any and all other Securities of such series duly authenticated and delivered hereunder. All Securities shall be held and owned upon the express condition that, to the extent permitted by law, the foregoing provisions are exclusive with respect to the replacement or payment of mutilated, defaced or destroyed, lost or wrongfully taken Securities and shall preclude any and all other rights or remedies.</w:t>
      </w:r>
    </w:p>
    <w:p>
      <w:pPr>
        <w:spacing w:after="0" w:line="164"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Section 2.10. Cancellation of Securities; Destruction Thereof. All Securities surrendered for payment, redemption, conversion, registration of transfer or exchange, or for credit against any payment in respect of a sinking or analogous fund, if surrendered to the Issuer or any agent of the Issuer or the Trustee, shall be delivered to the Trustee for cancellation or, if surrendered to the Trustee, shall be canceled by it; and no Securities shall be issued in lieu thereof except as expressly permitted by any of the provisions of this Indenture. The Trustee shall dispose of canceled Securities held by it in accordance with the record retention policies of the Trustee in effect from time to time and, if such canceled certificates are destroyed, shall deliver a certificate of destruction to the Issuer. If the Issuer shall acquire any of the Securities, such acquisition shall not operate as a redemption or satisfaction of the indebtedness represented by such Securities unless and until the same are delivered to the Trustee for cancellation.</w:t>
      </w:r>
    </w:p>
    <w:p>
      <w:pPr>
        <w:spacing w:after="0" w:line="200" w:lineRule="exact"/>
        <w:rPr>
          <w:sz w:val="20"/>
          <w:szCs w:val="20"/>
          <w:color w:val="auto"/>
        </w:rPr>
      </w:pPr>
    </w:p>
    <w:p>
      <w:pPr>
        <w:spacing w:after="0" w:line="294"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0239"/>
          </w:cols>
          <w:pgMar w:left="220" w:top="792" w:right="1440" w:bottom="1440" w:gutter="0" w:footer="0" w:header="0"/>
        </w:sectPr>
      </w:pPr>
    </w:p>
    <w:bookmarkStart w:id="169" w:name="page170"/>
    <w:bookmarkEnd w:id="169"/>
    <w:p>
      <w:pPr>
        <w:ind w:right="3239" w:firstLine="437"/>
        <w:spacing w:after="0" w:line="254" w:lineRule="auto"/>
        <w:rPr>
          <w:sz w:val="20"/>
          <w:szCs w:val="20"/>
          <w:color w:val="auto"/>
        </w:rPr>
      </w:pPr>
      <w:r>
        <w:rPr>
          <w:rFonts w:ascii="Courier New" w:cs="Courier New" w:eastAsia="Courier New" w:hAnsi="Courier New"/>
          <w:sz w:val="14"/>
          <w:szCs w:val="14"/>
          <w:color w:val="auto"/>
        </w:rPr>
        <w:t>Section 2.11. Temporary Securities. Pending the preparation of definitive Securities for any series, the Issuer may execute and the Trustee shall authenticate and deliver temporary Securities for such series (printed, lithographed, typewritten or otherwise reproduced, in each case in form satisfactory to the Trustee). Temporary Securities of any series shall be issuable as registered Securities without coupons, of any authorized denomination, and substantially in the form of the definitive Securities of such series but with such omissions, insertions and variations as may be appropriate for temporary Securities, all as may be determined by the Issuer with the concurrence of the Trustee. Temporary Securities may contain such reference to any provisions of this Indenture as may be appropriate. Every temporary Security shall be executed by the Issuer and be authenticated by the Trustee upon the same conditions and in substantially the same manner, and with like effect, as the definitive Securities. Without unreasonable delay the Issuer shall execute and shall furnish definitive Securities of such series and thereupon temporary Securities of such series may be surrendered in exchange therefor without charge at each office or agency to be maintained by the Issuer for that purpose pursuant to Section 3.02, and the Trustee shall authenticate and deliver in exchange for such temporary Securities of such series a like aggregate principal amount of definitive Securities of the same series of authorized denominations. Until so exchanged, the temporary Securities of any series shall be entitled to the same benefits under this Indenture as definitive Securities of such series.</w:t>
      </w:r>
    </w:p>
    <w:p>
      <w:pPr>
        <w:spacing w:after="0" w:line="176"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Section 2.12. Computation of Interest. Except as otherwise specified in the Securities of a series, interest shall be computed on the basis of a 360-day year of twelve 30-day months.</w:t>
      </w:r>
    </w:p>
    <w:p>
      <w:pPr>
        <w:spacing w:after="0" w:line="174"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Section 2.13. Cusip Numbers. The Issuer in issuing the Securities may use "CUSIP" numbers (if then generally in use), and, if so, the Trustee shall use "CUSIP" numbers in notices of redemption as a convenience to Holders; provided that any such notice may state that no representation is made as to the correctness of such numbers either as printed on the Securities or as contained in any notice of a redemption and that reliance may be placed only on the other identification numbers printed on the Securities, and any such redemption shall not be affected by any defect in or omission of such numbers. The Issuer will notify the Trustee of any change in the "CUSIP" numbers.</w:t>
      </w:r>
    </w:p>
    <w:p>
      <w:pPr>
        <w:spacing w:after="0" w:line="327"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Article 3</w:t>
      </w:r>
    </w:p>
    <w:p>
      <w:pPr>
        <w:jc w:val="center"/>
        <w:ind w:right="3139"/>
        <w:spacing w:after="0" w:line="237" w:lineRule="auto"/>
        <w:rPr>
          <w:sz w:val="20"/>
          <w:szCs w:val="20"/>
          <w:color w:val="auto"/>
        </w:rPr>
      </w:pPr>
      <w:r>
        <w:rPr>
          <w:rFonts w:ascii="Courier New" w:cs="Courier New" w:eastAsia="Courier New" w:hAnsi="Courier New"/>
          <w:sz w:val="15"/>
          <w:szCs w:val="15"/>
          <w:color w:val="auto"/>
        </w:rPr>
        <w:t>COVENANTS OF THE ISSUER, THE CABLE GUARANTORS AND THE TRUSTEE</w:t>
      </w:r>
    </w:p>
    <w:p>
      <w:pPr>
        <w:spacing w:after="0" w:line="173" w:lineRule="exact"/>
        <w:rPr>
          <w:sz w:val="20"/>
          <w:szCs w:val="20"/>
          <w:color w:val="auto"/>
        </w:rPr>
      </w:pPr>
    </w:p>
    <w:p>
      <w:pPr>
        <w:ind w:right="3399" w:firstLine="437"/>
        <w:spacing w:after="0" w:line="236" w:lineRule="auto"/>
        <w:rPr>
          <w:sz w:val="20"/>
          <w:szCs w:val="20"/>
          <w:color w:val="auto"/>
        </w:rPr>
      </w:pPr>
      <w:r>
        <w:rPr>
          <w:rFonts w:ascii="Courier New" w:cs="Courier New" w:eastAsia="Courier New" w:hAnsi="Courier New"/>
          <w:sz w:val="15"/>
          <w:szCs w:val="15"/>
          <w:color w:val="auto"/>
        </w:rPr>
        <w:t>Section 3.01. Payment of Principal and Interest. The Issuer covenants and agrees for the benefit of each series of Securities that it will duly and punctually pay or cause to be paid the principal of, and interest on, each of the Securities of such series at the place or places, at the respective times and in the</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10239"/>
          </w:cols>
          <w:pgMar w:left="220" w:top="792" w:right="1440" w:bottom="1440" w:gutter="0" w:footer="0" w:header="0"/>
        </w:sectPr>
      </w:pPr>
    </w:p>
    <w:bookmarkStart w:id="170" w:name="page171"/>
    <w:bookmarkEnd w:id="170"/>
    <w:p>
      <w:pPr>
        <w:ind w:right="3239"/>
        <w:spacing w:after="0" w:line="235" w:lineRule="auto"/>
        <w:rPr>
          <w:sz w:val="20"/>
          <w:szCs w:val="20"/>
          <w:color w:val="auto"/>
        </w:rPr>
      </w:pPr>
      <w:r>
        <w:rPr>
          <w:rFonts w:ascii="Courier New" w:cs="Courier New" w:eastAsia="Courier New" w:hAnsi="Courier New"/>
          <w:sz w:val="15"/>
          <w:szCs w:val="15"/>
          <w:color w:val="auto"/>
        </w:rPr>
        <w:t>manner provided in such Securities. Each installment of interest on the Securities of any series may be paid by mailing checks for such interest payable to or upon the written order of the holders of Securities entitled thereto as they shall appear on the registry books of the Issuer.</w:t>
      </w:r>
    </w:p>
    <w:p>
      <w:pPr>
        <w:spacing w:after="0" w:line="175"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Notwithstanding any provisions of this Indenture and the Securities of any series to the contrary, if the Issuer and a Holder of any Registered Security so agree or if expressly provided pursuant to Section 2.03, payments of interest on, and any portion of the Principal of, such Holder's Registered Security (other than interest payable at maturity or on any redemption or repayment date or the final payment of Principal on such Security) shall be made by the paying agent, upon receipt from the Issuer of immediately available funds by 11:00 a.m., New York City time (or such other time as may be agreed to between the Issuer and the paying agent) or the Issuer, directly to the Holder of such Security (by wire transfer of Federal funds or immediately available funds or otherwise) if the Holder has delivered written instructions to the Trustee 15 days prior to such payment date requesting that such payment will be so made and designating the bank account to which such payments shall be so made and, in the case of payments of Principal, surrenders the same to the Trustee in exchange for a Security or Securities aggregating the same principal amount as the unredeemed principal amount of the Securities surrendered. The Trustee shall be entitled to rely on the last instruction delivered by the Holder pursuant to this Section 3.01 unless a new instruction is delivered 15 days prior to a payment date. The Issuer will indemnify and hold each of the Trustee and any paying agent harmless against any loss, liability or expense (including attorneys' fees and expenses) resulting from any act or omission to act on the part of the Issuer or any such Holder in connection with any such agreement or from making any payment in accordance with any such agreement.</w:t>
      </w:r>
    </w:p>
    <w:p>
      <w:pPr>
        <w:spacing w:after="0" w:line="176"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Section 3.02. Offices for Payments, etc. So long as any of the Securities remain outstanding, the Issuer will maintain in the Borough of Manhattan, The City of New York an office or agency (a) where the Securities may be presented for payment, (b) where the Securities may be presented for registration of transfer and for exchange as in this Indenture provided, (c) where notices and demands to or upon the Issuer in respect of the Securities or of this Indenture may be served and (d) for Securities of each series that is convertible, where such Securities may be presented for conversion. The Issuer will give to the Trustee written notice of the location of any such office or agency and of any change of location thereof. Unless otherwise specified in accordance with Section 2.03, the Issuer hereby initially designates the Corporate Trust Office of Trustee as the office to be maintained by it for each such purpose. In case the Issuer shall fail to so designate or maintain any such office or agency or shall fail to give such notice of the location or of any change in the location thereof, presentations and demands may be made and notices may be served at the Corporate Trust Office.</w:t>
      </w:r>
    </w:p>
    <w:p>
      <w:pPr>
        <w:spacing w:after="0" w:line="200" w:lineRule="exact"/>
        <w:rPr>
          <w:sz w:val="20"/>
          <w:szCs w:val="20"/>
          <w:color w:val="auto"/>
        </w:rPr>
      </w:pPr>
    </w:p>
    <w:p>
      <w:pPr>
        <w:spacing w:after="0" w:line="29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23</w:t>
      </w:r>
    </w:p>
    <w:p>
      <w:pPr>
        <w:sectPr>
          <w:pgSz w:w="11900" w:h="16838" w:orient="portrait"/>
          <w:cols w:equalWidth="0" w:num="1">
            <w:col w:w="10239"/>
          </w:cols>
          <w:pgMar w:left="220" w:top="792" w:right="1440" w:bottom="1440" w:gutter="0" w:footer="0" w:header="0"/>
        </w:sectPr>
      </w:pPr>
    </w:p>
    <w:bookmarkStart w:id="171" w:name="page172"/>
    <w:bookmarkEnd w:id="171"/>
    <w:p>
      <w:pPr>
        <w:ind w:right="3239" w:firstLine="437"/>
        <w:spacing w:after="0" w:line="236" w:lineRule="auto"/>
        <w:rPr>
          <w:sz w:val="20"/>
          <w:szCs w:val="20"/>
          <w:color w:val="auto"/>
        </w:rPr>
      </w:pPr>
      <w:r>
        <w:rPr>
          <w:rFonts w:ascii="Courier New" w:cs="Courier New" w:eastAsia="Courier New" w:hAnsi="Courier New"/>
          <w:sz w:val="15"/>
          <w:szCs w:val="15"/>
          <w:color w:val="auto"/>
        </w:rPr>
        <w:t>Section 3.03. Paying Agents. Whenever the Issuer shall appoint a paying agent other than the Trustee with respect to the Securities of any series, it will cause such paying agent to execute and deliver to the Trustee an instrument in which such agent shall agree with the Trustee, subject to the provisions of this Section,</w:t>
      </w:r>
    </w:p>
    <w:p>
      <w:pPr>
        <w:spacing w:after="0" w:line="174" w:lineRule="exact"/>
        <w:rPr>
          <w:sz w:val="20"/>
          <w:szCs w:val="20"/>
          <w:color w:val="auto"/>
        </w:rPr>
      </w:pPr>
    </w:p>
    <w:p>
      <w:pPr>
        <w:ind w:left="440" w:right="3399" w:firstLine="444"/>
        <w:spacing w:after="0" w:line="256" w:lineRule="auto"/>
        <w:tabs>
          <w:tab w:leader="none" w:pos="1227" w:val="left"/>
        </w:tabs>
        <w:numPr>
          <w:ilvl w:val="0"/>
          <w:numId w:val="1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that it will hold all sums received by it as such agent for the payment of the principal of or interest on the Securities of such series (whether such sums have been paid to it by the Issuer or by any other obligor on the Securities of such series) in trust for the benefit of the holders of the Securities of such series or of the Trustee,</w:t>
      </w:r>
    </w:p>
    <w:p>
      <w:pPr>
        <w:spacing w:after="0" w:line="163" w:lineRule="exact"/>
        <w:rPr>
          <w:rFonts w:ascii="Courier New" w:cs="Courier New" w:eastAsia="Courier New" w:hAnsi="Courier New"/>
          <w:sz w:val="14"/>
          <w:szCs w:val="14"/>
          <w:color w:val="auto"/>
        </w:rPr>
      </w:pPr>
    </w:p>
    <w:p>
      <w:pPr>
        <w:ind w:left="440" w:right="3319" w:firstLine="444"/>
        <w:spacing w:after="0" w:line="235" w:lineRule="auto"/>
        <w:tabs>
          <w:tab w:leader="none" w:pos="1227" w:val="left"/>
        </w:tabs>
        <w:numPr>
          <w:ilvl w:val="0"/>
          <w:numId w:val="1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that it will give the Trustee notice of any failure by the Issuer (or by any other obligor on the Securities of such series) to make any payment of the principal of or interest on the Securities of such series when the same shall be due and payable, and</w:t>
      </w:r>
    </w:p>
    <w:p>
      <w:pPr>
        <w:spacing w:after="0" w:line="175" w:lineRule="exact"/>
        <w:rPr>
          <w:rFonts w:ascii="Courier New" w:cs="Courier New" w:eastAsia="Courier New" w:hAnsi="Courier New"/>
          <w:sz w:val="15"/>
          <w:szCs w:val="15"/>
          <w:color w:val="auto"/>
        </w:rPr>
      </w:pPr>
    </w:p>
    <w:p>
      <w:pPr>
        <w:ind w:left="440" w:right="3759" w:firstLine="444"/>
        <w:spacing w:after="0" w:line="235" w:lineRule="auto"/>
        <w:tabs>
          <w:tab w:leader="none" w:pos="1227" w:val="left"/>
        </w:tabs>
        <w:numPr>
          <w:ilvl w:val="0"/>
          <w:numId w:val="1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that it will pay any such sums so held in trust by it to the Trustee upon the Trustee's written request at any time during the continuance of the failure referred to in clause 3.03(b) above.</w:t>
      </w:r>
    </w:p>
    <w:p>
      <w:pPr>
        <w:spacing w:after="0" w:line="174"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The Issuer will, on or prior to each due date of the principal of or interest on the Securities of such series, deposit with the paying agent a sum sufficient to pay such principal or interest so becoming due, and (unless such paying agent is the Trustee) the Issuer will promptly notify the Trustee of any failure to take such action.</w:t>
      </w:r>
    </w:p>
    <w:p>
      <w:pPr>
        <w:spacing w:after="0" w:line="174" w:lineRule="exact"/>
        <w:rPr>
          <w:sz w:val="20"/>
          <w:szCs w:val="20"/>
          <w:color w:val="auto"/>
        </w:rPr>
      </w:pPr>
    </w:p>
    <w:p>
      <w:pPr>
        <w:ind w:right="3399" w:firstLine="437"/>
        <w:spacing w:after="0" w:line="255" w:lineRule="auto"/>
        <w:rPr>
          <w:sz w:val="20"/>
          <w:szCs w:val="20"/>
          <w:color w:val="auto"/>
        </w:rPr>
      </w:pPr>
      <w:r>
        <w:rPr>
          <w:rFonts w:ascii="Courier New" w:cs="Courier New" w:eastAsia="Courier New" w:hAnsi="Courier New"/>
          <w:sz w:val="14"/>
          <w:szCs w:val="14"/>
          <w:color w:val="auto"/>
        </w:rPr>
        <w:t>If the Issuer shall act as its own paying agent with respect to the Securities of any Series, it will, on or before each due date of the principal of or interest on the Securities of such series, set aside, segregate and hold in trust for the benefit of the holders of the Securities of such series a sum sufficient to pay such principal or interest so becoming due. The Issuer will promptly notify the Trustee of any failure to take such action.</w:t>
      </w:r>
    </w:p>
    <w:p>
      <w:pPr>
        <w:spacing w:after="0" w:line="166"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Whenever the Issuer shall have one or more paying agents for any series of Securities, it will, on or before each due date of the principal of or interest on any Securities of such series, deposit with the paying agent or agents for the Securities of such series a sum, by 10:00 a.m. New York City time in immediately available funds on the payment date, sufficient to pay the principal or interest so becoming due with respect to the Securities of such series, and (unless such paying agent is the Trustee) the Issuer will promptly notify the Trustee in writing of any failure so to act.</w:t>
      </w:r>
    </w:p>
    <w:p>
      <w:pPr>
        <w:spacing w:after="0" w:line="177" w:lineRule="exact"/>
        <w:rPr>
          <w:sz w:val="20"/>
          <w:szCs w:val="20"/>
          <w:color w:val="auto"/>
        </w:rPr>
      </w:pPr>
    </w:p>
    <w:p>
      <w:pPr>
        <w:jc w:val="both"/>
        <w:ind w:right="3239" w:firstLine="437"/>
        <w:spacing w:after="0" w:line="235" w:lineRule="auto"/>
        <w:rPr>
          <w:sz w:val="20"/>
          <w:szCs w:val="20"/>
          <w:color w:val="auto"/>
        </w:rPr>
      </w:pPr>
      <w:r>
        <w:rPr>
          <w:rFonts w:ascii="Courier New" w:cs="Courier New" w:eastAsia="Courier New" w:hAnsi="Courier New"/>
          <w:sz w:val="15"/>
          <w:szCs w:val="15"/>
          <w:color w:val="auto"/>
        </w:rPr>
        <w:t>Anything in this section to the contrary notwithstanding, the Issuer may at any time, for the purpose of obtaining a satisfaction and discharge with respect to</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24</w:t>
      </w:r>
    </w:p>
    <w:p>
      <w:pPr>
        <w:sectPr>
          <w:pgSz w:w="11900" w:h="16838" w:orient="portrait"/>
          <w:cols w:equalWidth="0" w:num="1">
            <w:col w:w="10239"/>
          </w:cols>
          <w:pgMar w:left="220" w:top="792" w:right="1440" w:bottom="1440" w:gutter="0" w:footer="0" w:header="0"/>
        </w:sectPr>
      </w:pPr>
    </w:p>
    <w:bookmarkStart w:id="172" w:name="page173"/>
    <w:bookmarkEnd w:id="172"/>
    <w:p>
      <w:pPr>
        <w:jc w:val="both"/>
        <w:ind w:right="3239"/>
        <w:spacing w:after="0" w:line="256" w:lineRule="auto"/>
        <w:rPr>
          <w:sz w:val="20"/>
          <w:szCs w:val="20"/>
          <w:color w:val="auto"/>
        </w:rPr>
      </w:pPr>
      <w:r>
        <w:rPr>
          <w:rFonts w:ascii="Courier New" w:cs="Courier New" w:eastAsia="Courier New" w:hAnsi="Courier New"/>
          <w:sz w:val="14"/>
          <w:szCs w:val="14"/>
          <w:color w:val="auto"/>
        </w:rPr>
        <w:t>one or more or all series of Securities hereunder, or for any other reason, pay or cause to be paid to the Trustee all sums held in trust for any such series by the Issuer or any paying agent hereunder, as required by this Section, such sums to be held by the Trustee upon the trusts herein contained.</w:t>
      </w:r>
    </w:p>
    <w:p>
      <w:pPr>
        <w:spacing w:after="0" w:line="164" w:lineRule="exact"/>
        <w:rPr>
          <w:sz w:val="20"/>
          <w:szCs w:val="20"/>
          <w:color w:val="auto"/>
        </w:rPr>
      </w:pPr>
    </w:p>
    <w:p>
      <w:pPr>
        <w:jc w:val="both"/>
        <w:ind w:right="3319" w:firstLine="437"/>
        <w:spacing w:after="0" w:line="235" w:lineRule="auto"/>
        <w:rPr>
          <w:sz w:val="20"/>
          <w:szCs w:val="20"/>
          <w:color w:val="auto"/>
        </w:rPr>
      </w:pPr>
      <w:r>
        <w:rPr>
          <w:rFonts w:ascii="Courier New" w:cs="Courier New" w:eastAsia="Courier New" w:hAnsi="Courier New"/>
          <w:sz w:val="15"/>
          <w:szCs w:val="15"/>
          <w:color w:val="auto"/>
        </w:rPr>
        <w:t>Anything in this section to the contrary notwithstanding, the agreement to hold sums in trust as provided in this section is subject to the provisions of Section 9.05.</w:t>
      </w:r>
    </w:p>
    <w:p>
      <w:pPr>
        <w:spacing w:after="0" w:line="174"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Section 3.04. Certificate of the Issuer. Within 120 days after the close of the fiscal year ended December 31, 2002, and within 120 days after the close of each fiscal year thereafter, the Issuer will furnish to the Trustee a brief certificate (which need not comply with Section 10.05) from the principal executive, financial or accounting officer of the Issuer as to his or her knowledge of the Issuer's compliance with all conditions and covenants under the Indenture (such compliance to be determined without regard to any period of grace or requirement of notice provided under the Indenture).</w:t>
      </w:r>
    </w:p>
    <w:p>
      <w:pPr>
        <w:spacing w:after="0" w:line="177"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At the time such certificate is filed, the Issuer will also file with the Trustee a letter or statement of the independent accountants who shall have certified the financial statements of the Issuer for its preceding fiscal year to the effect that, in making the examination necessary for certification of such financial statements, they have obtained no knowledge of any default by the Issuer in the performance or fulfillment of any covenant, agreement or condition contained in this Indenture, which default remains uncured at the date of such letter or statement, or, if they shall have obtained knowledge of any such uncured default, specifying in such letter or statement such default or defaults and the nature and status thereof, it being understood that such accountants shall not be liable directly or indirectly for failure to obtain knowledge of any such default or defaults, and that nothing contained in this Section 3.04 shall be construed to require such accountants to make any investigation beyond the scope required in connection with such examination.</w:t>
      </w:r>
    </w:p>
    <w:p>
      <w:pPr>
        <w:spacing w:after="0" w:line="164"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Section 3.05. Securityholders Lists. If and so long as the Trustee shall not be the Security registrar for the Securities of any series, the Issuer will furnish or cause to be furnished to the Trustee a list in such form as the Trustee may reasonably require of the names and addresses of the holders of the Securities of such series pursuant to Section 312 of the Trust Indenture Act of 1939 (a) semi-annually not more than 10 days after each record date for the payment of interest on such Securities, as hereinabove specified, as of such record date and on dates to be determined pursuant to Section 2.03 for non-interest bearing Securities in each year, and (b) at such other times as the Trustee may request in writing, within thirty days after receipt by the Issuer of any such request as of a date not more than 10 days prior to the time such information is furnished.</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25</w:t>
      </w:r>
    </w:p>
    <w:p>
      <w:pPr>
        <w:sectPr>
          <w:pgSz w:w="11900" w:h="16838" w:orient="portrait"/>
          <w:cols w:equalWidth="0" w:num="1">
            <w:col w:w="10239"/>
          </w:cols>
          <w:pgMar w:left="220" w:top="792" w:right="1440" w:bottom="1440" w:gutter="0" w:footer="0" w:header="0"/>
        </w:sectPr>
      </w:pPr>
    </w:p>
    <w:bookmarkStart w:id="173" w:name="page174"/>
    <w:bookmarkEnd w:id="173"/>
    <w:p>
      <w:pPr>
        <w:ind w:left="440"/>
        <w:spacing w:after="0"/>
        <w:rPr>
          <w:sz w:val="20"/>
          <w:szCs w:val="20"/>
          <w:color w:val="auto"/>
        </w:rPr>
      </w:pPr>
      <w:r>
        <w:rPr>
          <w:rFonts w:ascii="Courier New" w:cs="Courier New" w:eastAsia="Courier New" w:hAnsi="Courier New"/>
          <w:sz w:val="15"/>
          <w:szCs w:val="15"/>
          <w:color w:val="auto"/>
        </w:rPr>
        <w:t>Section 3.06. Reports by the Issuer. The Issuer covenants to:</w:t>
      </w:r>
    </w:p>
    <w:p>
      <w:pPr>
        <w:spacing w:after="0" w:line="173" w:lineRule="exact"/>
        <w:rPr>
          <w:sz w:val="20"/>
          <w:szCs w:val="20"/>
          <w:color w:val="auto"/>
        </w:rPr>
      </w:pPr>
    </w:p>
    <w:p>
      <w:pPr>
        <w:ind w:right="3239" w:firstLine="447"/>
        <w:spacing w:after="0" w:line="237" w:lineRule="auto"/>
        <w:tabs>
          <w:tab w:leader="none" w:pos="787" w:val="left"/>
        </w:tabs>
        <w:numPr>
          <w:ilvl w:val="0"/>
          <w:numId w:val="1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file, whether or not required to do so by applicable law, with the Trustee, within 15 days after the Issuer is required to file the same with the Commission, copies of the annual reports and of the information, documents, and other reports which the Issuer may be required to file with the Commission pursuant to Section 13 or Section 15(d) of the Securities Exchange Act of 1934; or, if the Issuer is not required to file with the Commission, annual reports, information, documents and other reports pursuant to either Section 13 or Section 15(d) of the Securities Exchange Act of 1934, then the Issuer will file with the Trustee and will file with the Commission, in accordance with rules and regulations prescribed by the Commission, such of the supplementary and periodic information, documents and reports required pursuant to Section 13 of the Securities Exchange Act of 1934 in respect of a security listed and registered on a national securities exchange as may be prescribed in such rules and regulations;</w:t>
      </w:r>
    </w:p>
    <w:p>
      <w:pPr>
        <w:spacing w:after="0" w:line="173" w:lineRule="exact"/>
        <w:rPr>
          <w:rFonts w:ascii="Courier New" w:cs="Courier New" w:eastAsia="Courier New" w:hAnsi="Courier New"/>
          <w:sz w:val="15"/>
          <w:szCs w:val="15"/>
          <w:color w:val="auto"/>
        </w:rPr>
      </w:pPr>
    </w:p>
    <w:p>
      <w:pPr>
        <w:ind w:right="3319" w:firstLine="447"/>
        <w:spacing w:after="0" w:line="256" w:lineRule="auto"/>
        <w:tabs>
          <w:tab w:leader="none" w:pos="787" w:val="left"/>
        </w:tabs>
        <w:numPr>
          <w:ilvl w:val="0"/>
          <w:numId w:val="1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file with the Trustee and the Commission, in accordance with the rules and regulations prescribed from time to time by the Securities and Exchange Commission, such additional information, documents and reports with respect to compliance by the Issuer with the conditions and covenants provided for in this Indenture as may be required by such rules and regulations;</w:t>
      </w:r>
    </w:p>
    <w:p>
      <w:pPr>
        <w:spacing w:after="0" w:line="163" w:lineRule="exact"/>
        <w:rPr>
          <w:rFonts w:ascii="Courier New" w:cs="Courier New" w:eastAsia="Courier New" w:hAnsi="Courier New"/>
          <w:sz w:val="14"/>
          <w:szCs w:val="14"/>
          <w:color w:val="auto"/>
        </w:rPr>
      </w:pPr>
    </w:p>
    <w:p>
      <w:pPr>
        <w:ind w:right="3499" w:firstLine="447"/>
        <w:spacing w:after="0" w:line="236" w:lineRule="auto"/>
        <w:tabs>
          <w:tab w:leader="none" w:pos="787" w:val="left"/>
        </w:tabs>
        <w:numPr>
          <w:ilvl w:val="0"/>
          <w:numId w:val="1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transmit to the Securityholders, in the manner and to the extent provided in Section 10.04, such summaries of any information, documents and reports required to be filed with the Trustee pursuant to the provisions of subdivisions (a) and (b) of this Section 3.06 as may be required by the rules and regulations of the Commission.</w:t>
      </w:r>
    </w:p>
    <w:p>
      <w:pPr>
        <w:spacing w:after="0" w:line="174" w:lineRule="exact"/>
        <w:rPr>
          <w:sz w:val="20"/>
          <w:szCs w:val="20"/>
          <w:color w:val="auto"/>
        </w:rPr>
      </w:pPr>
    </w:p>
    <w:p>
      <w:pPr>
        <w:ind w:right="3399" w:firstLine="437"/>
        <w:spacing w:after="0" w:line="236" w:lineRule="auto"/>
        <w:rPr>
          <w:sz w:val="20"/>
          <w:szCs w:val="20"/>
          <w:color w:val="auto"/>
        </w:rPr>
      </w:pPr>
      <w:r>
        <w:rPr>
          <w:rFonts w:ascii="Courier New" w:cs="Courier New" w:eastAsia="Courier New" w:hAnsi="Courier New"/>
          <w:sz w:val="15"/>
          <w:szCs w:val="15"/>
          <w:color w:val="auto"/>
        </w:rPr>
        <w:t>Delivery of such reports, information and documents to the Trustee is for informational purposes only and the Trustee's receipt of such shall not constitute constructive notice of any information contained therein or determinable from information contained therein, including the Issuer's compliance with any of its covenants hereunder (as to which the Trustee is entitled to rely exclusively on Officers' Certificates).</w:t>
      </w:r>
    </w:p>
    <w:p>
      <w:pPr>
        <w:spacing w:after="0" w:line="175" w:lineRule="exact"/>
        <w:rPr>
          <w:sz w:val="20"/>
          <w:szCs w:val="20"/>
          <w:color w:val="auto"/>
        </w:rPr>
      </w:pPr>
    </w:p>
    <w:p>
      <w:pPr>
        <w:ind w:right="3319" w:firstLine="437"/>
        <w:spacing w:after="0" w:line="256" w:lineRule="auto"/>
        <w:rPr>
          <w:sz w:val="20"/>
          <w:szCs w:val="20"/>
          <w:color w:val="auto"/>
        </w:rPr>
      </w:pPr>
      <w:r>
        <w:rPr>
          <w:rFonts w:ascii="Courier New" w:cs="Courier New" w:eastAsia="Courier New" w:hAnsi="Courier New"/>
          <w:sz w:val="14"/>
          <w:szCs w:val="14"/>
          <w:color w:val="auto"/>
        </w:rPr>
        <w:t>Section 3.07. Corporate Existence. So long as any of the Securities remain unpaid, the Issuer will at all times (except as otherwise provided or permitted elsewhere in this Indenture) do or cause to be done all things necessary to preserve and keep in full force and effect its corporate existence.</w:t>
      </w:r>
    </w:p>
    <w:p>
      <w:pPr>
        <w:spacing w:after="0" w:line="164"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Section 3.08. Restrictions on Mergers, Sales and Consolidations. So long as any of the Securities remain unpaid, the Issuer will not consolidate or merge with or sell, convey or lease all or substantially all of its property to any other corporation except as permitted in Article 8 hereof.</w:t>
      </w:r>
    </w:p>
    <w:p>
      <w:pPr>
        <w:spacing w:after="0" w:line="33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26</w:t>
      </w:r>
    </w:p>
    <w:p>
      <w:pPr>
        <w:sectPr>
          <w:pgSz w:w="11900" w:h="16838" w:orient="portrait"/>
          <w:cols w:equalWidth="0" w:num="1">
            <w:col w:w="10239"/>
          </w:cols>
          <w:pgMar w:left="220" w:top="785" w:right="1440" w:bottom="1440" w:gutter="0" w:footer="0" w:header="0"/>
        </w:sectPr>
      </w:pPr>
    </w:p>
    <w:bookmarkStart w:id="174" w:name="page175"/>
    <w:bookmarkEnd w:id="174"/>
    <w:p>
      <w:pPr>
        <w:ind w:right="3319" w:firstLine="437"/>
        <w:spacing w:after="0" w:line="256" w:lineRule="auto"/>
        <w:rPr>
          <w:sz w:val="20"/>
          <w:szCs w:val="20"/>
          <w:color w:val="auto"/>
        </w:rPr>
      </w:pPr>
      <w:r>
        <w:rPr>
          <w:rFonts w:ascii="Courier New" w:cs="Courier New" w:eastAsia="Courier New" w:hAnsi="Courier New"/>
          <w:sz w:val="14"/>
          <w:szCs w:val="14"/>
          <w:color w:val="auto"/>
        </w:rPr>
        <w:t>Section 3.09. Further Assurances. From time to time whenever requested by the Trustee, the Issuer will execute and deliver such further instruments and assurances and do such further acts as may be reasonably necessary or proper to carry out more effectually the purposes of this Indenture or to secure the rights and remedies hereunder of the holders of the Securities of any series.</w:t>
      </w:r>
    </w:p>
    <w:p>
      <w:pPr>
        <w:spacing w:after="0" w:line="16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Section 3.10. Limitation on Liens. Neither the Issuer nor any Cable Guarantor shall create, incur or assume any Lien (other than any Permitted Lien) on such Person's assets, including the Capital Stock of its Wholly Owned Subsidiaries, to secure the payment of Indebtedness of the Issuer or any Cable Guarantor that are pari passu with or subordinated in right of payment to the Securities or the Cable Guarantees, unless the Issuer secures the Outstanding Securities equally and ratably with (or prior to) all Indebtedness secured by such Lien, so long as such Indebtedness shall be so secured.</w:t>
      </w:r>
    </w:p>
    <w:p>
      <w:pPr>
        <w:spacing w:after="0" w:line="166" w:lineRule="exact"/>
        <w:rPr>
          <w:sz w:val="20"/>
          <w:szCs w:val="20"/>
          <w:color w:val="auto"/>
        </w:rPr>
      </w:pPr>
    </w:p>
    <w:p>
      <w:pPr>
        <w:ind w:right="3399" w:firstLine="437"/>
        <w:spacing w:after="0" w:line="235" w:lineRule="auto"/>
        <w:rPr>
          <w:sz w:val="20"/>
          <w:szCs w:val="20"/>
          <w:color w:val="auto"/>
        </w:rPr>
      </w:pPr>
      <w:r>
        <w:rPr>
          <w:rFonts w:ascii="Courier New" w:cs="Courier New" w:eastAsia="Courier New" w:hAnsi="Courier New"/>
          <w:sz w:val="15"/>
          <w:szCs w:val="15"/>
          <w:color w:val="auto"/>
        </w:rPr>
        <w:t>Section 3.11. Limitation on Sale and Leaseback Transactions. Neither the Issuer nor any Cable Guarantor shall enter into any Sale and Leaseback Transaction involving any of such Person's assets, including the Capital Stock of its Wholly Owned Subsidiaries.</w:t>
      </w:r>
    </w:p>
    <w:p>
      <w:pPr>
        <w:spacing w:after="0" w:line="337"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Article 4</w:t>
      </w:r>
    </w:p>
    <w:p>
      <w:pPr>
        <w:jc w:val="center"/>
        <w:ind w:right="3139"/>
        <w:spacing w:after="0" w:line="237" w:lineRule="auto"/>
        <w:rPr>
          <w:sz w:val="20"/>
          <w:szCs w:val="20"/>
          <w:color w:val="auto"/>
        </w:rPr>
      </w:pPr>
      <w:r>
        <w:rPr>
          <w:rFonts w:ascii="Courier New" w:cs="Courier New" w:eastAsia="Courier New" w:hAnsi="Courier New"/>
          <w:sz w:val="15"/>
          <w:szCs w:val="15"/>
          <w:color w:val="auto"/>
        </w:rPr>
        <w:t>REMEDIES OF THE TRUSTEE AND SECURITYHOLDERS ON EVENT OF DEFAULT</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SECTION 4.01. Event of Default Defined; Acceleration of Maturity; Waiver of Default. "Event of Default" with respect to Securities of any series wherever used herein, means each one of the following events which shall have occurred and be continuing (whatever the reason for such Event of Default and whether it shall be voluntary or involuntary or be effected by operation of law or pursuant to any judgment, decree or order of any court or any order, rule or regulation of any administrative or governmental body):</w:t>
      </w:r>
    </w:p>
    <w:p>
      <w:pPr>
        <w:spacing w:after="0" w:line="176" w:lineRule="exact"/>
        <w:rPr>
          <w:sz w:val="20"/>
          <w:szCs w:val="20"/>
          <w:color w:val="auto"/>
        </w:rPr>
      </w:pPr>
    </w:p>
    <w:p>
      <w:pPr>
        <w:ind w:left="440" w:right="3319" w:firstLine="444"/>
        <w:spacing w:after="0" w:line="235" w:lineRule="auto"/>
        <w:tabs>
          <w:tab w:leader="none" w:pos="1227" w:val="left"/>
        </w:tabs>
        <w:numPr>
          <w:ilvl w:val="0"/>
          <w:numId w:val="1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default by any Obligor in the payment of any installment of interest upon any of the Securities of such series as and when the same shall become due and payable, and continuance of such default for a period of 30 days; or</w:t>
      </w:r>
    </w:p>
    <w:p>
      <w:pPr>
        <w:spacing w:after="0" w:line="175" w:lineRule="exact"/>
        <w:rPr>
          <w:rFonts w:ascii="Courier New" w:cs="Courier New" w:eastAsia="Courier New" w:hAnsi="Courier New"/>
          <w:sz w:val="15"/>
          <w:szCs w:val="15"/>
          <w:color w:val="auto"/>
        </w:rPr>
      </w:pPr>
    </w:p>
    <w:p>
      <w:pPr>
        <w:ind w:left="440" w:right="3579" w:firstLine="444"/>
        <w:spacing w:after="0" w:line="235" w:lineRule="auto"/>
        <w:tabs>
          <w:tab w:leader="none" w:pos="1227" w:val="left"/>
        </w:tabs>
        <w:numPr>
          <w:ilvl w:val="0"/>
          <w:numId w:val="1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default by an Obligor in the payment of all or any part of the principal on any of the Securities of such series as and when the same shall become due and payable either at maturity, upon redemption, by declaration or otherwise; or</w:t>
      </w:r>
    </w:p>
    <w:p>
      <w:pPr>
        <w:spacing w:after="0" w:line="175" w:lineRule="exact"/>
        <w:rPr>
          <w:rFonts w:ascii="Courier New" w:cs="Courier New" w:eastAsia="Courier New" w:hAnsi="Courier New"/>
          <w:sz w:val="15"/>
          <w:szCs w:val="15"/>
          <w:color w:val="auto"/>
        </w:rPr>
      </w:pPr>
    </w:p>
    <w:p>
      <w:pPr>
        <w:ind w:left="440" w:right="3239" w:firstLine="444"/>
        <w:spacing w:after="0" w:line="258" w:lineRule="auto"/>
        <w:tabs>
          <w:tab w:leader="none" w:pos="1227" w:val="left"/>
        </w:tabs>
        <w:numPr>
          <w:ilvl w:val="0"/>
          <w:numId w:val="1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default by an Obligor in the performance, or breach by any Obligor, of any of its covenants or agreements in respect of the Securities of such series (other than a covenant or agreement in respect of the</w:t>
      </w:r>
    </w:p>
    <w:p>
      <w:pPr>
        <w:spacing w:after="0" w:line="32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27</w:t>
      </w:r>
    </w:p>
    <w:p>
      <w:pPr>
        <w:sectPr>
          <w:pgSz w:w="11900" w:h="16838" w:orient="portrait"/>
          <w:cols w:equalWidth="0" w:num="1">
            <w:col w:w="10239"/>
          </w:cols>
          <w:pgMar w:left="220" w:top="792" w:right="1440" w:bottom="1440" w:gutter="0" w:footer="0" w:header="0"/>
        </w:sectPr>
      </w:pPr>
    </w:p>
    <w:bookmarkStart w:id="175" w:name="page176"/>
    <w:bookmarkEnd w:id="175"/>
    <w:p>
      <w:pPr>
        <w:ind w:left="440" w:right="3239"/>
        <w:spacing w:after="0" w:line="236" w:lineRule="auto"/>
        <w:rPr>
          <w:sz w:val="20"/>
          <w:szCs w:val="20"/>
          <w:color w:val="auto"/>
        </w:rPr>
      </w:pPr>
      <w:r>
        <w:rPr>
          <w:rFonts w:ascii="Courier New" w:cs="Courier New" w:eastAsia="Courier New" w:hAnsi="Courier New"/>
          <w:sz w:val="15"/>
          <w:szCs w:val="15"/>
          <w:color w:val="auto"/>
        </w:rPr>
        <w:t>Securities of such series a default in whose performance or whose breach is elsewhere in this section specifically dealt with), and continuance of such default or breach for a period of 30 consecutive days after there has been given, by registered or certified mail, to the Issuer by the Trustee or to the Issuer and the Trustee by the Holders of at least 25% in principal amount of the Outstanding Securities of all series affected thereby, a written notice specifying such default or breach and requiring it to be remedied and stating that such notice is a "Notice of Default" hereunder; or</w:t>
      </w:r>
    </w:p>
    <w:p>
      <w:pPr>
        <w:spacing w:after="0" w:line="178" w:lineRule="exact"/>
        <w:rPr>
          <w:sz w:val="20"/>
          <w:szCs w:val="20"/>
          <w:color w:val="auto"/>
        </w:rPr>
      </w:pPr>
    </w:p>
    <w:p>
      <w:pPr>
        <w:ind w:left="440" w:right="3239" w:firstLine="444"/>
        <w:spacing w:after="0" w:line="236" w:lineRule="auto"/>
        <w:tabs>
          <w:tab w:leader="none" w:pos="1227" w:val="left"/>
        </w:tabs>
        <w:numPr>
          <w:ilvl w:val="0"/>
          <w:numId w:val="1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court having jurisdiction in the premises shall enter a decree or order for relief in respect of any Obligor in an involuntary case under any applicable bankruptcy, insolvency or other similar law now or hereafter in effect, or appointing a receiver, liquidator, assignee, custodian, trustee or sequestrator (or similar official) of any Obligor or for any substantial part of such party's property and assets or ordering the winding up or liquidation of any Obligor's affairs, and such decree or order shall remain unstayed and in effect for a period of 180 consecutive days; or</w:t>
      </w:r>
    </w:p>
    <w:p>
      <w:pPr>
        <w:spacing w:after="0" w:line="178" w:lineRule="exact"/>
        <w:rPr>
          <w:rFonts w:ascii="Courier New" w:cs="Courier New" w:eastAsia="Courier New" w:hAnsi="Courier New"/>
          <w:sz w:val="15"/>
          <w:szCs w:val="15"/>
          <w:color w:val="auto"/>
        </w:rPr>
      </w:pPr>
    </w:p>
    <w:p>
      <w:pPr>
        <w:ind w:left="440" w:right="3239" w:firstLine="444"/>
        <w:spacing w:after="0" w:line="255" w:lineRule="auto"/>
        <w:tabs>
          <w:tab w:leader="none" w:pos="1227" w:val="left"/>
        </w:tabs>
        <w:numPr>
          <w:ilvl w:val="0"/>
          <w:numId w:val="1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Obligor shall commence a voluntary case under any applicable bankruptcy, insolvency or other similar law now or hereafter in effect, or consent to the entry of an order for relief in an involuntary case under any such law, or consent to the appointment of or taking possession by a receiver, liquidator, assignee, custodian, trustee or sequestrator (or similar official) of such party or for any substantial part of such party's property, or make any general assignment for the benefit of creditors; or</w:t>
      </w:r>
    </w:p>
    <w:p>
      <w:pPr>
        <w:spacing w:after="0" w:line="166" w:lineRule="exact"/>
        <w:rPr>
          <w:rFonts w:ascii="Courier New" w:cs="Courier New" w:eastAsia="Courier New" w:hAnsi="Courier New"/>
          <w:sz w:val="14"/>
          <w:szCs w:val="14"/>
          <w:color w:val="auto"/>
        </w:rPr>
      </w:pPr>
    </w:p>
    <w:p>
      <w:pPr>
        <w:ind w:left="440" w:right="4019" w:firstLine="444"/>
        <w:spacing w:after="0" w:line="234" w:lineRule="auto"/>
        <w:tabs>
          <w:tab w:leader="none" w:pos="1227" w:val="left"/>
        </w:tabs>
        <w:numPr>
          <w:ilvl w:val="0"/>
          <w:numId w:val="1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Cable Guarantee shall not be (or claimed by any Cable Guarantor not to be) in full force and effect; or</w:t>
      </w:r>
    </w:p>
    <w:p>
      <w:pPr>
        <w:spacing w:after="0" w:line="173" w:lineRule="exact"/>
        <w:rPr>
          <w:rFonts w:ascii="Courier New" w:cs="Courier New" w:eastAsia="Courier New" w:hAnsi="Courier New"/>
          <w:sz w:val="15"/>
          <w:szCs w:val="15"/>
          <w:color w:val="auto"/>
        </w:rPr>
      </w:pPr>
    </w:p>
    <w:p>
      <w:pPr>
        <w:ind w:left="440" w:right="3319" w:firstLine="444"/>
        <w:spacing w:after="0" w:line="258" w:lineRule="auto"/>
        <w:tabs>
          <w:tab w:leader="none" w:pos="1227" w:val="left"/>
        </w:tabs>
        <w:numPr>
          <w:ilvl w:val="0"/>
          <w:numId w:val="1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other Event of Default provided in the supplemental indenture or resolution of the Board of Directors under which such series of Securities is issued or in the form of Security for such series.</w:t>
      </w:r>
    </w:p>
    <w:p>
      <w:pPr>
        <w:spacing w:after="0" w:line="155"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If an Event of Default described in clauses 4.01(a), 4.01(b), 4.01(c),</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4.01(f), or 4.01(g) occurs and is continuing, then, and in each and every such</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case, unless the principal of all of the Securities of such series shall have</w:t>
      </w:r>
    </w:p>
    <w:p>
      <w:pPr>
        <w:spacing w:after="0" w:line="237" w:lineRule="auto"/>
        <w:rPr>
          <w:sz w:val="20"/>
          <w:szCs w:val="20"/>
          <w:color w:val="auto"/>
        </w:rPr>
      </w:pPr>
      <w:r>
        <w:rPr>
          <w:rFonts w:ascii="Courier New" w:cs="Courier New" w:eastAsia="Courier New" w:hAnsi="Courier New"/>
          <w:sz w:val="15"/>
          <w:szCs w:val="15"/>
          <w:color w:val="auto"/>
        </w:rPr>
        <w:t>already become due and payable, either the Trustee or the holders of not less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than 25% in aggregate principal amount of the Securities of any affected series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then Outstanding hereunder (each such series voting as a separate class) by</w:t>
      </w:r>
    </w:p>
    <w:p>
      <w:pPr>
        <w:spacing w:after="0" w:line="237" w:lineRule="auto"/>
        <w:rPr>
          <w:sz w:val="20"/>
          <w:szCs w:val="20"/>
          <w:color w:val="auto"/>
        </w:rPr>
      </w:pPr>
      <w:r>
        <w:rPr>
          <w:rFonts w:ascii="Courier New" w:cs="Courier New" w:eastAsia="Courier New" w:hAnsi="Courier New"/>
          <w:sz w:val="15"/>
          <w:szCs w:val="15"/>
          <w:color w:val="auto"/>
        </w:rPr>
        <w:t>notice in writing to the Issuer (and to the Trustee if given by</w:t>
      </w:r>
    </w:p>
    <w:p>
      <w:pPr>
        <w:spacing w:after="0" w:line="238" w:lineRule="auto"/>
        <w:rPr>
          <w:sz w:val="20"/>
          <w:szCs w:val="20"/>
          <w:color w:val="auto"/>
        </w:rPr>
      </w:pPr>
      <w:r>
        <w:rPr>
          <w:rFonts w:ascii="Courier New" w:cs="Courier New" w:eastAsia="Courier New" w:hAnsi="Courier New"/>
          <w:sz w:val="15"/>
          <w:szCs w:val="15"/>
          <w:color w:val="auto"/>
        </w:rPr>
        <w:t>Securityholders), may declare the entire principal (or, if the Securities of</w:t>
      </w:r>
    </w:p>
    <w:p>
      <w:pPr>
        <w:spacing w:after="0" w:line="237" w:lineRule="auto"/>
        <w:rPr>
          <w:sz w:val="20"/>
          <w:szCs w:val="20"/>
          <w:color w:val="auto"/>
        </w:rPr>
      </w:pPr>
      <w:r>
        <w:rPr>
          <w:rFonts w:ascii="Courier New" w:cs="Courier New" w:eastAsia="Courier New" w:hAnsi="Courier New"/>
          <w:sz w:val="15"/>
          <w:szCs w:val="15"/>
          <w:color w:val="auto"/>
        </w:rPr>
        <w:t>such series are Original Issue Discount Securities, such portion of the</w:t>
      </w:r>
    </w:p>
    <w:p>
      <w:pPr>
        <w:spacing w:after="0" w:line="238" w:lineRule="auto"/>
        <w:rPr>
          <w:sz w:val="20"/>
          <w:szCs w:val="20"/>
          <w:color w:val="auto"/>
        </w:rPr>
      </w:pPr>
      <w:r>
        <w:rPr>
          <w:rFonts w:ascii="Courier New" w:cs="Courier New" w:eastAsia="Courier New" w:hAnsi="Courier New"/>
          <w:sz w:val="15"/>
          <w:szCs w:val="15"/>
          <w:color w:val="auto"/>
        </w:rPr>
        <w:t>principal amount as may be specified in the terms of such series) of all</w:t>
      </w:r>
    </w:p>
    <w:p>
      <w:pPr>
        <w:spacing w:after="0" w:line="237" w:lineRule="auto"/>
        <w:rPr>
          <w:sz w:val="20"/>
          <w:szCs w:val="20"/>
          <w:color w:val="auto"/>
        </w:rPr>
      </w:pPr>
      <w:r>
        <w:rPr>
          <w:rFonts w:ascii="Courier New" w:cs="Courier New" w:eastAsia="Courier New" w:hAnsi="Courier New"/>
          <w:sz w:val="15"/>
          <w:szCs w:val="15"/>
          <w:color w:val="auto"/>
        </w:rPr>
        <w:t>Securities of such series and the interest accrued thereon, if any, to be due</w:t>
      </w:r>
    </w:p>
    <w:p>
      <w:pPr>
        <w:spacing w:after="0" w:line="238" w:lineRule="auto"/>
        <w:rPr>
          <w:sz w:val="20"/>
          <w:szCs w:val="20"/>
          <w:color w:val="auto"/>
        </w:rPr>
      </w:pPr>
      <w:r>
        <w:rPr>
          <w:rFonts w:ascii="Courier New" w:cs="Courier New" w:eastAsia="Courier New" w:hAnsi="Courier New"/>
          <w:sz w:val="15"/>
          <w:szCs w:val="15"/>
          <w:color w:val="auto"/>
        </w:rPr>
        <w:t>and payable immediately, and upon any such declaration the same</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28</w:t>
      </w:r>
    </w:p>
    <w:p>
      <w:pPr>
        <w:sectPr>
          <w:pgSz w:w="11900" w:h="16838" w:orient="portrait"/>
          <w:cols w:equalWidth="0" w:num="1">
            <w:col w:w="10239"/>
          </w:cols>
          <w:pgMar w:left="220" w:top="792" w:right="1440" w:bottom="1440" w:gutter="0" w:footer="0" w:header="0"/>
        </w:sectPr>
      </w:pPr>
    </w:p>
    <w:bookmarkStart w:id="176" w:name="page177"/>
    <w:bookmarkEnd w:id="176"/>
    <w:p>
      <w:pPr>
        <w:ind w:right="3319"/>
        <w:spacing w:after="0" w:line="236" w:lineRule="auto"/>
        <w:rPr>
          <w:sz w:val="20"/>
          <w:szCs w:val="20"/>
          <w:color w:val="auto"/>
        </w:rPr>
      </w:pPr>
      <w:r>
        <w:rPr>
          <w:rFonts w:ascii="Courier New" w:cs="Courier New" w:eastAsia="Courier New" w:hAnsi="Courier New"/>
          <w:sz w:val="15"/>
          <w:szCs w:val="15"/>
          <w:color w:val="auto"/>
        </w:rPr>
        <w:t>shall become immediately due and payable. If an Event of Default described in clauses 4.01(d) or 4.01(e) occurs and is continuing, then the principal amount of all the Securities then outstanding and interest accrued thereon, if any, shall be and become immediately due and payable, without any notice or other action by any Holder or the Trustee, to the full extent permitted by applicable law.</w:t>
      </w:r>
    </w:p>
    <w:p>
      <w:pPr>
        <w:spacing w:after="0" w:line="175"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The foregoing provisions, however, are subject to the condition that if, at any time after the principal (or, if the Securities are Original Issue Discount Securities, such portion of the principal as may be specified in the terms thereof) of the Securities of any series (or of all the Securities, as the case may be) shall have been so declared due and payable, and before any judgment or decree for the payment of the moneys due shall have been obtained or entered as hereinafter provided, the Issuer shall pay or shall deposit with the Trustee a sum sufficient to pay all matured installments of interest upon all the Securities of such series (or of all the Securities, as the case may be) and the principal of any and all Securities of such series (or of all the Securities, as the case may be) which shall have become due otherwise than by acceleration (with interest upon such principal and, to the extent that payment of such interest is enforceable under applicable law, on overdue installments of interest, at the same rate as the rate of interest or Yield to Maturity (in the case of Original Issue Discount Securities) specified in the Securities of such series (or at the respective rates of interest or Yields to Maturity of all the Securities, as the case may be) to the date of such payment or deposit) and such amount as shall be sufficient to cover reasonable compensation to the Trustee, its agents, attorneys and counsel, and all other expenses and liabilities incurred, and all advances made, by the Trustee except as a result of negligence or bad faith, and if any and all Events of Default under the Indenture, other than the non-payment of the principal of Securities which shall have become due by acceleration, shall have been cured, waived or otherwise remedied as provided herein--then and in every such case the holders of a majority in aggregate principal amount of all the then outstanding Securities of all such series that have been accelerated, each such series voting as a separate class, by written notice to the Issuer and to the Trustee, may waive all defaults with respect to such series (or with respect to all the Securities, as the case may be) and rescind and annul such declaration and its consequences, but no such waiver or rescission and annulment shall extend to or shall affect any subsequent default or shall impair any right consequent thereon.</w:t>
      </w:r>
    </w:p>
    <w:p>
      <w:pPr>
        <w:spacing w:after="0" w:line="347"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For all purposes under this Indenture, if a portion of the principal of any Original Issue Discount Securities shall have been accelerated and declared due and payable pursuant to the provisions hereof, then, from and after such declaration, unless such declaration has been rescinded and annulled, the principal amount of such Original Issue Discount Securities shall be deemed, for all purposes hereunder, to be such portion of the principal thereof as shall be due and payable as a result of such acceleration, and payment of such portion of the principal thereof as shall be due and payable as a result of such acceleration,</w:t>
      </w:r>
    </w:p>
    <w:p>
      <w:pPr>
        <w:spacing w:after="0" w:line="34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29</w:t>
      </w:r>
    </w:p>
    <w:p>
      <w:pPr>
        <w:sectPr>
          <w:pgSz w:w="11900" w:h="16838" w:orient="portrait"/>
          <w:cols w:equalWidth="0" w:num="1">
            <w:col w:w="10239"/>
          </w:cols>
          <w:pgMar w:left="220" w:top="792" w:right="1440" w:bottom="1440" w:gutter="0" w:footer="0" w:header="0"/>
        </w:sectPr>
      </w:pPr>
    </w:p>
    <w:bookmarkStart w:id="177" w:name="page178"/>
    <w:bookmarkEnd w:id="177"/>
    <w:p>
      <w:pPr>
        <w:ind w:right="3319"/>
        <w:spacing w:after="0" w:line="261" w:lineRule="auto"/>
        <w:rPr>
          <w:sz w:val="20"/>
          <w:szCs w:val="20"/>
          <w:color w:val="auto"/>
        </w:rPr>
      </w:pPr>
      <w:r>
        <w:rPr>
          <w:rFonts w:ascii="Courier New" w:cs="Courier New" w:eastAsia="Courier New" w:hAnsi="Courier New"/>
          <w:sz w:val="14"/>
          <w:szCs w:val="14"/>
          <w:color w:val="auto"/>
        </w:rPr>
        <w:t>together with interest, if any, thereon and all other amounts owing thereunder, shall constitute payment in full of such Original Issue Discount Securities.</w:t>
      </w:r>
    </w:p>
    <w:p>
      <w:pPr>
        <w:spacing w:after="0" w:line="160"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Section 4.02. Collection of Indebtedness by Trustee; Trustee May Prove Debt. The Issuer covenants that (a) in case default shall be made in the payment of any installment of interest on any of the Securities of any series when such interest shall have become due and payable, and such default shall have continued for a period of 30 days or (b) in case default shall be made in the payment of all or any part of the principal of any of the Securities of any series when the same shall have become due and payable, whether upon maturity of the Securities of such series or upon any redemption or by declaration or otherwise--then upon demand of the Trustee, the Issuer will pay to the Trustee for the benefit of the Holders of the Securities of such series the whole amount that then shall have become due and payable on all Securities of such series for principal or interest, as the case may be (with interest to the date of such payment upon the overdue principal and, to the extent that payment of such interest is enforceable under applicable law, on overdue installments of interest at the same rate as the rate of interest or Yield to Maturity (in the case of Original Issue Discount Securities) specified in the Securities of such series); and in addition thereto, such further amount as shall be sufficient to cover the costs and expenses of collection, including reasonable compensation to the Trustee and each predecessor Trustee, their respective agents and counsel, and any expenses and liabilities incurred, and all advances made, by the Trustee and each predecessor Trustee except as a result of its negligence or bad faith.</w:t>
      </w:r>
    </w:p>
    <w:p>
      <w:pPr>
        <w:spacing w:after="0" w:line="175"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Until such demand is made by the Trustee, the Issuer may pay the principal of and interest on the Securities of any series to the registered holders, whether or not the principal of and interest on the Securities of such series be overdue.</w:t>
      </w:r>
    </w:p>
    <w:p>
      <w:pPr>
        <w:spacing w:after="0" w:line="175"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In case the Issuer shall fail forthwith to pay such amounts upon such demand, the Trustee, in its own name and as trustee of an express trust, shall be entitled and empowered to institute any action or proceedings at law or in equity for the collection of the sums so due and unpaid, and may prosecute any such action or proceedings to judgment or final decree, and may enforce any such judgment or final decree against the Issuer or other obligor upon such Securities and collect in the manner provided by law out of the property of the Issuer or other obligor upon such Securities, wherever situated, the moneys adjudged or decreed to be payable.</w:t>
      </w:r>
    </w:p>
    <w:p>
      <w:pPr>
        <w:spacing w:after="0" w:line="178"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In case there shall be pending proceedings relative to the Issuer or any other obligor upon the Securities under Title 11 of the United States Code or any other applicable Federal or state bankruptcy, insolvency or other similar law, or in case a receiver, assignee or trustee in bankruptcy or reorganization, liquidator, sequestrator or similar official shall have been appointed for or taken possession</w:t>
      </w:r>
    </w:p>
    <w:p>
      <w:pPr>
        <w:spacing w:after="0" w:line="33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30</w:t>
      </w:r>
    </w:p>
    <w:p>
      <w:pPr>
        <w:sectPr>
          <w:pgSz w:w="11900" w:h="16838" w:orient="portrait"/>
          <w:cols w:equalWidth="0" w:num="1">
            <w:col w:w="10239"/>
          </w:cols>
          <w:pgMar w:left="220" w:top="792" w:right="1440" w:bottom="1440" w:gutter="0" w:footer="0" w:header="0"/>
        </w:sectPr>
      </w:pPr>
    </w:p>
    <w:bookmarkStart w:id="178" w:name="page179"/>
    <w:bookmarkEnd w:id="178"/>
    <w:p>
      <w:pPr>
        <w:ind w:right="3239"/>
        <w:spacing w:after="0" w:line="236" w:lineRule="auto"/>
        <w:rPr>
          <w:sz w:val="20"/>
          <w:szCs w:val="20"/>
          <w:color w:val="auto"/>
        </w:rPr>
      </w:pPr>
      <w:r>
        <w:rPr>
          <w:rFonts w:ascii="Courier New" w:cs="Courier New" w:eastAsia="Courier New" w:hAnsi="Courier New"/>
          <w:sz w:val="15"/>
          <w:szCs w:val="15"/>
          <w:color w:val="auto"/>
        </w:rPr>
        <w:t>of the Issuer or its property or such other obligor, or in case of any other comparable judicial proceedings relative to the Issuer or other obligor upon the Securities of any series, or to the creditors or property of the Issuer or such other obligor, the Trustee, irrespective of whether the principal of any Securities shall then be due and payable as therein expressed or by declaration or otherwise and irrespective of whether the Trustee shall have made any demand pursuant to the provisions of this Section, shall be entitled and empowered, by intervention in such proceedings or otherwise:</w:t>
      </w:r>
    </w:p>
    <w:p>
      <w:pPr>
        <w:spacing w:after="0" w:line="177" w:lineRule="exact"/>
        <w:rPr>
          <w:sz w:val="20"/>
          <w:szCs w:val="20"/>
          <w:color w:val="auto"/>
        </w:rPr>
      </w:pPr>
    </w:p>
    <w:p>
      <w:pPr>
        <w:ind w:left="440" w:right="3239" w:firstLine="444"/>
        <w:spacing w:after="0" w:line="237" w:lineRule="auto"/>
        <w:tabs>
          <w:tab w:leader="none" w:pos="1227" w:val="left"/>
        </w:tabs>
        <w:numPr>
          <w:ilvl w:val="0"/>
          <w:numId w:val="1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file and prove a claim or claims for the whole amount of principal and interest (or, if the Securities of any series are Original Issue Discount Securities, such portion of the principal amount as may be specified in the terms of such series) owing and unpaid in respect of the Securities of any series, and to file such other papers or documents as may be necessary or advisable in order to have the claims of the Trustee (including any claim for reasonable compensation to the Trustee and each predecessor Trustee, and their respective agents, attorneys and counsel, and for reimbursement of all expenses and liabilities incurred, and all advances made, by the Trustee and each predecessor Trustee, except as a result of negligence or bad faith) and of the Securityholders allowed in any judicial proceedings relative to the Issuer or other obligor upon the Securities of any series, or to the creditors or property of the Issuer or such other obligor,</w:t>
      </w:r>
    </w:p>
    <w:p>
      <w:pPr>
        <w:spacing w:after="0" w:line="173" w:lineRule="exact"/>
        <w:rPr>
          <w:rFonts w:ascii="Courier New" w:cs="Courier New" w:eastAsia="Courier New" w:hAnsi="Courier New"/>
          <w:sz w:val="15"/>
          <w:szCs w:val="15"/>
          <w:color w:val="auto"/>
        </w:rPr>
      </w:pPr>
    </w:p>
    <w:p>
      <w:pPr>
        <w:ind w:left="440" w:right="3239" w:firstLine="444"/>
        <w:spacing w:after="0" w:line="236" w:lineRule="auto"/>
        <w:tabs>
          <w:tab w:leader="none" w:pos="1227" w:val="left"/>
        </w:tabs>
        <w:numPr>
          <w:ilvl w:val="0"/>
          <w:numId w:val="1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unless prohibited by applicable law and regulations, to vote on behalf of the holders of the Securities of any series in any election of a trustee or a standby trustee in arrangement, reorganization, liquidation or other bankruptcy or insolvency proceedings or person performing similar functions in comparable proceedings, and</w:t>
      </w:r>
    </w:p>
    <w:p>
      <w:pPr>
        <w:spacing w:after="0" w:line="173" w:lineRule="exact"/>
        <w:rPr>
          <w:rFonts w:ascii="Courier New" w:cs="Courier New" w:eastAsia="Courier New" w:hAnsi="Courier New"/>
          <w:sz w:val="15"/>
          <w:szCs w:val="15"/>
          <w:color w:val="auto"/>
        </w:rPr>
      </w:pPr>
    </w:p>
    <w:p>
      <w:pPr>
        <w:ind w:left="440" w:right="3239" w:firstLine="444"/>
        <w:spacing w:after="0" w:line="255" w:lineRule="auto"/>
        <w:tabs>
          <w:tab w:leader="none" w:pos="1227" w:val="left"/>
        </w:tabs>
        <w:numPr>
          <w:ilvl w:val="0"/>
          <w:numId w:val="1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collect and receive any moneys or other property payable or deliverable on any such claims, and to distribute all amounts received with respect to the claims of the Securityholders and of the Trustee on their behalf; and any trustee, receiver, or liquidator, custodian or other similar official is hereby authorized by each of the Securityholders to make payments to the Trustee, and, in the event that the Trustee shall consent to the making of payments directly to the Securityholders, to pay to the Trustee such amounts as shall be sufficient to cover reasonable compensation to the Trustee, each predecessor Trustee and their respective agents, attorneys and counsel, and all other expenses and liabilities incurred, and all advances made, by the Trustee and each predecessor Trustee except as a result of negligence or bad faith and all other amounts due to the Trustee or any predecessor Trustee pursuant to Section 5.06.</w:t>
      </w:r>
    </w:p>
    <w:p>
      <w:pPr>
        <w:spacing w:after="0" w:line="32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31</w:t>
      </w:r>
    </w:p>
    <w:p>
      <w:pPr>
        <w:sectPr>
          <w:pgSz w:w="11900" w:h="16838" w:orient="portrait"/>
          <w:cols w:equalWidth="0" w:num="1">
            <w:col w:w="10239"/>
          </w:cols>
          <w:pgMar w:left="220" w:top="792" w:right="1440" w:bottom="1440" w:gutter="0" w:footer="0" w:header="0"/>
        </w:sectPr>
      </w:pPr>
    </w:p>
    <w:bookmarkStart w:id="179" w:name="page180"/>
    <w:bookmarkEnd w:id="179"/>
    <w:p>
      <w:pPr>
        <w:ind w:right="3399" w:firstLine="437"/>
        <w:spacing w:after="0" w:line="236" w:lineRule="auto"/>
        <w:rPr>
          <w:sz w:val="20"/>
          <w:szCs w:val="20"/>
          <w:color w:val="auto"/>
        </w:rPr>
      </w:pPr>
      <w:r>
        <w:rPr>
          <w:rFonts w:ascii="Courier New" w:cs="Courier New" w:eastAsia="Courier New" w:hAnsi="Courier New"/>
          <w:sz w:val="15"/>
          <w:szCs w:val="15"/>
          <w:color w:val="auto"/>
        </w:rPr>
        <w:t>Nothing herein contained shall be deemed to authorize the Trustee to authorize or consent to or vote for or accept or adopt on behalf of any Securityholder any plan or reorganization, arrangement, adjustment or composition affecting the Securities of any series or the rights of any Holder thereof, or to authorize the Trustee to vote in respect of the claim of any Securityholder in any such proceeding except, as aforesaid, to vote for the election of a trustee in bankruptcy or similar person.</w:t>
      </w:r>
    </w:p>
    <w:p>
      <w:pPr>
        <w:spacing w:after="0" w:line="176"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All rights of action and of asserting claims under this Indenture, or under any of the Securities, may be enforced by the Trustee without the possession of any of the Securities or the production thereof on any trial or other proceedings relative thereto, and any such action or proceedings instituted by the Trustee shall be brought in its own name as trustee of an express trust, and any recovery of judgment, subject to the payment of the expenses, disbursements and compensation of the Trustee, each predecessor Trustee and their respective agents and attorneys, shall be for the ratable benefit of the holders of the Securities in respect of which such action was taken.</w:t>
      </w:r>
    </w:p>
    <w:p>
      <w:pPr>
        <w:spacing w:after="0" w:line="165"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In any proceedings brought by the Trustee (and also any proceedings involving the interpretation of any provision of this Indenture to which the Trustee shall be a party) the Trustee shall be held to represent all the holders of the Securities in respect to which such action was taken, and it shall not be necessary to make any holders of such Securities parties to any such proceedings.</w:t>
      </w:r>
    </w:p>
    <w:p>
      <w:pPr>
        <w:spacing w:after="0" w:line="175"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Section 4.03. Application of Proceeds. Any moneys collected by the Trustee pursuant to this Article in respect of any series shall be applied in the following order at the date or dates fixed by the Trustee and, in case of the distribution of such moneys on account of principal or interest, upon presentation of the several Securities in respect of which monies have been collected and stamping (or otherwise noting) thereon the payment, or issuing Securities of such series in reduced principal amounts in exchange for the presented Securities of like series if only partially paid, or upon surrender thereof if fully paid:</w:t>
      </w:r>
    </w:p>
    <w:p>
      <w:pPr>
        <w:spacing w:after="0" w:line="178" w:lineRule="exact"/>
        <w:rPr>
          <w:sz w:val="20"/>
          <w:szCs w:val="20"/>
          <w:color w:val="auto"/>
        </w:rPr>
      </w:pPr>
    </w:p>
    <w:p>
      <w:pPr>
        <w:ind w:left="440" w:right="3319" w:firstLine="437"/>
        <w:spacing w:after="0" w:line="236" w:lineRule="auto"/>
        <w:rPr>
          <w:sz w:val="20"/>
          <w:szCs w:val="20"/>
          <w:color w:val="auto"/>
        </w:rPr>
      </w:pPr>
      <w:r>
        <w:rPr>
          <w:rFonts w:ascii="Courier New" w:cs="Courier New" w:eastAsia="Courier New" w:hAnsi="Courier New"/>
          <w:sz w:val="15"/>
          <w:szCs w:val="15"/>
          <w:color w:val="auto"/>
        </w:rPr>
        <w:t>FIRST: To the payment of costs and expenses applicable to such series in respect of which monies have been collected, including reasonable compensation to the Trustee and each predecessor Trustee and their respective agents and attorneys and of all expenses and liabilities incurred, and all advances made, by the Trustee and each predecessor Trustee except as a result of negligence or bad faith, and all other amounts due to the Trustee or any predecessor Trustee pursuant to Section 5.06;</w:t>
      </w:r>
    </w:p>
    <w:p>
      <w:pPr>
        <w:spacing w:after="0" w:line="177" w:lineRule="exact"/>
        <w:rPr>
          <w:sz w:val="20"/>
          <w:szCs w:val="20"/>
          <w:color w:val="auto"/>
        </w:rPr>
      </w:pPr>
    </w:p>
    <w:p>
      <w:pPr>
        <w:ind w:left="440" w:right="3319" w:firstLine="437"/>
        <w:spacing w:after="0" w:line="256" w:lineRule="auto"/>
        <w:rPr>
          <w:sz w:val="20"/>
          <w:szCs w:val="20"/>
          <w:color w:val="auto"/>
        </w:rPr>
      </w:pPr>
      <w:r>
        <w:rPr>
          <w:rFonts w:ascii="Courier New" w:cs="Courier New" w:eastAsia="Courier New" w:hAnsi="Courier New"/>
          <w:sz w:val="14"/>
          <w:szCs w:val="14"/>
          <w:color w:val="auto"/>
        </w:rPr>
        <w:t>SECOND: In case the principal of the Securities of such series in respect of which moneys have been collected shall not have become and be then due and payable, to the payment of interest on the Securities of such series in default in the order of the maturity of the installments of</w:t>
      </w:r>
    </w:p>
    <w:p>
      <w:pPr>
        <w:spacing w:after="0" w:line="32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32</w:t>
      </w:r>
    </w:p>
    <w:p>
      <w:pPr>
        <w:sectPr>
          <w:pgSz w:w="11900" w:h="16838" w:orient="portrait"/>
          <w:cols w:equalWidth="0" w:num="1">
            <w:col w:w="10239"/>
          </w:cols>
          <w:pgMar w:left="220" w:top="792" w:right="1440" w:bottom="1440" w:gutter="0" w:footer="0" w:header="0"/>
        </w:sectPr>
      </w:pPr>
    </w:p>
    <w:bookmarkStart w:id="180" w:name="page181"/>
    <w:bookmarkEnd w:id="180"/>
    <w:p>
      <w:pPr>
        <w:ind w:left="440" w:right="3319"/>
        <w:spacing w:after="0" w:line="236" w:lineRule="auto"/>
        <w:rPr>
          <w:sz w:val="20"/>
          <w:szCs w:val="20"/>
          <w:color w:val="auto"/>
        </w:rPr>
      </w:pPr>
      <w:r>
        <w:rPr>
          <w:rFonts w:ascii="Courier New" w:cs="Courier New" w:eastAsia="Courier New" w:hAnsi="Courier New"/>
          <w:sz w:val="15"/>
          <w:szCs w:val="15"/>
          <w:color w:val="auto"/>
        </w:rPr>
        <w:t>such interest, with interest (to the extent that such interest has been collected by the Trustee) upon the overdue installments of interest at the same rate as the rate of interest or Yield to Maturity (in the case of Original Issue Discount Securities) specified in such Securities, such payments to be made ratably to the persons entitled thereto, without discrimination or preference;</w:t>
      </w:r>
    </w:p>
    <w:p>
      <w:pPr>
        <w:spacing w:after="0" w:line="175" w:lineRule="exact"/>
        <w:rPr>
          <w:sz w:val="20"/>
          <w:szCs w:val="20"/>
          <w:color w:val="auto"/>
        </w:rPr>
      </w:pPr>
    </w:p>
    <w:p>
      <w:pPr>
        <w:ind w:left="440" w:right="3239" w:firstLine="437"/>
        <w:spacing w:after="0" w:line="255" w:lineRule="auto"/>
        <w:rPr>
          <w:sz w:val="20"/>
          <w:szCs w:val="20"/>
          <w:color w:val="auto"/>
        </w:rPr>
      </w:pPr>
      <w:r>
        <w:rPr>
          <w:rFonts w:ascii="Courier New" w:cs="Courier New" w:eastAsia="Courier New" w:hAnsi="Courier New"/>
          <w:sz w:val="14"/>
          <w:szCs w:val="14"/>
          <w:color w:val="auto"/>
        </w:rPr>
        <w:t>THIRD: In case the principal of the Securities of such series in respect of which moneys have been collected shall have become and shall be then due and payable, to the payment of the whole amount then owing and unpaid upon all the Securities of such series for principal and interest, with interest upon the overdue principal, and (to the extent that such interest has been collected by the Trustee) upon overdue installments of interest at the same rate as the rate of interest or Yield to Maturity (in the case of Original Issue Discount Securities) specified in the Securities of such series; and in case such moneys shall be insufficient to pay in full the whole amount so due and unpaid upon the Securities of such series, then to the payment of such principal and interest or yield to maturity, without preference or priority of principal over interest or yield to maturity, or of interest or yield to maturity over principal, or of any installment of interest over any other installment of interest, or of any Security of such series over any other Security of such series, ratably to the aggregate of such principal and accrued and unpaid interest or yield to maturity; and</w:t>
      </w:r>
    </w:p>
    <w:p>
      <w:pPr>
        <w:spacing w:after="0" w:line="331" w:lineRule="exact"/>
        <w:rPr>
          <w:sz w:val="20"/>
          <w:szCs w:val="20"/>
          <w:color w:val="auto"/>
        </w:rPr>
      </w:pPr>
    </w:p>
    <w:p>
      <w:pPr>
        <w:ind w:left="440" w:right="3319" w:firstLine="437"/>
        <w:spacing w:after="0" w:line="234" w:lineRule="auto"/>
        <w:rPr>
          <w:sz w:val="20"/>
          <w:szCs w:val="20"/>
          <w:color w:val="auto"/>
        </w:rPr>
      </w:pPr>
      <w:r>
        <w:rPr>
          <w:rFonts w:ascii="Courier New" w:cs="Courier New" w:eastAsia="Courier New" w:hAnsi="Courier New"/>
          <w:sz w:val="15"/>
          <w:szCs w:val="15"/>
          <w:color w:val="auto"/>
        </w:rPr>
        <w:t>FOURTH: To the payment of the remainder, if any, to the Issuer or any other person lawfully entitled thereto.</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Section 4.04. Suits for Enforcement. In case an Event of Default has occurred, has not been waived and is continuing, the Trustee may proceed to protect and enforce the rights vested in it by this Indenture, either at law or in equity or in bankruptcy or otherwise, whether for the specific enforcement of any covenant or agreement contained in this Indenture or in aid of the exercise of any power granted in this Indenture or to enforce any other legal or equitable right vested in the Trustee by this Indenture or by law.</w:t>
      </w:r>
    </w:p>
    <w:p>
      <w:pPr>
        <w:spacing w:after="0" w:line="166"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Section 4.05. Restoration of Rights on Abandonment of Proceedings. In case the Trustee shall have proceeded to enforce any right under this Indenture and such proceedings shall have been discontinued or abandoned for any reason, or shall have been determined adversely to the Trustee, then and in every such case the Issuer, any Cable Guarantors and the Trustee shall be restored respectively to their former positions and rights hereunder, and all rights, remedies and powers of the Issuer, any Cable Guarantors, the Trustee and the Securityholders shall continue as though no such proceedings had been taken.</w:t>
      </w:r>
    </w:p>
    <w:p>
      <w:pPr>
        <w:spacing w:after="0" w:line="32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33</w:t>
      </w:r>
    </w:p>
    <w:p>
      <w:pPr>
        <w:sectPr>
          <w:pgSz w:w="11900" w:h="16838" w:orient="portrait"/>
          <w:cols w:equalWidth="0" w:num="1">
            <w:col w:w="10239"/>
          </w:cols>
          <w:pgMar w:left="220" w:top="792" w:right="1440" w:bottom="1440" w:gutter="0" w:footer="0" w:header="0"/>
        </w:sectPr>
      </w:pPr>
    </w:p>
    <w:bookmarkStart w:id="181" w:name="page182"/>
    <w:bookmarkEnd w:id="181"/>
    <w:p>
      <w:pPr>
        <w:ind w:right="3239" w:firstLine="437"/>
        <w:spacing w:after="0" w:line="254" w:lineRule="auto"/>
        <w:rPr>
          <w:sz w:val="20"/>
          <w:szCs w:val="20"/>
          <w:color w:val="auto"/>
        </w:rPr>
      </w:pPr>
      <w:r>
        <w:rPr>
          <w:rFonts w:ascii="Courier New" w:cs="Courier New" w:eastAsia="Courier New" w:hAnsi="Courier New"/>
          <w:sz w:val="14"/>
          <w:szCs w:val="14"/>
          <w:color w:val="auto"/>
        </w:rPr>
        <w:t>Section 4.06. Limitations on Suits by Securityholder. No holder of any Security of any series shall have any right by virtue or by availing of any provision of this Indenture to institute any action or proceeding at law or in equity or in bankruptcy or otherwise upon or under or with respect to this Indenture, or for the appointment of a trustee, receiver, liquidator, custodian or other similar official or for any other remedy hereunder, unless such holder previously shall have given to the Trustee written notice of an Event of Default and of the continuance thereof, as hereinbefore provided, and unless also the holders of not less than 25% in aggregate principal amount of the Securities of such series then outstanding shall have made written request upon the Trustee to institute such action or proceedings in respect of such Event of Default in its own name as trustee hereunder and shall have offered to the Trustee indemnity satisfactory to the Trustee against the costs, expenses and liabilities to be incurred therein or thereby and the Trustee for 60 days after its receipt of such notice, request and offer of indemnity shall have failed to institute any such action or proceeding and no direction inconsistent with such written request shall have been given to the Trustee pursuant to Section 4.09; it being understood and intended, and being expressly covenanted by the Holder of every Security with every other Holder and the Trustee, that no one or more Holders of Securities of any series shall have any right in any manner whatever by virtue or by availing of any provision of this Indenture to affect, disturb or prejudice the rights of any other such Holder of Securities, or to obtain or seek to obtain priority over or preference to any other such Holder or to enforce any right under this Indenture, except in the manner herein provided and for the equal, ratable and common benefit of all Holders of Securities of the applicable series. For the protection and enforcement of the provisions of this Section, each and every Securityholder and the Trustee shall be entitled to such relief as can be given either at law or in equity.</w:t>
      </w:r>
    </w:p>
    <w:p>
      <w:pPr>
        <w:spacing w:after="0" w:line="178"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Section 4.07. Unconditional Right of Securityholders to Institute Certain Suits. Notwithstanding any other provision in this Indenture and any provision of any Security, the right of any Holder of any Security to receive payment of the principal of, premium, if any, or interest on such Security on or after the respective due dates expressed in such Security, or to institute suit for the enforcement of any such payment on or after such respective dates, shall not be impaired or affected without the consent of such Holder.</w:t>
      </w:r>
    </w:p>
    <w:p>
      <w:pPr>
        <w:spacing w:after="0" w:line="166"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Section 4.08. Powers and Remedies Cumulative; Delay or Omission Not Waiver of Default. Except as provided in Section 4.06, no right or remedy herein conferred upon or reserved to the Trustee or to the Securityholders is intended to be exclusive of any other right or remedy, and every right and remedy shall, to the extent permitted by law, be cumulative and in addition to every other right and remedy given hereunder or now or hereafter existing at law or in equity or otherwise. The assertion or employment of any right or remedy hereunder, or otherwise, shall not prevent the concurrent assertion or employment of any other appropriate right or remedy.</w:t>
      </w:r>
    </w:p>
    <w:p>
      <w:pPr>
        <w:spacing w:after="0" w:line="34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34</w:t>
      </w:r>
    </w:p>
    <w:p>
      <w:pPr>
        <w:sectPr>
          <w:pgSz w:w="11900" w:h="16838" w:orient="portrait"/>
          <w:cols w:equalWidth="0" w:num="1">
            <w:col w:w="10239"/>
          </w:cols>
          <w:pgMar w:left="220" w:top="792" w:right="1440" w:bottom="1440" w:gutter="0" w:footer="0" w:header="0"/>
        </w:sectPr>
      </w:pPr>
    </w:p>
    <w:bookmarkStart w:id="182" w:name="page183"/>
    <w:bookmarkEnd w:id="182"/>
    <w:p>
      <w:pPr>
        <w:ind w:right="3319" w:firstLine="437"/>
        <w:spacing w:after="0" w:line="255" w:lineRule="auto"/>
        <w:rPr>
          <w:sz w:val="20"/>
          <w:szCs w:val="20"/>
          <w:color w:val="auto"/>
        </w:rPr>
      </w:pPr>
      <w:r>
        <w:rPr>
          <w:rFonts w:ascii="Courier New" w:cs="Courier New" w:eastAsia="Courier New" w:hAnsi="Courier New"/>
          <w:sz w:val="14"/>
          <w:szCs w:val="14"/>
          <w:color w:val="auto"/>
        </w:rPr>
        <w:t>No delay or omission of the Trustee or of any Securityholder to exercise any right or power accruing upon any Event of Default occurring and continuing as aforesaid shall impair any such right or power or shall be construed to be a waiver of any such Event of Default or an acquiescence therein; and, subject to Section 4.06, every power and remedy given by this Indenture or by law to the Trustee or to the Securityholders may be exercised from time to time, and as often as shall be deemed expedient, by the Trustee or by the Securityholders.</w:t>
      </w:r>
    </w:p>
    <w:p>
      <w:pPr>
        <w:spacing w:after="0" w:line="166"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Section 4.09. Control by Securityholders. The Holders of a majority in aggregate principal amount of the Securities of each series affected (with each series voting as a separate class) at the time outstanding shall have the right to direct the time, method, and place of conducting any proceeding for any remedy available to the Trustee, or exercising any trust or power conferred on the Trustee with respect to the Securities of such series by this Indenture; provided that such direction shall not be otherwise than in accordance with law and the provisions of this Indenture and provided further that (subject to the provisions of Section 5.01) the Trustee shall have the right to decline to follow any such direction if the Trustee, being advised by counsel, shall determine that the action or proceeding so directed may not lawfully be taken or if the Trustee in good faith by its board of directors, the executive committee, or a trust committee of directors or Responsible Officers of the Trustee shall determine that the action or proceedings so directed would involve the Trustee in personal liability or if the Trustee in good faith shall so determine that the actions or forbearances specified in or pursuant to such direction would be unduly prejudicial to the interests of Holders of the Securities of all series so affected not joining in the giving of said direction.</w:t>
      </w:r>
    </w:p>
    <w:p>
      <w:pPr>
        <w:spacing w:after="0" w:line="174"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Nothing in this Indenture shall impair the right of the Trustee to take any action which is not inconsistent with such direction or directions by Securityholders.</w:t>
      </w:r>
    </w:p>
    <w:p>
      <w:pPr>
        <w:spacing w:after="0" w:line="174" w:lineRule="exact"/>
        <w:rPr>
          <w:sz w:val="20"/>
          <w:szCs w:val="20"/>
          <w:color w:val="auto"/>
        </w:rPr>
      </w:pPr>
    </w:p>
    <w:p>
      <w:pPr>
        <w:ind w:right="3319" w:firstLine="437"/>
        <w:spacing w:after="0" w:line="237" w:lineRule="auto"/>
        <w:rPr>
          <w:sz w:val="20"/>
          <w:szCs w:val="20"/>
          <w:color w:val="auto"/>
        </w:rPr>
      </w:pPr>
      <w:r>
        <w:rPr>
          <w:rFonts w:ascii="Courier New" w:cs="Courier New" w:eastAsia="Courier New" w:hAnsi="Courier New"/>
          <w:sz w:val="15"/>
          <w:szCs w:val="15"/>
          <w:color w:val="auto"/>
        </w:rPr>
        <w:t>Section 4.10. Waiver of Past Defaults. Prior to a declaration of the acceleration of the maturity of the Securities of any series as provided in Section 4.01, the Holders of a majority in aggregate principal amount of the Securities of such series at the time Outstanding (each such series voting as a separate class) may on behalf of the Holders of all the Securities of such series waive an existing default or Event of Default, except a default in the payment of Principal of or interest on any Security as specified in clauses (a) or (b) of Section 4.01 or in respect of a covenant or provision hereof which cannot be modified or amended without the consent of each Holder affected as provided in. In the case of any such waiver, the Issuer, the Trustee and the Holders of the Securities of each series affected shall be restored to their former positions and rights hereunder, respectively.</w:t>
      </w:r>
    </w:p>
    <w:p>
      <w:pPr>
        <w:spacing w:after="0" w:line="173" w:lineRule="exact"/>
        <w:rPr>
          <w:sz w:val="20"/>
          <w:szCs w:val="20"/>
          <w:color w:val="auto"/>
        </w:rPr>
      </w:pPr>
    </w:p>
    <w:p>
      <w:pPr>
        <w:ind w:right="3399" w:firstLine="787"/>
        <w:spacing w:after="0" w:line="261" w:lineRule="auto"/>
        <w:rPr>
          <w:sz w:val="20"/>
          <w:szCs w:val="20"/>
          <w:color w:val="auto"/>
        </w:rPr>
      </w:pPr>
      <w:r>
        <w:rPr>
          <w:rFonts w:ascii="Courier New" w:cs="Courier New" w:eastAsia="Courier New" w:hAnsi="Courier New"/>
          <w:sz w:val="14"/>
          <w:szCs w:val="14"/>
          <w:color w:val="auto"/>
        </w:rPr>
        <w:t>Upon any such waiver, such default shall cease to exist and be deemed to have been cured and not to have occurred, and any Event of Default arising</w:t>
      </w:r>
    </w:p>
    <w:p>
      <w:pPr>
        <w:spacing w:after="0" w:line="32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35</w:t>
      </w:r>
    </w:p>
    <w:p>
      <w:pPr>
        <w:sectPr>
          <w:pgSz w:w="11900" w:h="16838" w:orient="portrait"/>
          <w:cols w:equalWidth="0" w:num="1">
            <w:col w:w="10239"/>
          </w:cols>
          <w:pgMar w:left="220" w:top="792" w:right="1440" w:bottom="1440" w:gutter="0" w:footer="0" w:header="0"/>
        </w:sectPr>
      </w:pPr>
    </w:p>
    <w:bookmarkStart w:id="183" w:name="page184"/>
    <w:bookmarkEnd w:id="183"/>
    <w:p>
      <w:pPr>
        <w:jc w:val="both"/>
        <w:ind w:right="3239"/>
        <w:spacing w:after="0" w:line="254" w:lineRule="auto"/>
        <w:rPr>
          <w:sz w:val="20"/>
          <w:szCs w:val="20"/>
          <w:color w:val="auto"/>
        </w:rPr>
      </w:pPr>
      <w:r>
        <w:rPr>
          <w:rFonts w:ascii="Courier New" w:cs="Courier New" w:eastAsia="Courier New" w:hAnsi="Courier New"/>
          <w:sz w:val="14"/>
          <w:szCs w:val="14"/>
          <w:color w:val="auto"/>
        </w:rPr>
        <w:t>therefrom shall be deemed to have been cured, and not to have occurred for every purpose of this Indenture; but no such waiver shall extend to any subsequent or other default or Event of Default or impair any right consequent thereon.</w:t>
      </w:r>
    </w:p>
    <w:p>
      <w:pPr>
        <w:spacing w:after="0" w:line="1" w:lineRule="exact"/>
        <w:rPr>
          <w:sz w:val="20"/>
          <w:szCs w:val="20"/>
          <w:color w:val="auto"/>
        </w:rPr>
      </w:pPr>
    </w:p>
    <w:p>
      <w:pPr>
        <w:ind w:right="3319"/>
        <w:spacing w:after="0" w:line="255" w:lineRule="auto"/>
        <w:rPr>
          <w:sz w:val="20"/>
          <w:szCs w:val="20"/>
          <w:color w:val="auto"/>
        </w:rPr>
      </w:pPr>
      <w:r>
        <w:rPr>
          <w:rFonts w:ascii="Courier New" w:cs="Courier New" w:eastAsia="Courier New" w:hAnsi="Courier New"/>
          <w:sz w:val="14"/>
          <w:szCs w:val="14"/>
          <w:color w:val="auto"/>
        </w:rPr>
        <w:t>Section 4.11. Trustee to Give Notice of Default, But May Withhold in Certain Circumstances. The Trustee shall give to the Securityholders of any series, as the names and addresses of such Holders appear on the registry books, notice by mail of all defaults known to Responsible Officers of the Trustee which have occurred with respect to such series, such notice to be transmitted within 90 days after the occurrence thereof, unless such defaults shall have been cured before the giving of such notice (the term "default" or "defaults" for the purposes of this section being hereby defined to mean any event or condition which is, or with notice or lapse of time or both would become, an Event of Default); provided that, except in the case of default in the payment of the principal of or interest on any of the Securities of such series, or in the payment of any sinking or purchase fund installment with respect to the Securities of such series, the Trustee shall be protected in withholding such notice if and so long as the board of directors, the executive committee, or a trust committee of directors or trustees and/or Responsible Officers of the Trustee in good faith determines that the withholding of such notice is in the interests of the Securityholders of such series.</w:t>
      </w:r>
    </w:p>
    <w:p>
      <w:pPr>
        <w:spacing w:after="0" w:line="331"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Section 4.12. Right of Court to Require Filing of Undertaking to Pay Costs. All parties to this Indenture agree, and each Holder of any Security by his acceptance thereof shall be deemed to have agreed, that any court may in its discretion require, in any suit for the enforcement of any right or remedy under this Indenture or in any suit against the Trustee for any action taken, suffered or omitted by it as Trustee, the filing by any party litigant in such suit of an undertaking to pay the costs of such suit, and that such court may in its discretion assess reasonable costs, including reasonable attorneys' fees and expenses, against any party litigant in such suit, having due regard to the merits and good faith of the claims or defenses made by such party litigant; but the provisions of this section shall not apply to any suit instituted by the Trustee, to any suit instituted by any Securityholder or group of Securityholders of any series holding in the aggregate more than 10% in aggregate principal amount of the Securities of such series, or, to any suit instituted by a Holder pursuant to Section 4.07.</w:t>
      </w:r>
    </w:p>
    <w:p>
      <w:pPr>
        <w:spacing w:after="0" w:line="336"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Article 5</w:t>
      </w:r>
    </w:p>
    <w:p>
      <w:pPr>
        <w:ind w:left="2540"/>
        <w:spacing w:after="0" w:line="237" w:lineRule="auto"/>
        <w:rPr>
          <w:sz w:val="20"/>
          <w:szCs w:val="20"/>
          <w:color w:val="auto"/>
        </w:rPr>
      </w:pPr>
      <w:r>
        <w:rPr>
          <w:rFonts w:ascii="Courier New" w:cs="Courier New" w:eastAsia="Courier New" w:hAnsi="Courier New"/>
          <w:sz w:val="15"/>
          <w:szCs w:val="15"/>
          <w:color w:val="auto"/>
        </w:rPr>
        <w:t>CONCERNING THE TRUSTEE</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Section 5.01. Duties and Responsibilities of the Trustee; During Default; Prior to Default. With respect to the Holders of any series of Securities issued hereunder, the Trustee, prior to the occurrence of an Event of Default with respect to the Securities of a particular series and after the curing or waiving of all Events of Default which may have occurred with respect to such series, undertakes to</w:t>
      </w:r>
    </w:p>
    <w:p>
      <w:pPr>
        <w:spacing w:after="0" w:line="33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36</w:t>
      </w:r>
    </w:p>
    <w:p>
      <w:pPr>
        <w:sectPr>
          <w:pgSz w:w="11900" w:h="16838" w:orient="portrait"/>
          <w:cols w:equalWidth="0" w:num="1">
            <w:col w:w="10239"/>
          </w:cols>
          <w:pgMar w:left="220" w:top="792" w:right="1440" w:bottom="1440" w:gutter="0" w:footer="0" w:header="0"/>
        </w:sectPr>
      </w:pPr>
    </w:p>
    <w:bookmarkStart w:id="184" w:name="page185"/>
    <w:bookmarkEnd w:id="184"/>
    <w:p>
      <w:pPr>
        <w:ind w:right="3399"/>
        <w:spacing w:after="0" w:line="236" w:lineRule="auto"/>
        <w:rPr>
          <w:sz w:val="20"/>
          <w:szCs w:val="20"/>
          <w:color w:val="auto"/>
        </w:rPr>
      </w:pPr>
      <w:r>
        <w:rPr>
          <w:rFonts w:ascii="Courier New" w:cs="Courier New" w:eastAsia="Courier New" w:hAnsi="Courier New"/>
          <w:sz w:val="15"/>
          <w:szCs w:val="15"/>
          <w:color w:val="auto"/>
        </w:rPr>
        <w:t>perform such duties and only such duties as are specifically set forth in this Indenture. In case an Event of Default with respect to the Securities of a series has occurred (which has not been cured or waived) the Trustee shall exercise such of the rights and powers vested in it by this Indenture, and use the same degree of care and skill in their exercise, as a prudent person would exercise or use under the circumstances in the conduct of such person's own affairs.</w:t>
      </w:r>
    </w:p>
    <w:p>
      <w:pPr>
        <w:spacing w:after="0" w:line="176" w:lineRule="exact"/>
        <w:rPr>
          <w:sz w:val="20"/>
          <w:szCs w:val="20"/>
          <w:color w:val="auto"/>
        </w:rPr>
      </w:pPr>
    </w:p>
    <w:p>
      <w:pPr>
        <w:jc w:val="both"/>
        <w:ind w:left="440" w:right="3239" w:firstLine="444"/>
        <w:spacing w:after="0" w:line="235" w:lineRule="auto"/>
        <w:tabs>
          <w:tab w:leader="none" w:pos="1227" w:val="left"/>
        </w:tabs>
        <w:numPr>
          <w:ilvl w:val="0"/>
          <w:numId w:val="1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Prior to the occurrence of an Event of Default with respect to the Securities of any series and after the curing or waiving of all such Events of Default with respect to such series which may have occurred:</w:t>
      </w:r>
    </w:p>
    <w:p>
      <w:pPr>
        <w:spacing w:after="0" w:line="173" w:lineRule="exact"/>
        <w:rPr>
          <w:rFonts w:ascii="Courier New" w:cs="Courier New" w:eastAsia="Courier New" w:hAnsi="Courier New"/>
          <w:sz w:val="15"/>
          <w:szCs w:val="15"/>
          <w:color w:val="auto"/>
        </w:rPr>
      </w:pPr>
    </w:p>
    <w:p>
      <w:pPr>
        <w:ind w:left="880" w:right="3239" w:firstLine="442"/>
        <w:spacing w:after="0" w:line="255" w:lineRule="auto"/>
        <w:tabs>
          <w:tab w:leader="none" w:pos="1667" w:val="left"/>
        </w:tabs>
        <w:numPr>
          <w:ilvl w:val="1"/>
          <w:numId w:val="1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duties and obligations of the Trustee with respect to the Securities of any Series shall be determined solely by the express provisions of this Indenture, and the Trustee shall not be liable except for the performance of such duties and obligations as are specifically set forth in this Indenture, and no implied covenants or obligations shall be read into this Indenture against the Trustee; and</w:t>
      </w:r>
    </w:p>
    <w:p>
      <w:pPr>
        <w:spacing w:after="0" w:line="166" w:lineRule="exact"/>
        <w:rPr>
          <w:rFonts w:ascii="Courier New" w:cs="Courier New" w:eastAsia="Courier New" w:hAnsi="Courier New"/>
          <w:sz w:val="14"/>
          <w:szCs w:val="14"/>
          <w:color w:val="auto"/>
        </w:rPr>
      </w:pPr>
    </w:p>
    <w:p>
      <w:pPr>
        <w:ind w:left="880" w:right="3239" w:firstLine="442"/>
        <w:spacing w:after="0" w:line="255" w:lineRule="auto"/>
        <w:tabs>
          <w:tab w:leader="none" w:pos="1755" w:val="left"/>
        </w:tabs>
        <w:numPr>
          <w:ilvl w:val="1"/>
          <w:numId w:val="1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absence of bad faith on the part of the Trustee, the Trustee may conclusively rely, as to the truth of the statements and the correctness of the opinions expressed therein, upon any statements, certificates or opinions furnished to the Trustee and conforming to the requirements of this Indenture; but in the case of any such statements, certificates or opinions which by any provision hereof are specifically required to be furnished to the Trustee, the Trustee shall be under a duty to examine the same to determine whether or not they conform to the requirements of this Indenture;</w:t>
      </w:r>
    </w:p>
    <w:p>
      <w:pPr>
        <w:spacing w:after="0" w:line="165" w:lineRule="exact"/>
        <w:rPr>
          <w:rFonts w:ascii="Courier New" w:cs="Courier New" w:eastAsia="Courier New" w:hAnsi="Courier New"/>
          <w:sz w:val="14"/>
          <w:szCs w:val="14"/>
          <w:color w:val="auto"/>
        </w:rPr>
      </w:pPr>
    </w:p>
    <w:p>
      <w:pPr>
        <w:ind w:left="440" w:right="3399" w:firstLine="444"/>
        <w:spacing w:after="0" w:line="235" w:lineRule="auto"/>
        <w:tabs>
          <w:tab w:leader="none" w:pos="1227" w:val="left"/>
        </w:tabs>
        <w:numPr>
          <w:ilvl w:val="0"/>
          <w:numId w:val="1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provision of this Indenture shall be construed to relieve the Trustee from liability for its own negligent action, its own negligent failure to act or its own willful misconduct, except that:</w:t>
      </w:r>
    </w:p>
    <w:p>
      <w:pPr>
        <w:spacing w:after="0" w:line="173" w:lineRule="exact"/>
        <w:rPr>
          <w:rFonts w:ascii="Courier New" w:cs="Courier New" w:eastAsia="Courier New" w:hAnsi="Courier New"/>
          <w:sz w:val="15"/>
          <w:szCs w:val="15"/>
          <w:color w:val="auto"/>
        </w:rPr>
      </w:pPr>
    </w:p>
    <w:p>
      <w:pPr>
        <w:ind w:left="880" w:right="3759" w:firstLine="442"/>
        <w:spacing w:after="0" w:line="234" w:lineRule="auto"/>
        <w:tabs>
          <w:tab w:leader="none" w:pos="1667" w:val="left"/>
        </w:tabs>
        <w:numPr>
          <w:ilvl w:val="1"/>
          <w:numId w:val="1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subsection (b) shall not be construed to limit the effect of subsection (a) of this Section;</w:t>
      </w:r>
    </w:p>
    <w:p>
      <w:pPr>
        <w:spacing w:after="0" w:line="173" w:lineRule="exact"/>
        <w:rPr>
          <w:rFonts w:ascii="Courier New" w:cs="Courier New" w:eastAsia="Courier New" w:hAnsi="Courier New"/>
          <w:sz w:val="15"/>
          <w:szCs w:val="15"/>
          <w:color w:val="auto"/>
        </w:rPr>
      </w:pPr>
    </w:p>
    <w:p>
      <w:pPr>
        <w:ind w:left="880" w:right="3239" w:firstLine="442"/>
        <w:spacing w:after="0" w:line="235" w:lineRule="auto"/>
        <w:tabs>
          <w:tab w:leader="none" w:pos="1755" w:val="left"/>
        </w:tabs>
        <w:numPr>
          <w:ilvl w:val="1"/>
          <w:numId w:val="1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Trustee shall not be liable for any error of judgment made in good faith by a Responsible Officer or Responsible Officers of the Trustee, unless it shall be proved that the Trustee was negligent in ascertaining the pertinent facts; and</w:t>
      </w:r>
    </w:p>
    <w:p>
      <w:pPr>
        <w:spacing w:after="0" w:line="175" w:lineRule="exact"/>
        <w:rPr>
          <w:rFonts w:ascii="Courier New" w:cs="Courier New" w:eastAsia="Courier New" w:hAnsi="Courier New"/>
          <w:sz w:val="15"/>
          <w:szCs w:val="15"/>
          <w:color w:val="auto"/>
        </w:rPr>
      </w:pPr>
    </w:p>
    <w:p>
      <w:pPr>
        <w:ind w:left="880" w:right="3319" w:firstLine="442"/>
        <w:spacing w:after="0" w:line="258" w:lineRule="auto"/>
        <w:tabs>
          <w:tab w:leader="none" w:pos="1842" w:val="left"/>
        </w:tabs>
        <w:numPr>
          <w:ilvl w:val="1"/>
          <w:numId w:val="1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Trustee shall not be liable with respect to any action taken, suffered or omitted to be taken by it in good faith in accordance with the direction of the holders relating to the time,</w:t>
      </w:r>
    </w:p>
    <w:p>
      <w:pPr>
        <w:spacing w:after="0" w:line="32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37</w:t>
      </w:r>
    </w:p>
    <w:p>
      <w:pPr>
        <w:sectPr>
          <w:pgSz w:w="11900" w:h="16838" w:orient="portrait"/>
          <w:cols w:equalWidth="0" w:num="1">
            <w:col w:w="10239"/>
          </w:cols>
          <w:pgMar w:left="220" w:top="792" w:right="1440" w:bottom="1440" w:gutter="0" w:footer="0" w:header="0"/>
        </w:sectPr>
      </w:pPr>
    </w:p>
    <w:bookmarkStart w:id="185" w:name="page186"/>
    <w:bookmarkEnd w:id="185"/>
    <w:p>
      <w:pPr>
        <w:ind w:left="880" w:right="3239"/>
        <w:spacing w:after="0" w:line="235" w:lineRule="auto"/>
        <w:rPr>
          <w:sz w:val="20"/>
          <w:szCs w:val="20"/>
          <w:color w:val="auto"/>
        </w:rPr>
      </w:pPr>
      <w:r>
        <w:rPr>
          <w:rFonts w:ascii="Courier New" w:cs="Courier New" w:eastAsia="Courier New" w:hAnsi="Courier New"/>
          <w:sz w:val="15"/>
          <w:szCs w:val="15"/>
          <w:color w:val="auto"/>
        </w:rPr>
        <w:t>method and place of conducting any proceeding for any remedy available to the Trustee, or exercising any trust or power conferred upon the Trustee, under this Indenture.</w:t>
      </w:r>
    </w:p>
    <w:p>
      <w:pPr>
        <w:spacing w:after="0" w:line="174"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None of the provisions contained in this Indenture shall require the Trustee to expend or risk its own funds or otherwise incur personal financial liability in the performance of any of its duties or in the exercise of any of its rights or powers, if there shall be reasonable ground for believing that the repayment of such funds or adequate indemnity against such liability is not reasonably assured to it.</w:t>
      </w:r>
    </w:p>
    <w:p>
      <w:pPr>
        <w:spacing w:after="0" w:line="175" w:lineRule="exact"/>
        <w:rPr>
          <w:sz w:val="20"/>
          <w:szCs w:val="20"/>
          <w:color w:val="auto"/>
        </w:rPr>
      </w:pPr>
    </w:p>
    <w:p>
      <w:pPr>
        <w:ind w:right="3499" w:firstLine="437"/>
        <w:spacing w:after="0" w:line="234" w:lineRule="auto"/>
        <w:rPr>
          <w:sz w:val="20"/>
          <w:szCs w:val="20"/>
          <w:color w:val="auto"/>
        </w:rPr>
      </w:pPr>
      <w:r>
        <w:rPr>
          <w:rFonts w:ascii="Courier New" w:cs="Courier New" w:eastAsia="Courier New" w:hAnsi="Courier New"/>
          <w:sz w:val="15"/>
          <w:szCs w:val="15"/>
          <w:color w:val="auto"/>
        </w:rPr>
        <w:t>The provisions of this Section 5.01 are in furtherance of and subject to Sections 315 and 316 of the Trust Indenture Act of 1939.</w:t>
      </w:r>
    </w:p>
    <w:p>
      <w:pPr>
        <w:spacing w:after="0" w:line="173" w:lineRule="exact"/>
        <w:rPr>
          <w:sz w:val="20"/>
          <w:szCs w:val="20"/>
          <w:color w:val="auto"/>
        </w:rPr>
      </w:pPr>
    </w:p>
    <w:p>
      <w:pPr>
        <w:ind w:right="3579" w:firstLine="437"/>
        <w:spacing w:after="0" w:line="235" w:lineRule="auto"/>
        <w:rPr>
          <w:sz w:val="20"/>
          <w:szCs w:val="20"/>
          <w:color w:val="auto"/>
        </w:rPr>
      </w:pPr>
      <w:r>
        <w:rPr>
          <w:rFonts w:ascii="Courier New" w:cs="Courier New" w:eastAsia="Courier New" w:hAnsi="Courier New"/>
          <w:sz w:val="15"/>
          <w:szCs w:val="15"/>
          <w:color w:val="auto"/>
        </w:rPr>
        <w:t>Whether or not therein expressly provided, every provision of this Indenture relating to the conduct or affecting the liability of or affording protection to the Trustee shall be subject to the provisions of this Section 5.01.</w:t>
      </w:r>
    </w:p>
    <w:p>
      <w:pPr>
        <w:spacing w:after="0" w:line="175" w:lineRule="exact"/>
        <w:rPr>
          <w:sz w:val="20"/>
          <w:szCs w:val="20"/>
          <w:color w:val="auto"/>
        </w:rPr>
      </w:pPr>
    </w:p>
    <w:p>
      <w:pPr>
        <w:ind w:right="3319" w:firstLine="437"/>
        <w:spacing w:after="0" w:line="234" w:lineRule="auto"/>
        <w:rPr>
          <w:sz w:val="20"/>
          <w:szCs w:val="20"/>
          <w:color w:val="auto"/>
        </w:rPr>
      </w:pPr>
      <w:r>
        <w:rPr>
          <w:rFonts w:ascii="Courier New" w:cs="Courier New" w:eastAsia="Courier New" w:hAnsi="Courier New"/>
          <w:sz w:val="15"/>
          <w:szCs w:val="15"/>
          <w:color w:val="auto"/>
        </w:rPr>
        <w:t>Section 5.02. Certain Rights of the Trustee. In furtherance of and subject to the Trust Indenture Act of 1939, and subject to Section 5.01:</w:t>
      </w:r>
    </w:p>
    <w:p>
      <w:pPr>
        <w:spacing w:after="0" w:line="173" w:lineRule="exact"/>
        <w:rPr>
          <w:sz w:val="20"/>
          <w:szCs w:val="20"/>
          <w:color w:val="auto"/>
        </w:rPr>
      </w:pPr>
    </w:p>
    <w:p>
      <w:pPr>
        <w:ind w:left="440" w:right="3239" w:firstLine="444"/>
        <w:spacing w:after="0" w:line="255" w:lineRule="auto"/>
        <w:tabs>
          <w:tab w:leader="none" w:pos="1227" w:val="left"/>
        </w:tabs>
        <w:numPr>
          <w:ilvl w:val="0"/>
          <w:numId w:val="1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Trustee may conclusively rely and shall be protected in acting or refraining from acting upon any resolution, Officers' Certificate or any other certificate, statement, instrument, opinion, report, notice, request, direction, consent, order, bond, debenture, note, coupon, security or other paper or document believed by it to be genuine and to have been signed or presented by the proper party or parties;</w:t>
      </w:r>
    </w:p>
    <w:p>
      <w:pPr>
        <w:spacing w:after="0" w:line="166" w:lineRule="exact"/>
        <w:rPr>
          <w:rFonts w:ascii="Courier New" w:cs="Courier New" w:eastAsia="Courier New" w:hAnsi="Courier New"/>
          <w:sz w:val="14"/>
          <w:szCs w:val="14"/>
          <w:color w:val="auto"/>
        </w:rPr>
      </w:pPr>
    </w:p>
    <w:p>
      <w:pPr>
        <w:ind w:left="440" w:right="3239" w:firstLine="444"/>
        <w:spacing w:after="0" w:line="236" w:lineRule="auto"/>
        <w:tabs>
          <w:tab w:leader="none" w:pos="1227" w:val="left"/>
        </w:tabs>
        <w:numPr>
          <w:ilvl w:val="0"/>
          <w:numId w:val="1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request, direction, order or demand of the Issuer mentioned herein shall be sufficiently evidenced by an Officers' Certificate (unless other evidence in respect thereof be herein specifically prescribed); and any resolution of the Board of Directors may be evidenced to the Trustee by a copy thereof certified by the secretary or an assistant secretary of the Issuer;</w:t>
      </w:r>
    </w:p>
    <w:p>
      <w:pPr>
        <w:spacing w:after="0" w:line="174" w:lineRule="exact"/>
        <w:rPr>
          <w:rFonts w:ascii="Courier New" w:cs="Courier New" w:eastAsia="Courier New" w:hAnsi="Courier New"/>
          <w:sz w:val="15"/>
          <w:szCs w:val="15"/>
          <w:color w:val="auto"/>
        </w:rPr>
      </w:pPr>
    </w:p>
    <w:p>
      <w:pPr>
        <w:ind w:left="440" w:right="3239" w:firstLine="444"/>
        <w:spacing w:after="0" w:line="236" w:lineRule="auto"/>
        <w:tabs>
          <w:tab w:leader="none" w:pos="1227" w:val="left"/>
        </w:tabs>
        <w:numPr>
          <w:ilvl w:val="0"/>
          <w:numId w:val="1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Trustee may consult with counsel of its selection and any advice or Opinion of Counsel shall be full and complete authorization and protection in respect of any action taken, suffered or omitted to be taken by it hereunder in good faith and in accordance with such advice or Opinion of Counsel;</w:t>
      </w:r>
    </w:p>
    <w:p>
      <w:pPr>
        <w:spacing w:after="0" w:line="173" w:lineRule="exact"/>
        <w:rPr>
          <w:rFonts w:ascii="Courier New" w:cs="Courier New" w:eastAsia="Courier New" w:hAnsi="Courier New"/>
          <w:sz w:val="15"/>
          <w:szCs w:val="15"/>
          <w:color w:val="auto"/>
        </w:rPr>
      </w:pPr>
    </w:p>
    <w:p>
      <w:pPr>
        <w:jc w:val="both"/>
        <w:ind w:left="440" w:right="3319" w:firstLine="444"/>
        <w:spacing w:after="0" w:line="256" w:lineRule="auto"/>
        <w:tabs>
          <w:tab w:leader="none" w:pos="1227" w:val="left"/>
        </w:tabs>
        <w:numPr>
          <w:ilvl w:val="0"/>
          <w:numId w:val="1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Trustee shall be under no obligation to exercise any of the trusts or powers vested in it by this Indenture at the request, order or direction of any of the Securityholders pursuant to the provisions of this Indenture, unless such Securityholders shall have offered to the Trustee</w:t>
      </w:r>
    </w:p>
    <w:p>
      <w:pPr>
        <w:spacing w:after="0" w:line="32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38</w:t>
      </w:r>
    </w:p>
    <w:p>
      <w:pPr>
        <w:sectPr>
          <w:pgSz w:w="11900" w:h="16838" w:orient="portrait"/>
          <w:cols w:equalWidth="0" w:num="1">
            <w:col w:w="10239"/>
          </w:cols>
          <w:pgMar w:left="220" w:top="792" w:right="1440" w:bottom="1440" w:gutter="0" w:footer="0" w:header="0"/>
        </w:sectPr>
      </w:pPr>
    </w:p>
    <w:bookmarkStart w:id="186" w:name="page187"/>
    <w:bookmarkEnd w:id="186"/>
    <w:p>
      <w:pPr>
        <w:ind w:right="3319"/>
        <w:spacing w:after="0" w:line="235" w:lineRule="auto"/>
        <w:rPr>
          <w:sz w:val="20"/>
          <w:szCs w:val="20"/>
          <w:color w:val="auto"/>
        </w:rPr>
      </w:pPr>
      <w:r>
        <w:rPr>
          <w:rFonts w:ascii="Courier New" w:cs="Courier New" w:eastAsia="Courier New" w:hAnsi="Courier New"/>
          <w:sz w:val="15"/>
          <w:szCs w:val="15"/>
          <w:color w:val="auto"/>
        </w:rPr>
        <w:t>reasonable security or indemnity against the costs, expenses and liabilities which might be incurred by it in connection with such request, order or direction;</w:t>
      </w:r>
    </w:p>
    <w:p>
      <w:pPr>
        <w:spacing w:after="0" w:line="174" w:lineRule="exact"/>
        <w:rPr>
          <w:sz w:val="20"/>
          <w:szCs w:val="20"/>
          <w:color w:val="auto"/>
        </w:rPr>
      </w:pPr>
    </w:p>
    <w:p>
      <w:pPr>
        <w:ind w:right="3239" w:firstLine="444"/>
        <w:spacing w:after="0" w:line="235" w:lineRule="auto"/>
        <w:tabs>
          <w:tab w:leader="none" w:pos="787" w:val="left"/>
        </w:tabs>
        <w:numPr>
          <w:ilvl w:val="0"/>
          <w:numId w:val="1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Trustee shall not be liable for any action taken or omitted by it in good faith and believed by it to be authorized or within the discretion, rights or powers conferred upon it by this Indenture;</w:t>
      </w:r>
    </w:p>
    <w:p>
      <w:pPr>
        <w:spacing w:after="0" w:line="173" w:lineRule="exact"/>
        <w:rPr>
          <w:rFonts w:ascii="Courier New" w:cs="Courier New" w:eastAsia="Courier New" w:hAnsi="Courier New"/>
          <w:sz w:val="15"/>
          <w:szCs w:val="15"/>
          <w:color w:val="auto"/>
        </w:rPr>
      </w:pPr>
    </w:p>
    <w:p>
      <w:pPr>
        <w:ind w:right="3239" w:firstLine="444"/>
        <w:spacing w:after="0" w:line="237" w:lineRule="auto"/>
        <w:tabs>
          <w:tab w:leader="none" w:pos="787" w:val="left"/>
        </w:tabs>
        <w:numPr>
          <w:ilvl w:val="0"/>
          <w:numId w:val="1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prior to the occurrence of an Event of Default hereunder and after the curing or waiving of all Events of Default, the Trustee shall not be bound to make any investigation into the facts or matters stated in any resolution, certificate, statement, instrument, opinion, report, notice, request, consent, order, approval, appraisal, bond, debenture, note, coupon, security, or other paper or document unless requested in writing so to do by the holders of not less than a majority in aggregate principal amount of the Securities of all series affected then outstanding; provided that, if the payment within a reasonable time to the Trustee of the costs, expenses or liabilities likely to be incurred by it in the making of such investigation is, in the opinion of the Trustee, not reasonably assured to the Trustee by the security afforded to it by the terms of this Indenture, the Trustee may require indemnity satisfactory to it against such expenses or liabilities as a condition to proceeding; the reasonable expenses of every such investigation shall be paid by the Issuer or, if paid by the Trustee or any predecessor trustee, shall be repaid by the Issuer upon demand;</w:t>
      </w:r>
    </w:p>
    <w:p>
      <w:pPr>
        <w:spacing w:after="0" w:line="175" w:lineRule="exact"/>
        <w:rPr>
          <w:rFonts w:ascii="Courier New" w:cs="Courier New" w:eastAsia="Courier New" w:hAnsi="Courier New"/>
          <w:sz w:val="15"/>
          <w:szCs w:val="15"/>
          <w:color w:val="auto"/>
        </w:rPr>
      </w:pPr>
    </w:p>
    <w:p>
      <w:pPr>
        <w:ind w:right="3319" w:firstLine="444"/>
        <w:spacing w:after="0" w:line="236" w:lineRule="auto"/>
        <w:tabs>
          <w:tab w:leader="none" w:pos="787" w:val="left"/>
        </w:tabs>
        <w:numPr>
          <w:ilvl w:val="0"/>
          <w:numId w:val="1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Trustee may execute any of the trusts or powers hereunder or perform any duties hereunder either directly or by or through agents or attorneys not regularly in its employ and the Trustee shall not be responsible for any misconduct or negligence on the part of any such agent or attorney appointed with due care by it hereunder;</w:t>
      </w:r>
    </w:p>
    <w:p>
      <w:pPr>
        <w:spacing w:after="0" w:line="173" w:lineRule="exact"/>
        <w:rPr>
          <w:rFonts w:ascii="Courier New" w:cs="Courier New" w:eastAsia="Courier New" w:hAnsi="Courier New"/>
          <w:sz w:val="15"/>
          <w:szCs w:val="15"/>
          <w:color w:val="auto"/>
        </w:rPr>
      </w:pPr>
    </w:p>
    <w:p>
      <w:pPr>
        <w:ind w:right="3319" w:firstLine="444"/>
        <w:spacing w:after="0" w:line="235" w:lineRule="auto"/>
        <w:tabs>
          <w:tab w:leader="none" w:pos="787" w:val="left"/>
        </w:tabs>
        <w:numPr>
          <w:ilvl w:val="0"/>
          <w:numId w:val="1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Trustee shall not be liable for any action taken, suffered or omitted in good faith and believed by it to be authorized or within the discretion, rights or powers conferred upon it by this Indenture;</w:t>
      </w:r>
    </w:p>
    <w:p>
      <w:pPr>
        <w:spacing w:after="0" w:line="173" w:lineRule="exact"/>
        <w:rPr>
          <w:rFonts w:ascii="Courier New" w:cs="Courier New" w:eastAsia="Courier New" w:hAnsi="Courier New"/>
          <w:sz w:val="15"/>
          <w:szCs w:val="15"/>
          <w:color w:val="auto"/>
        </w:rPr>
      </w:pPr>
    </w:p>
    <w:p>
      <w:pPr>
        <w:ind w:right="3319" w:firstLine="444"/>
        <w:spacing w:after="0" w:line="256" w:lineRule="auto"/>
        <w:tabs>
          <w:tab w:leader="none" w:pos="787" w:val="left"/>
        </w:tabs>
        <w:numPr>
          <w:ilvl w:val="0"/>
          <w:numId w:val="1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Trustee shall not be deemed to have notice of any Default or Event of Default unless a Responsible Officer of the Trustee has actual knowledge thereof or unless written notice of any event which is in fact such a default is received by the Trustee at the Corporate Trust Office of the Trustee, and such notice references the Securities and this Indenture;</w:t>
      </w:r>
    </w:p>
    <w:p>
      <w:pPr>
        <w:spacing w:after="0" w:line="163" w:lineRule="exact"/>
        <w:rPr>
          <w:rFonts w:ascii="Courier New" w:cs="Courier New" w:eastAsia="Courier New" w:hAnsi="Courier New"/>
          <w:sz w:val="14"/>
          <w:szCs w:val="14"/>
          <w:color w:val="auto"/>
        </w:rPr>
      </w:pPr>
    </w:p>
    <w:p>
      <w:pPr>
        <w:jc w:val="both"/>
        <w:ind w:right="3239" w:firstLine="444"/>
        <w:spacing w:after="0" w:line="258" w:lineRule="auto"/>
        <w:tabs>
          <w:tab w:leader="none" w:pos="787" w:val="left"/>
        </w:tabs>
        <w:numPr>
          <w:ilvl w:val="0"/>
          <w:numId w:val="1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rights, privileges, protections, immunities and benefits given to the Trustee, including, without limitation, its right to be indemnified, are extended to, and shall be enforceable by, the Trustee in</w:t>
      </w:r>
    </w:p>
    <w:p>
      <w:pPr>
        <w:spacing w:after="0" w:line="323"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39</w:t>
      </w:r>
    </w:p>
    <w:p>
      <w:pPr>
        <w:sectPr>
          <w:pgSz w:w="11900" w:h="16838" w:orient="portrait"/>
          <w:cols w:equalWidth="0" w:num="1">
            <w:col w:w="9799"/>
          </w:cols>
          <w:pgMar w:left="660" w:top="792" w:right="1440" w:bottom="1440" w:gutter="0" w:footer="0" w:header="0"/>
        </w:sectPr>
      </w:pPr>
    </w:p>
    <w:bookmarkStart w:id="187" w:name="page188"/>
    <w:bookmarkEnd w:id="187"/>
    <w:p>
      <w:pPr>
        <w:ind w:left="440" w:right="3759"/>
        <w:spacing w:after="0" w:line="234" w:lineRule="auto"/>
        <w:rPr>
          <w:sz w:val="20"/>
          <w:szCs w:val="20"/>
          <w:color w:val="auto"/>
        </w:rPr>
      </w:pPr>
      <w:r>
        <w:rPr>
          <w:rFonts w:ascii="Courier New" w:cs="Courier New" w:eastAsia="Courier New" w:hAnsi="Courier New"/>
          <w:sz w:val="15"/>
          <w:szCs w:val="15"/>
          <w:color w:val="auto"/>
        </w:rPr>
        <w:t>each of its capacities hereunder, and each agent, custodian and other Person employed to act hereunder; and</w:t>
      </w:r>
    </w:p>
    <w:p>
      <w:pPr>
        <w:spacing w:after="0" w:line="173" w:lineRule="exact"/>
        <w:rPr>
          <w:sz w:val="20"/>
          <w:szCs w:val="20"/>
          <w:color w:val="auto"/>
        </w:rPr>
      </w:pPr>
    </w:p>
    <w:p>
      <w:pPr>
        <w:ind w:left="440" w:right="3239" w:firstLine="444"/>
        <w:spacing w:after="0" w:line="236" w:lineRule="auto"/>
        <w:tabs>
          <w:tab w:leader="none" w:pos="1227" w:val="left"/>
        </w:tabs>
        <w:numPr>
          <w:ilvl w:val="0"/>
          <w:numId w:val="1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Trustee may request that the Issuer deliver an Officers' Certificate setting forth the names of individuals and/or titles of officers authorized at such time to take specified actions pursuant to this Indenture, which Officers' Certificate may be signed by any person authorized to sign an Officers' Certificate, including any person specified as so authorized in any such certificate previously delivered and not superseded.</w:t>
      </w:r>
    </w:p>
    <w:p>
      <w:pPr>
        <w:spacing w:after="0" w:line="176"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Section 5.03. Trustee Not Responsible for Recitals, Disposition of Securities or Application of Proceeds Thereof. The recitals contained herein and in the Securities, except the Trustee's certificates of authentication, shall be taken as the statements of the Issuer, and the Trustee assumes no responsibility for the correctness of the same. The Trustee makes no representation as to the validity or sufficiency of this Indenture, the Securities or the Cable Guarantees. The Trustee shall not be accountable for the use or application by the Issuer of any of the Securities or of the proceeds thereof.</w:t>
      </w:r>
    </w:p>
    <w:p>
      <w:pPr>
        <w:spacing w:after="0" w:line="166"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Section 5.04. Trustee and Agents May Hold Securities; Collections, etc. The Trustee or any agent of the Issuer or the Trustee, in its individual or any other capacity, may become the owner or pledgee of Securities with the same rights it would have if it were not the Trustee or such agent and may otherwise deal with the Issuer and receive, collect, hold and retain collections from the Issuer with the same rights it would have if it were not the Trustee or such agent.</w:t>
      </w:r>
    </w:p>
    <w:p>
      <w:pPr>
        <w:spacing w:after="0" w:line="176"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Section 5.05. Moneys Held by Trustee. All moneys received by the Trustee in trust hereunder need not be segregated from other funds except to the extent required by mandatory provisions of law. Neither the Trustee nor any agent of the Issuer or the Trustee shall be under any liability for interest on any moneys received by it hereunder.</w:t>
      </w:r>
    </w:p>
    <w:p>
      <w:pPr>
        <w:spacing w:after="0" w:line="174"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Section 5.06. Compensation and Indemnification of Trustee and Its Prior Claim. The Issuer covenants and agrees to pay to the Trustee from time to time, and the Trustee shall be entitled to, such compensation as shall be agreed in writing from time to time by the Issuer and the Trustee (which shall not be limited by any provision of law in regard to the compensation of a trustee of an express trust) and the Issuer covenants and agrees to pay or reimburse the Trustee and each predecessor Trustee upon its request for all reasonable expenses, disbursements and advances incurred or made by or on behalf of it in accordance with any of the provisions of this Indenture (including the reasonable compensation and the expenses and disbursements of its counsel and of all agents and other persons not regularly in its employ) except to the extent any such expense, disbursement or advance may arise from its negligence or bad faith. The Issuer also covenants and agrees to indemnify the Trustee and each predecessor</w:t>
      </w:r>
    </w:p>
    <w:p>
      <w:pPr>
        <w:spacing w:after="0" w:line="33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40</w:t>
      </w:r>
    </w:p>
    <w:p>
      <w:pPr>
        <w:sectPr>
          <w:pgSz w:w="11900" w:h="16838" w:orient="portrait"/>
          <w:cols w:equalWidth="0" w:num="1">
            <w:col w:w="10239"/>
          </w:cols>
          <w:pgMar w:left="220" w:top="792" w:right="1440" w:bottom="1440" w:gutter="0" w:footer="0" w:header="0"/>
        </w:sectPr>
      </w:pPr>
    </w:p>
    <w:bookmarkStart w:id="188" w:name="page189"/>
    <w:bookmarkEnd w:id="188"/>
    <w:p>
      <w:pPr>
        <w:ind w:right="3239"/>
        <w:spacing w:after="0" w:line="254" w:lineRule="auto"/>
        <w:rPr>
          <w:sz w:val="20"/>
          <w:szCs w:val="20"/>
          <w:color w:val="auto"/>
        </w:rPr>
      </w:pPr>
      <w:r>
        <w:rPr>
          <w:rFonts w:ascii="Courier New" w:cs="Courier New" w:eastAsia="Courier New" w:hAnsi="Courier New"/>
          <w:sz w:val="14"/>
          <w:szCs w:val="14"/>
          <w:color w:val="auto"/>
        </w:rPr>
        <w:t>Trustee for, and to hold it harmless against, any loss, liability or expense arising out of or in connection with the acceptance or administration of this Indenture or the trusts hereunder and the performance of its duties hereunder, including the costs and expenses of defending itself against or investigating any claim of liability (whether asserted by the Issuer, a Cable Guarantor, a Holder or any other Person) in the premises, except to the extent such loss, liability or expense is due to the negligence or bad faith of the Trustee or such predecessor Trustee. The obligations of the Issuer under this section to compensate and indemnify the Trustee and each predecessor Trustee and to pay or reimburse the Trustee and each predecessor Trustee for expenses, disbursements and advances shall constitute additional indebtedness hereunder and shall survive the satisfaction and discharge of this Indenture or the resignation or removal of the Trustee. Such additional indebtedness shall be a senior claim and lien to that of the Securities upon all property and funds held or collected by the Trustee as such, except funds held in trust for the benefit of the holders of particular Securities, and the Securities are hereby subordinated to such senior claim. The parties agree that if the Trustee renders services following an Event of Default under Section 4.01(d) or (e), compensation for such services is intended to constitute administrative expense under any bankruptcy law.</w:t>
      </w:r>
    </w:p>
    <w:p>
      <w:pPr>
        <w:spacing w:after="0" w:line="175"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Section 5.07. Right of Trustee to Rely on Officers' Certificate, etc. Subject to Sections 5.01 and 5.02, whenever in the administration of the trusts of this Indenture the Trustee shall deem it necessary or desirable that a matter be proved or established prior to taking or suffering or omitting any action hereunder, such matter (unless other evidence in respect thereof be herein specifically prescribed) may, in the absence of negligence or bad faith on the part of the Trustee, be deemed to be conclusively proved and established by an Officers' Certificate delivered to the Trustee, and such certificate, in the absence of negligence or bad faith on the part of the Trustee, shall be full warrant to the Trustee for any action taken, suffered or omitted by it under the provisions of this Indenture upon the faith thereof.</w:t>
      </w:r>
    </w:p>
    <w:p>
      <w:pPr>
        <w:spacing w:after="0" w:line="165"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Section 5.08. Persons Eligible for Appointment as Trustee. The Trustee for each series of Securities hereunder shall at all times be a corporation which is eligible in accordance with the provisions of Section 310(a) of the Trust Indenture Act of 1939 and which has, or is a Wholly-Owned Subsidiary, directly or indirectly of a bank holding company which has, a combined capital and surplus of $50,000,000. If such corporation or holding company publishes reports of condition at least annually, pursuant to law or to the requirements of a Federal, State or District of Columbia supervising or examining authority, then for the purposes of this Section, the combined capital and surplus of such corporation or holding company shall be deemed to be its combined capital and surplus as set forth in its most recent report of condition so published.</w:t>
      </w:r>
    </w:p>
    <w:p>
      <w:pPr>
        <w:spacing w:after="0" w:line="32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41</w:t>
      </w:r>
    </w:p>
    <w:p>
      <w:pPr>
        <w:sectPr>
          <w:pgSz w:w="11900" w:h="16838" w:orient="portrait"/>
          <w:cols w:equalWidth="0" w:num="1">
            <w:col w:w="10239"/>
          </w:cols>
          <w:pgMar w:left="220" w:top="792" w:right="1440" w:bottom="1440" w:gutter="0" w:footer="0" w:header="0"/>
        </w:sectPr>
      </w:pPr>
    </w:p>
    <w:bookmarkStart w:id="189" w:name="page190"/>
    <w:bookmarkEnd w:id="189"/>
    <w:p>
      <w:pPr>
        <w:ind w:left="440"/>
        <w:spacing w:after="0"/>
        <w:rPr>
          <w:sz w:val="20"/>
          <w:szCs w:val="20"/>
          <w:color w:val="auto"/>
        </w:rPr>
      </w:pPr>
      <w:r>
        <w:rPr>
          <w:rFonts w:ascii="Courier New" w:cs="Courier New" w:eastAsia="Courier New" w:hAnsi="Courier New"/>
          <w:sz w:val="15"/>
          <w:szCs w:val="15"/>
          <w:color w:val="auto"/>
        </w:rPr>
        <w:t>Section 5.09. Resignation and Removal; Appointment of Successor Trustee.</w:t>
      </w:r>
    </w:p>
    <w:p>
      <w:pPr>
        <w:spacing w:after="0" w:line="5" w:lineRule="exact"/>
        <w:rPr>
          <w:sz w:val="20"/>
          <w:szCs w:val="20"/>
          <w:color w:val="auto"/>
        </w:rPr>
      </w:pPr>
    </w:p>
    <w:p>
      <w:pPr>
        <w:ind w:right="3239" w:firstLine="10"/>
        <w:spacing w:after="0" w:line="254" w:lineRule="auto"/>
        <w:tabs>
          <w:tab w:leader="none" w:pos="350" w:val="left"/>
        </w:tabs>
        <w:numPr>
          <w:ilvl w:val="0"/>
          <w:numId w:val="1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Trustee, or any trustee or trustees hereafter appointed, may at any time resign with respect to one or more or all series of Securities by giving written notice of resignation to the Issuer. Upon receiving such notice of resignation, the Issuer shall promptly appoint a successor trustee or trustees with respect to the applicable series by written instrument in duplicate, executed by authority of the Board of Directors, one copy of which instrument shall be delivered to the resigning Trustee and one copy to the successor trustee or trustees. If no successor Trustee shall have been so appointed with respect to any series and have accepted appointment within 30 days after the mailing of such notice of resignation, the resigning Trustee may petition, at the expense of the Issuer, any court of competent jurisdiction for the appointment of a successor Trustee, or any Securityholder who has been a bona fide Holder of a Security or Securities of the applicable series for at least six months may, subject to the provisions of Section 4.12, on behalf of himself and all others similarly situated, petition any such court for the appointment of a successor Trustee. Such court may thereupon, after such notice, if any, as it may deem proper and prescribe, appoint a successor Trustee.</w:t>
      </w:r>
    </w:p>
    <w:p>
      <w:pPr>
        <w:spacing w:after="0" w:line="167" w:lineRule="exact"/>
        <w:rPr>
          <w:rFonts w:ascii="Courier New" w:cs="Courier New" w:eastAsia="Courier New" w:hAnsi="Courier New"/>
          <w:sz w:val="14"/>
          <w:szCs w:val="14"/>
          <w:color w:val="auto"/>
        </w:rPr>
      </w:pPr>
    </w:p>
    <w:p>
      <w:pPr>
        <w:ind w:left="800" w:hanging="353"/>
        <w:spacing w:after="0"/>
        <w:tabs>
          <w:tab w:leader="none" w:pos="800" w:val="left"/>
        </w:tabs>
        <w:numPr>
          <w:ilvl w:val="1"/>
          <w:numId w:val="1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case at any time any of the following shall occur:</w:t>
      </w:r>
    </w:p>
    <w:p>
      <w:pPr>
        <w:spacing w:after="0" w:line="172" w:lineRule="exact"/>
        <w:rPr>
          <w:rFonts w:ascii="Courier New" w:cs="Courier New" w:eastAsia="Courier New" w:hAnsi="Courier New"/>
          <w:sz w:val="15"/>
          <w:szCs w:val="15"/>
          <w:color w:val="auto"/>
        </w:rPr>
      </w:pPr>
    </w:p>
    <w:p>
      <w:pPr>
        <w:ind w:left="440" w:right="3319" w:firstLine="444"/>
        <w:spacing w:after="0" w:line="236" w:lineRule="auto"/>
        <w:tabs>
          <w:tab w:leader="none" w:pos="1227" w:val="left"/>
        </w:tabs>
        <w:numPr>
          <w:ilvl w:val="2"/>
          <w:numId w:val="1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Trustee shall fail to comply with the provisions of Section 310(b) of the Trust Indenture Act of 1939 with respect to any series of Securities after written request therefor by the Issuer or by any Securityholder who has been a bona fide Holder of a Security or Securities of such series for at least six months; or</w:t>
      </w:r>
    </w:p>
    <w:p>
      <w:pPr>
        <w:spacing w:after="0" w:line="173" w:lineRule="exact"/>
        <w:rPr>
          <w:rFonts w:ascii="Courier New" w:cs="Courier New" w:eastAsia="Courier New" w:hAnsi="Courier New"/>
          <w:sz w:val="15"/>
          <w:szCs w:val="15"/>
          <w:color w:val="auto"/>
        </w:rPr>
      </w:pPr>
    </w:p>
    <w:p>
      <w:pPr>
        <w:ind w:left="440" w:right="3399" w:firstLine="444"/>
        <w:spacing w:after="0" w:line="235" w:lineRule="auto"/>
        <w:tabs>
          <w:tab w:leader="none" w:pos="1315" w:val="left"/>
        </w:tabs>
        <w:numPr>
          <w:ilvl w:val="2"/>
          <w:numId w:val="1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Trustee shall cease to be eligible in accordance with the provisions of Section 310(a) of the Trust Indenture Act of 1939 and shall fail to resign after written request therefor by the Issuer or by any Securityholder; or</w:t>
      </w:r>
    </w:p>
    <w:p>
      <w:pPr>
        <w:spacing w:after="0" w:line="175" w:lineRule="exact"/>
        <w:rPr>
          <w:rFonts w:ascii="Courier New" w:cs="Courier New" w:eastAsia="Courier New" w:hAnsi="Courier New"/>
          <w:sz w:val="15"/>
          <w:szCs w:val="15"/>
          <w:color w:val="auto"/>
        </w:rPr>
      </w:pPr>
    </w:p>
    <w:p>
      <w:pPr>
        <w:ind w:left="440" w:right="3239" w:firstLine="444"/>
        <w:spacing w:after="0" w:line="236" w:lineRule="auto"/>
        <w:tabs>
          <w:tab w:leader="none" w:pos="1402" w:val="left"/>
        </w:tabs>
        <w:numPr>
          <w:ilvl w:val="2"/>
          <w:numId w:val="1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Trustee shall become incapable of acting with respect to any series of Securities, or shall be adjudged a bankrupt or insolvent, or a receiver or liquidator of the Trustee or of its property shall be appointed, or any public officer shall take charge or control of the Trustee or of its property or affairs for the purpose of rehabilitation, conservation or liquidation;</w:t>
      </w:r>
    </w:p>
    <w:p>
      <w:pPr>
        <w:spacing w:after="0" w:line="175"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then, in any case, the Issuer may remove the Trustee with respect to the applicable series of Securities and appoint a successor trustee for such series by written instrument, in duplicate, executed by order of the Board of Directors of the Issuer, one copy of which instrument shall be delivered to the Trustee so removed and one copy to the successor Trustee, or, subject to Section 315(e) of the Trust Indenture Act of 1939, any Securityholder who has been a bona fide Holder of a</w:t>
      </w:r>
    </w:p>
    <w:p>
      <w:pPr>
        <w:spacing w:after="0" w:line="33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42</w:t>
      </w:r>
    </w:p>
    <w:p>
      <w:pPr>
        <w:sectPr>
          <w:pgSz w:w="11900" w:h="16838" w:orient="portrait"/>
          <w:cols w:equalWidth="0" w:num="1">
            <w:col w:w="10239"/>
          </w:cols>
          <w:pgMar w:left="220" w:top="786" w:right="1440" w:bottom="1440" w:gutter="0" w:footer="0" w:header="0"/>
        </w:sectPr>
      </w:pPr>
    </w:p>
    <w:bookmarkStart w:id="190" w:name="page191"/>
    <w:bookmarkEnd w:id="190"/>
    <w:p>
      <w:pPr>
        <w:ind w:right="3399"/>
        <w:spacing w:after="0" w:line="236" w:lineRule="auto"/>
        <w:rPr>
          <w:sz w:val="20"/>
          <w:szCs w:val="20"/>
          <w:color w:val="auto"/>
        </w:rPr>
      </w:pPr>
      <w:r>
        <w:rPr>
          <w:rFonts w:ascii="Courier New" w:cs="Courier New" w:eastAsia="Courier New" w:hAnsi="Courier New"/>
          <w:sz w:val="15"/>
          <w:szCs w:val="15"/>
          <w:color w:val="auto"/>
        </w:rPr>
        <w:t>Security or Securities of such series for at least six months may on behalf of himself and all others similarly situated, petition any court of competent jurisdiction for the removal of the Trustee and the appointment of a successor trustee with respect to such series. Such court may thereupon, after such notice, if any, as it may deem proper and prescribe, remove the Trustee and appoint a successor trustee.</w:t>
      </w:r>
    </w:p>
    <w:p>
      <w:pPr>
        <w:spacing w:after="0" w:line="175" w:lineRule="exact"/>
        <w:rPr>
          <w:sz w:val="20"/>
          <w:szCs w:val="20"/>
          <w:color w:val="auto"/>
        </w:rPr>
      </w:pPr>
    </w:p>
    <w:p>
      <w:pPr>
        <w:ind w:right="3319" w:firstLine="447"/>
        <w:spacing w:after="0" w:line="236" w:lineRule="auto"/>
        <w:tabs>
          <w:tab w:leader="none" w:pos="787" w:val="left"/>
        </w:tabs>
        <w:numPr>
          <w:ilvl w:val="0"/>
          <w:numId w:val="1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Holders of a majority in aggregate principal amount of the Securities of each series at the time outstanding may at any time remove the Trustee with respect to Securities of such series and appoint a successor Trustee with respect to the Securities of such series by delivering to the Trustee so removed, to the successor Trustee so appointed and to the Issuer the evidence provided in Section 6.01 of the action in that regard taken by the Securityholders.</w:t>
      </w:r>
    </w:p>
    <w:p>
      <w:pPr>
        <w:spacing w:after="0" w:line="175" w:lineRule="exact"/>
        <w:rPr>
          <w:rFonts w:ascii="Courier New" w:cs="Courier New" w:eastAsia="Courier New" w:hAnsi="Courier New"/>
          <w:sz w:val="15"/>
          <w:szCs w:val="15"/>
          <w:color w:val="auto"/>
        </w:rPr>
      </w:pPr>
    </w:p>
    <w:p>
      <w:pPr>
        <w:ind w:right="3319" w:firstLine="447"/>
        <w:spacing w:after="0" w:line="256" w:lineRule="auto"/>
        <w:tabs>
          <w:tab w:leader="none" w:pos="787" w:val="left"/>
        </w:tabs>
        <w:numPr>
          <w:ilvl w:val="0"/>
          <w:numId w:val="1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resignation or removal of the Trustee with respect to any series and any appointment of a successor trustee with respect to such series pursuant to any of the provisions of this Section 5.09 shall become effective upon acceptance of appointment by the successor trustee as provided in Section 5.10.</w:t>
      </w:r>
    </w:p>
    <w:p>
      <w:pPr>
        <w:spacing w:after="0" w:line="164"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Section 5.10. Acceptance of Appointment by Successor. Any successor Trustee appointed as provided in Section 5.09 shall execute and deliver to the Issuer and to its predecessor Trustee an instrument accepting such appointment hereunder, and thereupon the resignation or removal of the predecessor Trustee with respect to all or any applicable series shall become effective and such successor Trustee, without any further act, deed or conveyance, shall become vested with all rights, powers, duties and obligations with respect to such series of its predecessor hereunder, with like effect as if originally named as Trustee for such series hereunder; but, nevertheless, on the written request of the Issuer or of the successor Trustee, upon payment of its charges then unpaid, the Trustee ceasing to act shall, subject to Section 5.06, pay over to the successor Trustee all moneys at the time held by it hereunder and shall execute and deliver an instrument transferring to such successor Trustee all such rights, powers, duties and obligations. Upon request of any such successor Trustee, the Issuer shall execute any and all instruments in writing for more fully and certainly vesting in and confirming to such successor Trustee all such rights and powers. Any Trustee ceasing to act shall, nevertheless, retain a prior claim upon all property or funds held or collected by such Trustee to secure any amounts then due it pursuant to the provisions of Section 5.06.</w:t>
      </w:r>
    </w:p>
    <w:p>
      <w:pPr>
        <w:spacing w:after="0" w:line="34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If a successor Trustee is appointed with respect to the Securities of one or more (but not all) series, the Issuer, the predecessor Trustee and each successor Trustee with respect to the Securities of any applicable series shall execute and deliver an indenture supplemental hereto which shall contain such provisions as shall be deemed necessary or desirable to confirm that all the rights, powers, trusts and duties of the predecessor Trustee with respect to the Securities of any</w:t>
      </w:r>
    </w:p>
    <w:p>
      <w:pPr>
        <w:spacing w:after="0" w:line="33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43</w:t>
      </w:r>
    </w:p>
    <w:p>
      <w:pPr>
        <w:sectPr>
          <w:pgSz w:w="11900" w:h="16838" w:orient="portrait"/>
          <w:cols w:equalWidth="0" w:num="1">
            <w:col w:w="10239"/>
          </w:cols>
          <w:pgMar w:left="220" w:top="792" w:right="1440" w:bottom="1440" w:gutter="0" w:footer="0" w:header="0"/>
        </w:sectPr>
      </w:pPr>
    </w:p>
    <w:bookmarkStart w:id="191" w:name="page192"/>
    <w:bookmarkEnd w:id="191"/>
    <w:p>
      <w:pPr>
        <w:ind w:right="3319"/>
        <w:spacing w:after="0" w:line="255" w:lineRule="auto"/>
        <w:rPr>
          <w:sz w:val="20"/>
          <w:szCs w:val="20"/>
          <w:color w:val="auto"/>
        </w:rPr>
      </w:pPr>
      <w:r>
        <w:rPr>
          <w:rFonts w:ascii="Courier New" w:cs="Courier New" w:eastAsia="Courier New" w:hAnsi="Courier New"/>
          <w:sz w:val="14"/>
          <w:szCs w:val="14"/>
          <w:color w:val="auto"/>
        </w:rPr>
        <w:t>series as to which the predecessor Trustee is not retiring shall continue to be vested in the predecessor Trustee, and shall add to or change any of the provisions of this Indenture as shall be necessary to provide for or facilitate the administration of the trusts hereunder by more than one Trustee, it being understood that nothing herein or in such supplemental indenture shall constitute such Trustees co-trustees of the same trust and that each such Trustee shall be Trustee of a trust or trusts under separate indentures.</w:t>
      </w:r>
    </w:p>
    <w:p>
      <w:pPr>
        <w:spacing w:after="0" w:line="166"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Upon acceptance of appointment by any successor Trustee as provided in this Section 5.10, the Issuer shall mail notice thereof by first-class mail to the Holders of Securities of any series for which such successor Trustee is acting as Trustee at their last addresses as they shall appear in the Security register. If the acceptance of appointment is substantially contemporaneous with the resignation, then the notice called for by the preceding sentence may be combined with the notice called for by Section 5.09. If the Issuer fails to mail such notice within ten days after acceptance of appointment by the successor Trustee, the successor Trustee shall cause such notice to be mailed at the expense of the Issuer.</w:t>
      </w:r>
    </w:p>
    <w:p>
      <w:pPr>
        <w:spacing w:after="0" w:line="179"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Section 5.11. Merger, Conversion, Consolidation or Succession to Business of Trustee. Any corporation into which the Trustee may be merged or converted or with which it may be consolidated, or any corporation resulting from any merger, conversion or consolidation to which the Trustee shall be a party, or any corporation succeeding to all or substantially all the corporate trust business of the Trustee, shall be the successor of the Trustee hereunder, provided that such corporation shall be eligible under the provisions of Section 5.08, without the execution or filing of any paper or any further act on the part of any of the parties hereto, anything herein to the contrary notwithstanding.</w:t>
      </w:r>
    </w:p>
    <w:p>
      <w:pPr>
        <w:spacing w:after="0" w:line="165"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In case at the time such successor to the Trustee shall succeed to the trusts created by this Indenture any of the Securities of any series shall have been authenticated but not delivered, any such successor to the Trustee may adopt the certificate of authentication of any predecessor Trustee and deliver such Securities so authenticated; and, in case at that time any of the Securities of any series shall not have been authenticated, any successor to the Trustee may authenticate such Securities either in the name of any predecessor hereunder or in the name of the successor Trustee; and in all such cases such certificate shall have the full force which it is anywhere in the Securities of such series or in this Indenture provided that the certificate of the Trustee shall have; provided, that the right to adopt the certificate of authentication of any predecessor Trustee or to authenticate Securities of any series in the name of any predecessor Trustee shall apply only to its successor or successors by merger, conversion or consolidation.</w:t>
      </w:r>
    </w:p>
    <w:p>
      <w:pPr>
        <w:spacing w:after="0" w:line="174" w:lineRule="exact"/>
        <w:rPr>
          <w:sz w:val="20"/>
          <w:szCs w:val="20"/>
          <w:color w:val="auto"/>
        </w:rPr>
      </w:pPr>
    </w:p>
    <w:p>
      <w:pPr>
        <w:jc w:val="both"/>
        <w:ind w:right="3239" w:firstLine="437"/>
        <w:spacing w:after="0" w:line="258" w:lineRule="auto"/>
        <w:rPr>
          <w:sz w:val="20"/>
          <w:szCs w:val="20"/>
          <w:color w:val="auto"/>
        </w:rPr>
      </w:pPr>
      <w:r>
        <w:rPr>
          <w:rFonts w:ascii="Courier New" w:cs="Courier New" w:eastAsia="Courier New" w:hAnsi="Courier New"/>
          <w:sz w:val="14"/>
          <w:szCs w:val="14"/>
          <w:color w:val="auto"/>
        </w:rPr>
        <w:t>Section 5.12. Reports to the Trustee. The Trustee shall transmit to Holders such reports concerning the Trustee and its actions under this Indenture as may be required pursuant to the Trust Indenture Act at the times and in the</w:t>
      </w:r>
    </w:p>
    <w:p>
      <w:pPr>
        <w:spacing w:after="0" w:line="32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44</w:t>
      </w:r>
    </w:p>
    <w:p>
      <w:pPr>
        <w:sectPr>
          <w:pgSz w:w="11900" w:h="16838" w:orient="portrait"/>
          <w:cols w:equalWidth="0" w:num="1">
            <w:col w:w="10239"/>
          </w:cols>
          <w:pgMar w:left="220" w:top="792" w:right="1440" w:bottom="1440" w:gutter="0" w:footer="0" w:header="0"/>
        </w:sectPr>
      </w:pPr>
    </w:p>
    <w:bookmarkStart w:id="192" w:name="page193"/>
    <w:bookmarkEnd w:id="192"/>
    <w:p>
      <w:pPr>
        <w:ind w:right="3319"/>
        <w:spacing w:after="0" w:line="236" w:lineRule="auto"/>
        <w:rPr>
          <w:sz w:val="20"/>
          <w:szCs w:val="20"/>
          <w:color w:val="auto"/>
        </w:rPr>
      </w:pPr>
      <w:r>
        <w:rPr>
          <w:rFonts w:ascii="Courier New" w:cs="Courier New" w:eastAsia="Courier New" w:hAnsi="Courier New"/>
          <w:sz w:val="15"/>
          <w:szCs w:val="15"/>
          <w:color w:val="auto"/>
        </w:rPr>
        <w:t>manner provided pursuant thereto. If required by Section 313(a) of the Trust Indenture Act, the Trustee shall, within sixty days after each May 15 following the date of the initial issuance of Securities under this Indenture deliver to Holders a brief report, dated as of such May 15, which complies with the provisions of such Section 313(a).</w:t>
      </w:r>
    </w:p>
    <w:p>
      <w:pPr>
        <w:spacing w:after="0" w:line="174" w:lineRule="exact"/>
        <w:rPr>
          <w:sz w:val="20"/>
          <w:szCs w:val="20"/>
          <w:color w:val="auto"/>
        </w:rPr>
      </w:pPr>
    </w:p>
    <w:p>
      <w:pPr>
        <w:ind w:right="3399" w:firstLine="437"/>
        <w:spacing w:after="0" w:line="236" w:lineRule="auto"/>
        <w:rPr>
          <w:sz w:val="20"/>
          <w:szCs w:val="20"/>
          <w:color w:val="auto"/>
        </w:rPr>
      </w:pPr>
      <w:r>
        <w:rPr>
          <w:rFonts w:ascii="Courier New" w:cs="Courier New" w:eastAsia="Courier New" w:hAnsi="Courier New"/>
          <w:sz w:val="15"/>
          <w:szCs w:val="15"/>
          <w:color w:val="auto"/>
        </w:rPr>
        <w:t>A copy of each such report shall, at the time of such transmission to Holders, be filed by the Trustee with each stock exchange, if any, upon which the Securities are listed, with the Commission and with the Issuer. The Issuer will promptly notify the Trustee when the Securities are listed on any stock exchange and of any delisting thereof.</w:t>
      </w:r>
    </w:p>
    <w:p>
      <w:pPr>
        <w:spacing w:after="0" w:line="335"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Article 6</w:t>
      </w:r>
    </w:p>
    <w:p>
      <w:pPr>
        <w:jc w:val="center"/>
        <w:ind w:right="3239"/>
        <w:spacing w:after="0" w:line="237" w:lineRule="auto"/>
        <w:rPr>
          <w:sz w:val="20"/>
          <w:szCs w:val="20"/>
          <w:color w:val="auto"/>
        </w:rPr>
      </w:pPr>
      <w:r>
        <w:rPr>
          <w:rFonts w:ascii="Courier New" w:cs="Courier New" w:eastAsia="Courier New" w:hAnsi="Courier New"/>
          <w:sz w:val="15"/>
          <w:szCs w:val="15"/>
          <w:color w:val="auto"/>
        </w:rPr>
        <w:t>CONCERNING THE SECURITYHOLDERS</w:t>
      </w:r>
    </w:p>
    <w:p>
      <w:pPr>
        <w:spacing w:after="0" w:line="173"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Section 6.01. Evidence of Action Taken by Securityholders. Any request, demand, authorization, direction, notice, consent, waiver or other action provided by this Indenture to be given or taken by a specified percentage in principal amount of the Securityholders of any or all series may be embodied in and evidenced by one or more instruments of substantially similar tenor signed by such specified percentage of Securityholders in person or by agent duly appointed in writing; and, except as herein otherwise expressly provided, such action shall become effective when such instrument or instruments are delivered to the Trustee. Proof of execution of any instrument or of a writing appointing any such agent shall be sufficient for any purpose of this Indenture and (subject to Sections 5.01 and 5.02) conclusive in favor of the Trustee and the Issuer, if made in the manner provided in this Article.</w:t>
      </w:r>
    </w:p>
    <w:p>
      <w:pPr>
        <w:spacing w:after="0" w:line="164"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Section 6.02. Proof of Execution of Instruments and of Holding of Securities; Record Date. Subject to Sections 5.01 and 5.02, the execution of any instrument by a Securityholder or his agent or proxy may be proved by the certificate of any notary public or other officer authorized to take acknowledgment of deeds, that the Person executing such instrument acknowledged to such notary public or other such officer the execution thereof, or by an affidavit of a witness to such execution sworn to before any such notary public or other officer. Where such execution is by an officer of a corporation or association or a member of a partnership on behalf of such corporation, association or partnership, as the case may be, or by any other Person acting in a representative capacity, such certificate or affidavit shall also constitute sufficient proof of such Person's authority. The holding of Securities shall be proved by the Security register or by a certificate of the registrar thereof. The Issuer may set a record date for purposes of determining the identity of holders of Securities of any series entitled to vote or consent to any action referred to in Section 6.01, which record date may be set at any time or from time to time by notice to the Trustee,</w:t>
      </w:r>
    </w:p>
    <w:p>
      <w:pPr>
        <w:spacing w:after="0" w:line="200" w:lineRule="exact"/>
        <w:rPr>
          <w:sz w:val="20"/>
          <w:szCs w:val="20"/>
          <w:color w:val="auto"/>
        </w:rPr>
      </w:pPr>
    </w:p>
    <w:p>
      <w:pPr>
        <w:spacing w:after="0" w:line="29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45</w:t>
      </w:r>
    </w:p>
    <w:p>
      <w:pPr>
        <w:sectPr>
          <w:pgSz w:w="11900" w:h="16838" w:orient="portrait"/>
          <w:cols w:equalWidth="0" w:num="1">
            <w:col w:w="10239"/>
          </w:cols>
          <w:pgMar w:left="220" w:top="792" w:right="1440" w:bottom="1440" w:gutter="0" w:footer="0" w:header="0"/>
        </w:sectPr>
      </w:pPr>
    </w:p>
    <w:bookmarkStart w:id="193" w:name="page194"/>
    <w:bookmarkEnd w:id="193"/>
    <w:p>
      <w:pPr>
        <w:ind w:right="3239"/>
        <w:spacing w:after="0" w:line="236" w:lineRule="auto"/>
        <w:rPr>
          <w:sz w:val="20"/>
          <w:szCs w:val="20"/>
          <w:color w:val="auto"/>
        </w:rPr>
      </w:pPr>
      <w:r>
        <w:rPr>
          <w:rFonts w:ascii="Courier New" w:cs="Courier New" w:eastAsia="Courier New" w:hAnsi="Courier New"/>
          <w:sz w:val="15"/>
          <w:szCs w:val="15"/>
          <w:color w:val="auto"/>
        </w:rPr>
        <w:t>for any date or dates (in the case of any adjournment or reconsideration) not more than 60 days nor less than five days prior to the proposed date of such vote or consent, and thereafter, notwithstanding any other provisions hereof, only holders of Securities of such series of record on such record date shall be entitled to so vote or give such consent or revoke such vote or consent.</w:t>
      </w:r>
    </w:p>
    <w:p>
      <w:pPr>
        <w:spacing w:after="0" w:line="174"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Section 6.03. Holders to Be Treated as Owners. Prior to due presentment of a Security for registration of transfer, the Issuer, the Trustee and any agent of the Issuer or the Trustee may deem and treat the person in whose name any Security shall be registered upon the Security register for such series as the absolute owner of such Security (whether or not such Security shall be overdue and notwithstanding any notation of ownership or other writing thereon) for the purpose of receiving payment of or on account of the principal of and, subject to the provisions of this Indenture, interest on such Security and for all other purposes; and neither the Issuer nor the Trustee nor any agent of the Issuer or the Trustee shall be affected by any notice to the contrary. All such payments so made to any such person, or upon his order, shall be valid, and, to the extent of the sum or sums so paid, effectual to satisfy and discharge the liability for moneys payable upon any such Security.</w:t>
      </w:r>
    </w:p>
    <w:p>
      <w:pPr>
        <w:spacing w:after="0" w:line="164"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Section 6.04. Securities Owned by Issuer Deemed Not Outstanding. In determining whether the Holders of the requisite aggregate principal amount of Outstanding Securities of any or all series have concurred in any direction, consent or waiver under this Indenture, Securities which are owned by the Issuer or any other obligor on the Securities with respect to which such determination is being made or by any person directly or indirectly controlling or controlled by or under direct or indirect common control with the Issuer or any other obligor on the Securities with respect to which such determination is being made shall be disregarded and deemed not to be Outstanding for the purpose of any such determination, except that for the purpose of determining whether the Trustee shall be protected in relying on any such direction, consent or waiver only Securities as to which the Trustee has received written notice are so owned shall be so disregarded. Securities so owned which have been pledged in good faith may be regarded as Outstanding if the pledgee establishes to the satisfaction of the Trustee the pledgee's right so to act with respect to such Securities and that the pledgee is not the Issuer or any other obligor upon the Securities or any person directly or indirectly controlling or controlled by or under direct or indirect common control with the Issuer or any other obligor on the Securities. In case of a dispute as to such right, the advice of counsel shall be full protection in respect of any decision made by the Trustee in accordance with such advice. Upon request of the Trustee, the Issuer shall furnish to the Trustee promptly an Officers' Certificate listing and identifying all Securities, if any, known by the Issuer to be owned or held by or for the account of any of the above-described persons; and, subject to Sections 5.01 and 5.02, the Trustee shall be entitled to accept such Officers' Certificate as conclusive evidence of the facts therein set forth and of</w:t>
      </w:r>
    </w:p>
    <w:p>
      <w:pPr>
        <w:spacing w:after="0" w:line="200" w:lineRule="exact"/>
        <w:rPr>
          <w:sz w:val="20"/>
          <w:szCs w:val="20"/>
          <w:color w:val="auto"/>
        </w:rPr>
      </w:pPr>
    </w:p>
    <w:p>
      <w:pPr>
        <w:spacing w:after="0" w:line="30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46</w:t>
      </w:r>
    </w:p>
    <w:p>
      <w:pPr>
        <w:sectPr>
          <w:pgSz w:w="11900" w:h="16838" w:orient="portrait"/>
          <w:cols w:equalWidth="0" w:num="1">
            <w:col w:w="10239"/>
          </w:cols>
          <w:pgMar w:left="220" w:top="792" w:right="1440" w:bottom="1440" w:gutter="0" w:footer="0" w:header="0"/>
        </w:sectPr>
      </w:pPr>
    </w:p>
    <w:bookmarkStart w:id="194" w:name="page195"/>
    <w:bookmarkEnd w:id="194"/>
    <w:p>
      <w:pPr>
        <w:ind w:right="3319"/>
        <w:spacing w:after="0" w:line="234" w:lineRule="auto"/>
        <w:rPr>
          <w:sz w:val="20"/>
          <w:szCs w:val="20"/>
          <w:color w:val="auto"/>
        </w:rPr>
      </w:pPr>
      <w:r>
        <w:rPr>
          <w:rFonts w:ascii="Courier New" w:cs="Courier New" w:eastAsia="Courier New" w:hAnsi="Courier New"/>
          <w:sz w:val="15"/>
          <w:szCs w:val="15"/>
          <w:color w:val="auto"/>
        </w:rPr>
        <w:t>the fact that all Securities not listed therein are Outstanding for the purpose of any such determination.</w:t>
      </w:r>
    </w:p>
    <w:p>
      <w:pPr>
        <w:spacing w:after="0" w:line="173"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Section 6.05. Right of Revocation of Action Taken. At any time prior to (but not after) the evidencing to the Trustee, as provided in Section 6.01, of the taking of any action by the Holders of the percentage in aggregate principal amount of the Securities of any or all series, as the case may be, specified in this Indenture in connection with such action, any Holder of a Security the serial number of which is shown by the evidence to be included among the serial numbers of the Securities the Holders of which have consented to such action may, by filing written notice at the Corporate Trust Office and upon proof of holding as provided in this Article, revoke such action so far as concerns such Security. Except as aforesaid any such action taken by the Holder of any Security shall be conclusive and binding upon such Holder and upon all future Holders and owners of such Security and of any Securities issued in exchange or substitution therefor, irrespective of whether or not any notation in regard thereto is made upon any such Security. Any action taken by the Holders of the percentage in aggregate principal amount of the Securities of any or all series, as the case may be, specified in this Indenture in connection with such action shall be conclusively binding upon the Issuer, the Trustee and the Holders of all the Securities affected by such action.</w:t>
      </w:r>
    </w:p>
    <w:p>
      <w:pPr>
        <w:spacing w:after="0" w:line="336"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Article 7</w:t>
      </w:r>
    </w:p>
    <w:p>
      <w:pPr>
        <w:ind w:left="2540"/>
        <w:spacing w:after="0" w:line="237" w:lineRule="auto"/>
        <w:rPr>
          <w:sz w:val="20"/>
          <w:szCs w:val="20"/>
          <w:color w:val="auto"/>
        </w:rPr>
      </w:pPr>
      <w:r>
        <w:rPr>
          <w:rFonts w:ascii="Courier New" w:cs="Courier New" w:eastAsia="Courier New" w:hAnsi="Courier New"/>
          <w:sz w:val="15"/>
          <w:szCs w:val="15"/>
          <w:color w:val="auto"/>
        </w:rPr>
        <w:t>SUPPLEMENTAL INDENTURES</w:t>
      </w:r>
    </w:p>
    <w:p>
      <w:pPr>
        <w:spacing w:after="0" w:line="173"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Section 7.01. Supplemental Indentures Without Consent of Securityholders. The Issuer, when authorized by a resolution of its Board of Directors certified to the Trustee, and the Trustee may from time to time and at any time enter into an indenture or indentures supplemental hereto for one or more of the following purposes:</w:t>
      </w:r>
    </w:p>
    <w:p>
      <w:pPr>
        <w:spacing w:after="0" w:line="174" w:lineRule="exact"/>
        <w:rPr>
          <w:sz w:val="20"/>
          <w:szCs w:val="20"/>
          <w:color w:val="auto"/>
        </w:rPr>
      </w:pPr>
    </w:p>
    <w:p>
      <w:pPr>
        <w:ind w:right="3399" w:firstLine="447"/>
        <w:spacing w:after="0" w:line="258" w:lineRule="auto"/>
        <w:tabs>
          <w:tab w:leader="none" w:pos="787" w:val="left"/>
        </w:tabs>
        <w:numPr>
          <w:ilvl w:val="0"/>
          <w:numId w:val="1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evidence the succession of another corporation to the Issuer, or successive successions, and the assumption by the successor corporation of the covenants, agreements and obligations of the Issuer pursuant to Article 8;</w:t>
      </w:r>
    </w:p>
    <w:p>
      <w:pPr>
        <w:spacing w:after="0" w:line="161" w:lineRule="exact"/>
        <w:rPr>
          <w:rFonts w:ascii="Courier New" w:cs="Courier New" w:eastAsia="Courier New" w:hAnsi="Courier New"/>
          <w:sz w:val="14"/>
          <w:szCs w:val="14"/>
          <w:color w:val="auto"/>
        </w:rPr>
      </w:pPr>
    </w:p>
    <w:p>
      <w:pPr>
        <w:ind w:right="3239" w:firstLine="447"/>
        <w:spacing w:after="0" w:line="255" w:lineRule="auto"/>
        <w:tabs>
          <w:tab w:leader="none" w:pos="787" w:val="left"/>
        </w:tabs>
        <w:numPr>
          <w:ilvl w:val="0"/>
          <w:numId w:val="1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cure any ambiguity or to correct or supplement any provision contained herein or in any supplemental indenture which may be defective or inconsistent with any other provision contained herein or in any supplemental indenture; or to make such other provisions in regard to matters or questions arising under this Indenture or under any supplemental indenture as the Board of Directors may deem necessary or desirable and which shall not adversely affect the interests of the Holders of the Securities in any material respect;</w:t>
      </w:r>
    </w:p>
    <w:p>
      <w:pPr>
        <w:spacing w:after="0" w:line="32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47</w:t>
      </w:r>
    </w:p>
    <w:p>
      <w:pPr>
        <w:sectPr>
          <w:pgSz w:w="11900" w:h="16838" w:orient="portrait"/>
          <w:cols w:equalWidth="0" w:num="1">
            <w:col w:w="10239"/>
          </w:cols>
          <w:pgMar w:left="220" w:top="792" w:right="1440" w:bottom="1440" w:gutter="0" w:footer="0" w:header="0"/>
        </w:sectPr>
      </w:pPr>
    </w:p>
    <w:bookmarkStart w:id="195" w:name="page196"/>
    <w:bookmarkEnd w:id="195"/>
    <w:p>
      <w:pPr>
        <w:ind w:right="3239" w:firstLine="447"/>
        <w:spacing w:after="0" w:line="234" w:lineRule="auto"/>
        <w:tabs>
          <w:tab w:leader="none" w:pos="787" w:val="left"/>
        </w:tabs>
        <w:numPr>
          <w:ilvl w:val="0"/>
          <w:numId w:val="1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establish the form or terms of Securities of any series as permitted by Sections 2.01 and 2.03;</w:t>
      </w:r>
    </w:p>
    <w:p>
      <w:pPr>
        <w:spacing w:after="0" w:line="173" w:lineRule="exact"/>
        <w:rPr>
          <w:rFonts w:ascii="Courier New" w:cs="Courier New" w:eastAsia="Courier New" w:hAnsi="Courier New"/>
          <w:sz w:val="15"/>
          <w:szCs w:val="15"/>
          <w:color w:val="auto"/>
        </w:rPr>
      </w:pPr>
    </w:p>
    <w:p>
      <w:pPr>
        <w:ind w:right="3319" w:firstLine="447"/>
        <w:spacing w:after="0" w:line="256" w:lineRule="auto"/>
        <w:tabs>
          <w:tab w:leader="none" w:pos="787" w:val="left"/>
        </w:tabs>
        <w:numPr>
          <w:ilvl w:val="0"/>
          <w:numId w:val="1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evidence and provide for the acceptance of appointment hereunder by a successor trustee with respect to the Securities of one or more series and to add to or change any of the provisions of this Indenture as shall be necessary to provide for or facilitate the administration of the trusts hereunder by more than one trustee, pursuant to the requirements of Section 5.10;</w:t>
      </w:r>
    </w:p>
    <w:p>
      <w:pPr>
        <w:spacing w:after="0" w:line="163" w:lineRule="exact"/>
        <w:rPr>
          <w:rFonts w:ascii="Courier New" w:cs="Courier New" w:eastAsia="Courier New" w:hAnsi="Courier New"/>
          <w:sz w:val="14"/>
          <w:szCs w:val="14"/>
          <w:color w:val="auto"/>
        </w:rPr>
      </w:pPr>
    </w:p>
    <w:p>
      <w:pPr>
        <w:ind w:right="3499" w:firstLine="447"/>
        <w:spacing w:after="0" w:line="261" w:lineRule="auto"/>
        <w:tabs>
          <w:tab w:leader="none" w:pos="787" w:val="left"/>
        </w:tabs>
        <w:numPr>
          <w:ilvl w:val="0"/>
          <w:numId w:val="1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comply with any requirements of the Commission in connection with the qualification of this Indenture under the Trust Indenture Act of 1939;</w:t>
      </w:r>
    </w:p>
    <w:p>
      <w:pPr>
        <w:spacing w:after="0" w:line="159" w:lineRule="exact"/>
        <w:rPr>
          <w:rFonts w:ascii="Courier New" w:cs="Courier New" w:eastAsia="Courier New" w:hAnsi="Courier New"/>
          <w:sz w:val="14"/>
          <w:szCs w:val="14"/>
          <w:color w:val="auto"/>
        </w:rPr>
      </w:pPr>
    </w:p>
    <w:p>
      <w:pPr>
        <w:ind w:right="3499" w:firstLine="447"/>
        <w:spacing w:after="0" w:line="234" w:lineRule="auto"/>
        <w:tabs>
          <w:tab w:leader="none" w:pos="787" w:val="left"/>
        </w:tabs>
        <w:numPr>
          <w:ilvl w:val="0"/>
          <w:numId w:val="1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provide for uncertificated or Unregistered Securities and to make all appropriate changes for such purpose;</w:t>
      </w:r>
    </w:p>
    <w:p>
      <w:pPr>
        <w:spacing w:after="0" w:line="166" w:lineRule="exact"/>
        <w:rPr>
          <w:rFonts w:ascii="Courier New" w:cs="Courier New" w:eastAsia="Courier New" w:hAnsi="Courier New"/>
          <w:sz w:val="15"/>
          <w:szCs w:val="15"/>
          <w:color w:val="auto"/>
        </w:rPr>
      </w:pPr>
    </w:p>
    <w:p>
      <w:pPr>
        <w:ind w:left="800" w:hanging="353"/>
        <w:spacing w:after="0"/>
        <w:tabs>
          <w:tab w:leader="none" w:pos="800" w:val="left"/>
        </w:tabs>
        <w:numPr>
          <w:ilvl w:val="0"/>
          <w:numId w:val="1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make any change that does not adversely affect the rights of any</w:t>
      </w:r>
    </w:p>
    <w:p>
      <w:pPr>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Holder;</w:t>
      </w:r>
    </w:p>
    <w:p>
      <w:pPr>
        <w:spacing w:after="0" w:line="166" w:lineRule="exact"/>
        <w:rPr>
          <w:rFonts w:ascii="Courier New" w:cs="Courier New" w:eastAsia="Courier New" w:hAnsi="Courier New"/>
          <w:sz w:val="15"/>
          <w:szCs w:val="15"/>
          <w:color w:val="auto"/>
        </w:rPr>
      </w:pPr>
    </w:p>
    <w:p>
      <w:pPr>
        <w:ind w:left="800" w:hanging="353"/>
        <w:spacing w:after="0"/>
        <w:tabs>
          <w:tab w:leader="none" w:pos="800" w:val="left"/>
        </w:tabs>
        <w:numPr>
          <w:ilvl w:val="0"/>
          <w:numId w:val="1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provided by or pursuant to a Board Resolution or indenture</w:t>
      </w:r>
    </w:p>
    <w:p>
      <w:pPr>
        <w:spacing w:after="0" w:line="4"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4"/>
          <w:szCs w:val="14"/>
          <w:color w:val="auto"/>
        </w:rPr>
        <w:t>supplemental hereto establishing the terms of one or more series of Securities;</w:t>
      </w:r>
    </w:p>
    <w:p>
      <w:pPr>
        <w:spacing w:after="0" w:line="177" w:lineRule="exact"/>
        <w:rPr>
          <w:rFonts w:ascii="Courier New" w:cs="Courier New" w:eastAsia="Courier New" w:hAnsi="Courier New"/>
          <w:sz w:val="15"/>
          <w:szCs w:val="15"/>
          <w:color w:val="auto"/>
        </w:rPr>
      </w:pPr>
    </w:p>
    <w:p>
      <w:pPr>
        <w:ind w:right="3239" w:firstLine="447"/>
        <w:spacing w:after="0" w:line="255" w:lineRule="auto"/>
        <w:tabs>
          <w:tab w:leader="none" w:pos="787" w:val="left"/>
        </w:tabs>
        <w:numPr>
          <w:ilvl w:val="0"/>
          <w:numId w:val="1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add to the covenants of the Issuer such new covenants, restrictions, conditions or provisions as its Board of Directors shall consider to be for the protection of the Holders of Securities, and with respect to which the Trustee has received an Opinion of Counsel to a similar effect, and to make the occurrence, or the occurrence and continuance, of a default in any such additional covenants, restrictions, conditions or provisions an Event of Default; provided, that in respect of any such additional covenant, restriction, condition or provision such supplemental indenture may provide for a particular period of grace after default (which period may be shorter or longer than that allowed in the case of other defaults) or may provide for an immediate enforcement upon such an Event of Default or may limit the remedies available to the Trustee upon such an Event of Default or may limit the right of the Holders of a majority in aggregate principal amount of the Securities of such series to waive such an Event of Default; or</w:t>
      </w:r>
    </w:p>
    <w:p>
      <w:pPr>
        <w:spacing w:after="0" w:line="325" w:lineRule="exact"/>
        <w:rPr>
          <w:rFonts w:ascii="Courier New" w:cs="Courier New" w:eastAsia="Courier New" w:hAnsi="Courier New"/>
          <w:sz w:val="14"/>
          <w:szCs w:val="14"/>
          <w:color w:val="auto"/>
        </w:rPr>
      </w:pPr>
    </w:p>
    <w:p>
      <w:pPr>
        <w:ind w:left="800" w:hanging="353"/>
        <w:spacing w:after="0"/>
        <w:tabs>
          <w:tab w:leader="none" w:pos="800" w:val="left"/>
        </w:tabs>
        <w:numPr>
          <w:ilvl w:val="0"/>
          <w:numId w:val="1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make any change so long as no Securities are Outstanding.</w:t>
      </w:r>
    </w:p>
    <w:p>
      <w:pPr>
        <w:spacing w:after="0" w:line="173" w:lineRule="exact"/>
        <w:rPr>
          <w:sz w:val="20"/>
          <w:szCs w:val="20"/>
          <w:color w:val="auto"/>
        </w:rPr>
      </w:pPr>
    </w:p>
    <w:p>
      <w:pPr>
        <w:ind w:right="3399" w:firstLine="437"/>
        <w:spacing w:after="0" w:line="236" w:lineRule="auto"/>
        <w:rPr>
          <w:sz w:val="20"/>
          <w:szCs w:val="20"/>
          <w:color w:val="auto"/>
        </w:rPr>
      </w:pPr>
      <w:r>
        <w:rPr>
          <w:rFonts w:ascii="Courier New" w:cs="Courier New" w:eastAsia="Courier New" w:hAnsi="Courier New"/>
          <w:sz w:val="15"/>
          <w:szCs w:val="15"/>
          <w:color w:val="auto"/>
        </w:rPr>
        <w:t>The Trustee is hereby authorized to join with the Issuer in the execution of any such supplemental indenture, to make any further appropriate agreements and stipulations which may be therein contained and to accept the conveyance, transfer, assignment, mortgage or pledge of any property thereunder, but the Trustee shall not be obligated to enter into any such supplemental indenture which affects the Trustee's own rights, duties or immunities under this Indenture or otherwise.</w:t>
      </w:r>
    </w:p>
    <w:p>
      <w:pPr>
        <w:spacing w:after="0" w:line="33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48</w:t>
      </w:r>
    </w:p>
    <w:p>
      <w:pPr>
        <w:sectPr>
          <w:pgSz w:w="11900" w:h="16838" w:orient="portrait"/>
          <w:cols w:equalWidth="0" w:num="1">
            <w:col w:w="10239"/>
          </w:cols>
          <w:pgMar w:left="220" w:top="792" w:right="1440" w:bottom="1440" w:gutter="0" w:footer="0" w:header="0"/>
        </w:sectPr>
      </w:pPr>
    </w:p>
    <w:bookmarkStart w:id="196" w:name="page197"/>
    <w:bookmarkEnd w:id="196"/>
    <w:p>
      <w:pPr>
        <w:ind w:right="3239" w:firstLine="437"/>
        <w:spacing w:after="0" w:line="258" w:lineRule="auto"/>
        <w:rPr>
          <w:sz w:val="20"/>
          <w:szCs w:val="20"/>
          <w:color w:val="auto"/>
        </w:rPr>
      </w:pPr>
      <w:r>
        <w:rPr>
          <w:rFonts w:ascii="Courier New" w:cs="Courier New" w:eastAsia="Courier New" w:hAnsi="Courier New"/>
          <w:sz w:val="14"/>
          <w:szCs w:val="14"/>
          <w:color w:val="auto"/>
        </w:rPr>
        <w:t>Any supplemental indenture authorized by the provisions of this section may be executed without the consent of the Holders of any of the Securities at the time outstanding, notwithstanding any of the provisions of Section 7.02.</w:t>
      </w:r>
    </w:p>
    <w:p>
      <w:pPr>
        <w:spacing w:after="0" w:line="161"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Section 7.02. Supplemental Indentures With Consent of Securityholders. With the consent (evidenced as provided in Article 6) of the Holders of not less than a majority in aggregate principal amount of the Securities at the time Outstanding of all series affected by such supplemental indenture (voting as one class), the Issuer, when authorized by a resolution of its Board of Directors, and the Trustee may, from time to time and at any time, enter into an indenture or indentures supplemental hereto for the purpose of adding any provisions to or changing in any manner or eliminating any of the provisions of this Indenture or of any supplemental indenture or of modifying in any manner the rights of the Holders of the Securities of each such series; provided, that no such supplemental indenture shall without the consent of each Holder affected thereby:</w:t>
      </w:r>
    </w:p>
    <w:p>
      <w:pPr>
        <w:spacing w:after="0" w:line="173" w:lineRule="exact"/>
        <w:rPr>
          <w:sz w:val="20"/>
          <w:szCs w:val="20"/>
          <w:color w:val="auto"/>
        </w:rPr>
      </w:pPr>
    </w:p>
    <w:p>
      <w:pPr>
        <w:ind w:left="440" w:right="3319" w:firstLine="444"/>
        <w:spacing w:after="0" w:line="261" w:lineRule="auto"/>
        <w:tabs>
          <w:tab w:leader="none" w:pos="1227" w:val="left"/>
        </w:tabs>
        <w:numPr>
          <w:ilvl w:val="0"/>
          <w:numId w:val="1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change the stated maturity of the Principal of, or any sinking fund obligation or any installment of interest on, such Holder's Security;</w:t>
      </w:r>
    </w:p>
    <w:p>
      <w:pPr>
        <w:spacing w:after="0" w:line="159" w:lineRule="exact"/>
        <w:rPr>
          <w:rFonts w:ascii="Courier New" w:cs="Courier New" w:eastAsia="Courier New" w:hAnsi="Courier New"/>
          <w:sz w:val="14"/>
          <w:szCs w:val="14"/>
          <w:color w:val="auto"/>
        </w:rPr>
      </w:pPr>
    </w:p>
    <w:p>
      <w:pPr>
        <w:ind w:left="440" w:right="3319" w:firstLine="444"/>
        <w:spacing w:after="0" w:line="234" w:lineRule="auto"/>
        <w:tabs>
          <w:tab w:leader="none" w:pos="1315" w:val="left"/>
        </w:tabs>
        <w:numPr>
          <w:ilvl w:val="0"/>
          <w:numId w:val="1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reduce the Principal thereof or the rate of interest thereon, or any premium payable with respect thereto;</w:t>
      </w:r>
    </w:p>
    <w:p>
      <w:pPr>
        <w:spacing w:after="0" w:line="173" w:lineRule="exact"/>
        <w:rPr>
          <w:rFonts w:ascii="Courier New" w:cs="Courier New" w:eastAsia="Courier New" w:hAnsi="Courier New"/>
          <w:sz w:val="15"/>
          <w:szCs w:val="15"/>
          <w:color w:val="auto"/>
        </w:rPr>
      </w:pPr>
    </w:p>
    <w:p>
      <w:pPr>
        <w:ind w:left="440" w:right="3239" w:firstLine="444"/>
        <w:spacing w:after="0" w:line="234" w:lineRule="auto"/>
        <w:tabs>
          <w:tab w:leader="none" w:pos="1402" w:val="left"/>
        </w:tabs>
        <w:numPr>
          <w:ilvl w:val="0"/>
          <w:numId w:val="1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 any place of payment where, or the currency in which, any Security or any premium or the interest thereon is payable;</w:t>
      </w:r>
    </w:p>
    <w:p>
      <w:pPr>
        <w:spacing w:after="0" w:line="173" w:lineRule="exact"/>
        <w:rPr>
          <w:rFonts w:ascii="Courier New" w:cs="Courier New" w:eastAsia="Courier New" w:hAnsi="Courier New"/>
          <w:sz w:val="15"/>
          <w:szCs w:val="15"/>
          <w:color w:val="auto"/>
        </w:rPr>
      </w:pPr>
    </w:p>
    <w:p>
      <w:pPr>
        <w:ind w:left="440" w:right="3579" w:firstLine="444"/>
        <w:spacing w:after="0" w:line="234" w:lineRule="auto"/>
        <w:tabs>
          <w:tab w:leader="none" w:pos="1315" w:val="left"/>
        </w:tabs>
        <w:numPr>
          <w:ilvl w:val="0"/>
          <w:numId w:val="1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 the provisions for calculating the optional redemption price, including the definitions relating thereto;</w:t>
      </w:r>
    </w:p>
    <w:p>
      <w:pPr>
        <w:spacing w:after="0" w:line="173" w:lineRule="exact"/>
        <w:rPr>
          <w:rFonts w:ascii="Courier New" w:cs="Courier New" w:eastAsia="Courier New" w:hAnsi="Courier New"/>
          <w:sz w:val="15"/>
          <w:szCs w:val="15"/>
          <w:color w:val="auto"/>
        </w:rPr>
      </w:pPr>
    </w:p>
    <w:p>
      <w:pPr>
        <w:ind w:left="440" w:right="3399" w:firstLine="444"/>
        <w:spacing w:after="0" w:line="234" w:lineRule="auto"/>
        <w:tabs>
          <w:tab w:leader="none" w:pos="1227" w:val="left"/>
        </w:tabs>
        <w:numPr>
          <w:ilvl w:val="0"/>
          <w:numId w:val="1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make any change to Section 4.07 or 4.10 (except to include other provisions subject to Section 4.10);</w:t>
      </w:r>
    </w:p>
    <w:p>
      <w:pPr>
        <w:spacing w:after="0" w:line="173" w:lineRule="exact"/>
        <w:rPr>
          <w:rFonts w:ascii="Courier New" w:cs="Courier New" w:eastAsia="Courier New" w:hAnsi="Courier New"/>
          <w:sz w:val="15"/>
          <w:szCs w:val="15"/>
          <w:color w:val="auto"/>
        </w:rPr>
      </w:pPr>
    </w:p>
    <w:p>
      <w:pPr>
        <w:ind w:left="440" w:right="3319" w:firstLine="444"/>
        <w:spacing w:after="0" w:line="236" w:lineRule="auto"/>
        <w:tabs>
          <w:tab w:leader="none" w:pos="1315" w:val="left"/>
        </w:tabs>
        <w:numPr>
          <w:ilvl w:val="0"/>
          <w:numId w:val="1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reduce the percentage in principal amount of outstanding Securities of the relevant series the consent of whose Holders is required for any such supplemental indenture, for any waiver of compliance with any provisions of this Indenture or any defaults and their consequences provided for in this Indenture;</w:t>
      </w:r>
    </w:p>
    <w:p>
      <w:pPr>
        <w:spacing w:after="0" w:line="173" w:lineRule="exact"/>
        <w:rPr>
          <w:rFonts w:ascii="Courier New" w:cs="Courier New" w:eastAsia="Courier New" w:hAnsi="Courier New"/>
          <w:sz w:val="15"/>
          <w:szCs w:val="15"/>
          <w:color w:val="auto"/>
        </w:rPr>
      </w:pPr>
    </w:p>
    <w:p>
      <w:pPr>
        <w:ind w:left="440" w:right="3499" w:firstLine="444"/>
        <w:spacing w:after="0" w:line="234" w:lineRule="auto"/>
        <w:tabs>
          <w:tab w:leader="none" w:pos="1402" w:val="left"/>
        </w:tabs>
        <w:numPr>
          <w:ilvl w:val="0"/>
          <w:numId w:val="1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alter or impair the right to convert any Security at the rate and upon the terms provided in Article 13;</w:t>
      </w:r>
    </w:p>
    <w:p>
      <w:pPr>
        <w:spacing w:after="0" w:line="173" w:lineRule="exact"/>
        <w:rPr>
          <w:rFonts w:ascii="Courier New" w:cs="Courier New" w:eastAsia="Courier New" w:hAnsi="Courier New"/>
          <w:sz w:val="15"/>
          <w:szCs w:val="15"/>
          <w:color w:val="auto"/>
        </w:rPr>
      </w:pPr>
    </w:p>
    <w:p>
      <w:pPr>
        <w:ind w:left="440" w:right="3399" w:firstLine="444"/>
        <w:spacing w:after="0" w:line="235" w:lineRule="auto"/>
        <w:tabs>
          <w:tab w:leader="none" w:pos="1490" w:val="left"/>
        </w:tabs>
        <w:numPr>
          <w:ilvl w:val="0"/>
          <w:numId w:val="1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waive a default in the payment of Principal of or interest on any Security of such Holder (except pursuant to a rescission of acceleration pursuant to Section 4.01);</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49</w:t>
      </w:r>
    </w:p>
    <w:p>
      <w:pPr>
        <w:sectPr>
          <w:pgSz w:w="11900" w:h="16838" w:orient="portrait"/>
          <w:cols w:equalWidth="0" w:num="1">
            <w:col w:w="10239"/>
          </w:cols>
          <w:pgMar w:left="220" w:top="792" w:right="1440" w:bottom="1440" w:gutter="0" w:footer="0" w:header="0"/>
        </w:sectPr>
      </w:pPr>
    </w:p>
    <w:bookmarkStart w:id="197" w:name="page198"/>
    <w:bookmarkEnd w:id="197"/>
    <w:p>
      <w:pPr>
        <w:ind w:left="440" w:right="3239" w:firstLine="444"/>
        <w:spacing w:after="0" w:line="235" w:lineRule="auto"/>
        <w:tabs>
          <w:tab w:leader="none" w:pos="1315" w:val="left"/>
        </w:tabs>
        <w:numPr>
          <w:ilvl w:val="0"/>
          <w:numId w:val="1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adversely affect the rights of such Holder under any mandatory redemption or repurchase provision or any right of redemption or repurchase at the option of such Holder;</w:t>
      </w:r>
    </w:p>
    <w:p>
      <w:pPr>
        <w:spacing w:after="0" w:line="173" w:lineRule="exact"/>
        <w:rPr>
          <w:rFonts w:ascii="Courier New" w:cs="Courier New" w:eastAsia="Courier New" w:hAnsi="Courier New"/>
          <w:sz w:val="15"/>
          <w:szCs w:val="15"/>
          <w:color w:val="auto"/>
        </w:rPr>
      </w:pPr>
    </w:p>
    <w:p>
      <w:pPr>
        <w:ind w:left="440" w:right="3239" w:firstLine="444"/>
        <w:spacing w:after="0" w:line="235" w:lineRule="auto"/>
        <w:tabs>
          <w:tab w:leader="none" w:pos="1227" w:val="left"/>
        </w:tabs>
        <w:numPr>
          <w:ilvl w:val="0"/>
          <w:numId w:val="1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modify any of the provisions of this Section 7.02, except to increase any such percentage or to provide that certain other provisions of this Indenture cannot be modified or waived without the consent of the Holder of each outstanding Security affected thereby; or</w:t>
      </w:r>
    </w:p>
    <w:p>
      <w:pPr>
        <w:spacing w:after="0" w:line="175" w:lineRule="exact"/>
        <w:rPr>
          <w:rFonts w:ascii="Courier New" w:cs="Courier New" w:eastAsia="Courier New" w:hAnsi="Courier New"/>
          <w:sz w:val="15"/>
          <w:szCs w:val="15"/>
          <w:color w:val="auto"/>
        </w:rPr>
      </w:pPr>
    </w:p>
    <w:p>
      <w:pPr>
        <w:ind w:left="440" w:right="3399" w:firstLine="444"/>
        <w:spacing w:after="0" w:line="258" w:lineRule="auto"/>
        <w:tabs>
          <w:tab w:leader="none" w:pos="1315" w:val="left"/>
        </w:tabs>
        <w:numPr>
          <w:ilvl w:val="0"/>
          <w:numId w:val="1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change or waive any provision that, pursuant to a board resolution or indenture supplemental hereto establishing the terms of one or more series of Securities, is prohibited to be so changed or waived.</w:t>
      </w:r>
    </w:p>
    <w:p>
      <w:pPr>
        <w:spacing w:after="0" w:line="161"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Upon the written request of the Issuer, accompanied by a copy of a resolution of the Board of Directors certified by the secretary or an assistant secretary of the Issuer authorizing the execution of any such supplemental indenture, and upon the filing with the Trustee of evidence of the consent of Securityholders as aforesaid and other documents, if any, required by Section 6.01, the Trustee shall join with the Issuer in the execution of such supplemental indenture unless such supplemental indenture affects the Trustee's own rights, duties or immunities under this Indenture or otherwise, in which case the Trustee may in its discretion, but shall not be obligated to, enter into such supplemental indenture.</w:t>
      </w:r>
    </w:p>
    <w:p>
      <w:pPr>
        <w:spacing w:after="0" w:line="179" w:lineRule="exact"/>
        <w:rPr>
          <w:sz w:val="20"/>
          <w:szCs w:val="20"/>
          <w:color w:val="auto"/>
        </w:rPr>
      </w:pPr>
    </w:p>
    <w:p>
      <w:pPr>
        <w:ind w:right="3239" w:firstLine="437"/>
        <w:spacing w:after="0" w:line="258" w:lineRule="auto"/>
        <w:rPr>
          <w:sz w:val="20"/>
          <w:szCs w:val="20"/>
          <w:color w:val="auto"/>
        </w:rPr>
      </w:pPr>
      <w:r>
        <w:rPr>
          <w:rFonts w:ascii="Courier New" w:cs="Courier New" w:eastAsia="Courier New" w:hAnsi="Courier New"/>
          <w:sz w:val="14"/>
          <w:szCs w:val="14"/>
          <w:color w:val="auto"/>
        </w:rPr>
        <w:t>It shall not be necessary for the consent of the Securityholders under this section to approve the particular form of any proposed supplemental indenture, but it shall be sufficient if such consent shall approve the substance thereof.</w:t>
      </w:r>
    </w:p>
    <w:p>
      <w:pPr>
        <w:spacing w:after="0" w:line="161"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Promptly after the execution by the Issuer and the Trustee of any supplemental indenture pursuant to the provisions of this Section, the Issuer shall mail a notice thereof by first class mail to the Holders of Securities of each series affected thereby at their addresses as they shall appear on the registry books of the Issuer, setting forth in general terms the substance of such supplemental indenture. Any failure of the Issuer to mail such notice, or any defect therein, shall not, however, in any way impair or affect the validity of any such supplemental indenture.</w:t>
      </w:r>
    </w:p>
    <w:p>
      <w:pPr>
        <w:spacing w:after="0" w:line="177"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Section 7.03. Effect of Supplemental Indenture. Upon the execution of any supplemental indenture pursuant to the provisions hereof, this Indenture shall be and be deemed to be modified and amended in accordance therewith and the respective rights, limitations of rights, obligations, duties and immunities under this Indenture of the Trustee, the Issuer and the Holders of Securities of each series affected thereby shall thereafter be determined, exercised and enforced hereunder subject in all respects to such modifications and amendments, and all the terms and conditions of any such supplemental indenture shall be and be</w:t>
      </w:r>
    </w:p>
    <w:p>
      <w:pPr>
        <w:spacing w:after="0" w:line="34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50</w:t>
      </w:r>
    </w:p>
    <w:p>
      <w:pPr>
        <w:sectPr>
          <w:pgSz w:w="11900" w:h="16838" w:orient="portrait"/>
          <w:cols w:equalWidth="0" w:num="1">
            <w:col w:w="10239"/>
          </w:cols>
          <w:pgMar w:left="220" w:top="792" w:right="1440" w:bottom="1440" w:gutter="0" w:footer="0" w:header="0"/>
        </w:sectPr>
      </w:pPr>
    </w:p>
    <w:bookmarkStart w:id="198" w:name="page199"/>
    <w:bookmarkEnd w:id="198"/>
    <w:p>
      <w:pPr>
        <w:ind w:right="3679"/>
        <w:spacing w:after="0" w:line="234" w:lineRule="auto"/>
        <w:rPr>
          <w:sz w:val="20"/>
          <w:szCs w:val="20"/>
          <w:color w:val="auto"/>
        </w:rPr>
      </w:pPr>
      <w:r>
        <w:rPr>
          <w:rFonts w:ascii="Courier New" w:cs="Courier New" w:eastAsia="Courier New" w:hAnsi="Courier New"/>
          <w:sz w:val="15"/>
          <w:szCs w:val="15"/>
          <w:color w:val="auto"/>
        </w:rPr>
        <w:t>deemed to be part of the terms and conditions of this Indenture for any and all purposes.</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Section 7.04. Documents to Be Given to Trustee. The Trustee, subject to the provisions of Sections 5.01 and 5.02, may receive an Officers' Certificate and an Opinion of Counsel as conclusive evidence that any supplemental indenture executed pursuant to this Article 7 complies with the applicable provisions of this Indenture.</w:t>
      </w:r>
    </w:p>
    <w:p>
      <w:pPr>
        <w:spacing w:after="0" w:line="174"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Section 7.05. Notation on Securities in Respect of Supplemental Indentures. Securities of any series authenticated and delivered after the execution of any supplemental indenture pursuant to the provisions of this Article may bear a notation in form approved by the Trustee for such series as to any matter provided for by such supplemental indenture or as to any action taken at any such meeting. If the Issuer or the Trustee shall so determine, new Securities of any series so modified as to conform, in the opinion of the Trustee and the Board of Directors, to any modification of this Indenture contained in any such supplemental indenture may be prepared by the Issuer, authenticated by the Trustee and delivered in exchange for the Securities of such series then outstanding.</w:t>
      </w:r>
    </w:p>
    <w:p>
      <w:pPr>
        <w:spacing w:after="0" w:line="342"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Article 8</w:t>
      </w:r>
    </w:p>
    <w:p>
      <w:pPr>
        <w:ind w:left="1760"/>
        <w:spacing w:after="0" w:line="237" w:lineRule="auto"/>
        <w:rPr>
          <w:sz w:val="20"/>
          <w:szCs w:val="20"/>
          <w:color w:val="auto"/>
        </w:rPr>
      </w:pPr>
      <w:r>
        <w:rPr>
          <w:rFonts w:ascii="Courier New" w:cs="Courier New" w:eastAsia="Courier New" w:hAnsi="Courier New"/>
          <w:sz w:val="15"/>
          <w:szCs w:val="15"/>
          <w:color w:val="auto"/>
        </w:rPr>
        <w:t>CONSOLIDATION, MERGER, SALE OR CONVEYANCE</w:t>
      </w:r>
    </w:p>
    <w:p>
      <w:pPr>
        <w:spacing w:after="0" w:line="173" w:lineRule="exact"/>
        <w:rPr>
          <w:sz w:val="20"/>
          <w:szCs w:val="20"/>
          <w:color w:val="auto"/>
        </w:rPr>
      </w:pPr>
    </w:p>
    <w:p>
      <w:pPr>
        <w:ind w:right="3319" w:firstLine="437"/>
        <w:spacing w:after="0" w:line="254" w:lineRule="auto"/>
        <w:rPr>
          <w:sz w:val="20"/>
          <w:szCs w:val="20"/>
          <w:color w:val="auto"/>
        </w:rPr>
      </w:pPr>
      <w:r>
        <w:rPr>
          <w:rFonts w:ascii="Courier New" w:cs="Courier New" w:eastAsia="Courier New" w:hAnsi="Courier New"/>
          <w:sz w:val="14"/>
          <w:szCs w:val="14"/>
          <w:color w:val="auto"/>
        </w:rPr>
        <w:t>Section 8.01. Issuer May Consolidate, etc., on Certain Terms. The Issuer covenants that it will not merge or consolidate with any other Person or sell, convey, transfer, lease or otherwise dispose of all or substantially all of its property and assets to any Person (other than a consolidation with or merger with or into or a sale, conveyance, transfer, lease or other disposition to a Wholly-Owned Subsidiary with a positive net worth; provided that, in connection with any such merger of the Issuer with a Wholly-Owned Subsidiary, no consideration (other than common stock) in the surviving person or the Issuer shall be issued or distributed to the stockholders of the Issuer), unless (i) either (x) the Issuer shall be the continuing corporation, or the successor corporation or (y) the Person formed by such consolidation or into which the Issuer is merged or that acquires by sale or conveyance substantially all the assets of the Issuer (if other than the Issuer) shall be a corporation or limited liability company organized and validly existing under the laws of the United States of America or any jurisdiction thereof and shall expressly assume the due and punctual payment of the principal of and interest on all the Securities, according to their tenor, and the due and punctual performance and observance of all of the covenants and conditions of this Indenture to be performed or observed by the Issuer, by supplemental indenture satisfactory to the Trustee, executed and delivered to the Trustee by such Person, (ii) immediately after giving effect to such transaction, no default or Event of</w:t>
      </w:r>
    </w:p>
    <w:p>
      <w:pPr>
        <w:spacing w:after="0" w:line="33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51</w:t>
      </w:r>
    </w:p>
    <w:p>
      <w:pPr>
        <w:sectPr>
          <w:pgSz w:w="11900" w:h="16838" w:orient="portrait"/>
          <w:cols w:equalWidth="0" w:num="1">
            <w:col w:w="10239"/>
          </w:cols>
          <w:pgMar w:left="220" w:top="792" w:right="1440" w:bottom="1440" w:gutter="0" w:footer="0" w:header="0"/>
        </w:sectPr>
      </w:pPr>
    </w:p>
    <w:bookmarkStart w:id="199" w:name="page200"/>
    <w:bookmarkEnd w:id="199"/>
    <w:p>
      <w:pPr>
        <w:ind w:right="3239"/>
        <w:spacing w:after="0" w:line="236" w:lineRule="auto"/>
        <w:rPr>
          <w:sz w:val="20"/>
          <w:szCs w:val="20"/>
          <w:color w:val="auto"/>
        </w:rPr>
      </w:pPr>
      <w:r>
        <w:rPr>
          <w:rFonts w:ascii="Courier New" w:cs="Courier New" w:eastAsia="Courier New" w:hAnsi="Courier New"/>
          <w:sz w:val="15"/>
          <w:szCs w:val="15"/>
          <w:color w:val="auto"/>
        </w:rPr>
        <w:t>Default shall have occurred and be continuing and (iii) the Issuer delivers to the Trustee an Officers' Certificate and Opinion of Counsel, in each case stating that such consolidation, merger or transfer and such supplemental indenture complies with this Section 8.01 and that all conditions precedent provided for herein relating to such transaction have been complied with; provided, however, that the foregoing limitations shall not apply if, in the good faith determination of the Board of Directors, whose determination shall be evidenced by a board resolution certified to the Trustee, the principal purpose of such transaction is to change the state of incorporation of the Issuer; and provided further that any such transaction shall not have as one of its purposes the evasion of the foregoing limitations.</w:t>
      </w:r>
    </w:p>
    <w:p>
      <w:pPr>
        <w:spacing w:after="0" w:line="180"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Section 8.02. Successor Corporation Substituted. In case of any such consolidation, merger, sale, conveyance, transfer, lease or other disposition, and following such an assumption by the successor Person, such successor Person shall succeed to and be substituted for the Issuer, with the same effect as if it had been named herein. Such successor Person may cause to be signed, and may issue either in its own name or in the name of the Issuer prior to such succession any or all of the Securities issuable hereunder which theretofore shall not have been signed by the Issuer and delivered to the Trustee; and, upon the order of such successor Person instead of the Issuer and subject to all the terms, conditions and limitations in this Indenture prescribed, the Trustee, pursuant to the terms hereof, shall authenticate and shall deliver any Securities which previously shall have been signed and delivered by the officers of the Issuer to the Trustee for authentication, and any Securities which such successor Person thereafter shall cause to be signed and delivered to the Trustee for that purpose. All of the Securities so issued shall in all respects have the same legal rank and benefit under this Indenture as the Securities theretofore or thereafter issued in accordance with the terms of this Indenture as though all of such Securities had been issued at the date of the execution hereof.</w:t>
      </w:r>
    </w:p>
    <w:p>
      <w:pPr>
        <w:spacing w:after="0" w:line="176"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In case of any such consolidation, merger, sale, conveyance transfer, lease or other disposition, such changes in phraseology and form (but not in substance) may be made in the Securities thereafter to be issued as may be appropriate.</w:t>
      </w:r>
    </w:p>
    <w:p>
      <w:pPr>
        <w:spacing w:after="0" w:line="175" w:lineRule="exact"/>
        <w:rPr>
          <w:sz w:val="20"/>
          <w:szCs w:val="20"/>
          <w:color w:val="auto"/>
        </w:rPr>
      </w:pPr>
    </w:p>
    <w:p>
      <w:pPr>
        <w:jc w:val="both"/>
        <w:ind w:right="3239" w:firstLine="437"/>
        <w:spacing w:after="0" w:line="235" w:lineRule="auto"/>
        <w:rPr>
          <w:sz w:val="20"/>
          <w:szCs w:val="20"/>
          <w:color w:val="auto"/>
        </w:rPr>
      </w:pPr>
      <w:r>
        <w:rPr>
          <w:rFonts w:ascii="Courier New" w:cs="Courier New" w:eastAsia="Courier New" w:hAnsi="Courier New"/>
          <w:sz w:val="15"/>
          <w:szCs w:val="15"/>
          <w:color w:val="auto"/>
        </w:rPr>
        <w:t>Upon the assumption by the successor Person in the manner described in this Article, the Issuer shall be discharged from all obligations and covenants under this Indenture and the Securities.</w:t>
      </w:r>
    </w:p>
    <w:p>
      <w:pPr>
        <w:spacing w:after="0" w:line="335"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Article 9</w:t>
      </w:r>
    </w:p>
    <w:p>
      <w:pPr>
        <w:ind w:left="2540"/>
        <w:spacing w:after="0" w:line="237" w:lineRule="auto"/>
        <w:rPr>
          <w:sz w:val="20"/>
          <w:szCs w:val="20"/>
          <w:color w:val="auto"/>
        </w:rPr>
      </w:pPr>
      <w:r>
        <w:rPr>
          <w:rFonts w:ascii="Courier New" w:cs="Courier New" w:eastAsia="Courier New" w:hAnsi="Courier New"/>
          <w:sz w:val="15"/>
          <w:szCs w:val="15"/>
          <w:color w:val="auto"/>
        </w:rPr>
        <w:t>DISCHARGE OF INDENTURE</w:t>
      </w:r>
    </w:p>
    <w:p>
      <w:pPr>
        <w:spacing w:after="0" w:line="173" w:lineRule="exact"/>
        <w:rPr>
          <w:sz w:val="20"/>
          <w:szCs w:val="20"/>
          <w:color w:val="auto"/>
        </w:rPr>
      </w:pPr>
    </w:p>
    <w:p>
      <w:pPr>
        <w:ind w:right="3319" w:firstLine="437"/>
        <w:spacing w:after="0" w:line="258" w:lineRule="auto"/>
        <w:rPr>
          <w:sz w:val="20"/>
          <w:szCs w:val="20"/>
          <w:color w:val="auto"/>
        </w:rPr>
      </w:pPr>
      <w:r>
        <w:rPr>
          <w:rFonts w:ascii="Courier New" w:cs="Courier New" w:eastAsia="Courier New" w:hAnsi="Courier New"/>
          <w:sz w:val="14"/>
          <w:szCs w:val="14"/>
          <w:color w:val="auto"/>
        </w:rPr>
        <w:t>Section 9.01. Defeasance Within One Year of Payment. Except as otherwise provided in this Section 9.01, the Issuer may terminate its obligations and the obligations of the Cable Guarantors under the Securities of any series, the</w:t>
      </w:r>
    </w:p>
    <w:p>
      <w:pPr>
        <w:spacing w:after="0" w:line="32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52</w:t>
      </w:r>
    </w:p>
    <w:p>
      <w:pPr>
        <w:sectPr>
          <w:pgSz w:w="11900" w:h="16838" w:orient="portrait"/>
          <w:cols w:equalWidth="0" w:num="1">
            <w:col w:w="10239"/>
          </w:cols>
          <w:pgMar w:left="220" w:top="792" w:right="1440" w:bottom="1440" w:gutter="0" w:footer="0" w:header="0"/>
        </w:sectPr>
      </w:pPr>
    </w:p>
    <w:bookmarkStart w:id="200" w:name="page201"/>
    <w:bookmarkEnd w:id="200"/>
    <w:p>
      <w:pPr>
        <w:ind w:right="3499"/>
        <w:spacing w:after="0" w:line="234" w:lineRule="auto"/>
        <w:rPr>
          <w:sz w:val="20"/>
          <w:szCs w:val="20"/>
          <w:color w:val="auto"/>
        </w:rPr>
      </w:pPr>
      <w:r>
        <w:rPr>
          <w:rFonts w:ascii="Courier New" w:cs="Courier New" w:eastAsia="Courier New" w:hAnsi="Courier New"/>
          <w:sz w:val="15"/>
          <w:szCs w:val="15"/>
          <w:color w:val="auto"/>
        </w:rPr>
        <w:t>Cable Guarantees with respect to Securities of such series and this Indenture with respect to Securities of such series if:</w:t>
      </w:r>
    </w:p>
    <w:p>
      <w:pPr>
        <w:spacing w:after="0" w:line="173" w:lineRule="exact"/>
        <w:rPr>
          <w:sz w:val="20"/>
          <w:szCs w:val="20"/>
          <w:color w:val="auto"/>
        </w:rPr>
      </w:pPr>
    </w:p>
    <w:p>
      <w:pPr>
        <w:ind w:left="440" w:right="3319" w:firstLine="444"/>
        <w:spacing w:after="0" w:line="236" w:lineRule="auto"/>
        <w:tabs>
          <w:tab w:leader="none" w:pos="1227" w:val="left"/>
        </w:tabs>
        <w:numPr>
          <w:ilvl w:val="0"/>
          <w:numId w:val="1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Securities of such series previously authenticated and delivered (other than destroyed, lost or wrongfully taken Securities of such series that have been replaced or Securities of such series that are paid pursuant to Section 3.01 or Securities of such series for whose payment money or securities have theretofore been held in trust and thereafter repaid to the Issuer, as provided in Section 9.05) have been delivered to the Trustee for cancellation and the Issuer has paid all sums payable by it hereunder; or</w:t>
      </w:r>
    </w:p>
    <w:p>
      <w:pPr>
        <w:spacing w:after="0" w:line="177" w:lineRule="exact"/>
        <w:rPr>
          <w:rFonts w:ascii="Courier New" w:cs="Courier New" w:eastAsia="Courier New" w:hAnsi="Courier New"/>
          <w:sz w:val="15"/>
          <w:szCs w:val="15"/>
          <w:color w:val="auto"/>
        </w:rPr>
      </w:pPr>
    </w:p>
    <w:p>
      <w:pPr>
        <w:ind w:left="440" w:right="3239" w:firstLine="444"/>
        <w:spacing w:after="0" w:line="254" w:lineRule="auto"/>
        <w:tabs>
          <w:tab w:leader="none" w:pos="1315" w:val="left"/>
        </w:tabs>
        <w:numPr>
          <w:ilvl w:val="0"/>
          <w:numId w:val="1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Bookmark not defined. the Securities of such series mature within one year or all of them are to be called for redemption within one year under arrangements satisfactory to the Trustee for giving the notice of redemption, Error! Bookmark not defined. the Issuer irrevocably deposits in trust with the Trustee, as trust funds solely for the benefit of the Holders of such Securities for that purpose, money or U.S. Government Obligations or a combination thereof sufficient (unless such funds consist solely of money, in the opinion of a nationally recognized firm of independent public accountants expressed in a written certification thereof delivered to the Trustee), without consideration of any reinvestment and after payment of all Federal, state and local taxes or other charges and assessments in respect thereof payable by the Trustee, to pay Principal of and interest on the Securities of such series to maturity or redemption, as the case may be, and to pay all other sums payable by it hereunder, and Error! Bookmark not defined. the Issuer delivers to the Trustee an Officers' Certificate and an Opinion of Counsel, in each case stating that all conditions precedent provided for herein relating to the satisfaction and discharge of this Indenture with respect to the Securities of such series have been complied with.</w:t>
      </w:r>
    </w:p>
    <w:p>
      <w:pPr>
        <w:spacing w:after="0" w:line="343"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With respect to the foregoing clause (i), only the Issuer's obligations under Sections 5.06 and 9.05 in respect of the Securities of such series shall survive. With respect to the foregoing clause (ii), only the Issuer's obligations in Sections 2.03 through 2.11, 3.02, 5.06, 5.09 and 9.05 in respect of the Securities of such series shall survive until such Securities of such series are no longer outstanding. Thereafter, only the Issuer's obligations in Sections 5.06 and 9.05 in respect of the Securities of such series shall survive. After any such irrevocable deposit, the Trustee shall acknowledge in writing the discharge of the Issuer's obligations under the Securities of such series and this Indenture with respect to the Securities of such series except for those surviving obligations specified above.</w:t>
      </w:r>
    </w:p>
    <w:p>
      <w:pPr>
        <w:spacing w:after="0" w:line="180"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Section 9.02. Defeasance. Except as provided below, the Issuer will be deemed to have paid and will be discharged from any and all obligations in respect of the Securities of any series and the provisions of this Indenture and the</w:t>
      </w:r>
    </w:p>
    <w:p>
      <w:pPr>
        <w:spacing w:after="0" w:line="33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53</w:t>
      </w:r>
    </w:p>
    <w:p>
      <w:pPr>
        <w:sectPr>
          <w:pgSz w:w="11900" w:h="16838" w:orient="portrait"/>
          <w:cols w:equalWidth="0" w:num="1">
            <w:col w:w="10239"/>
          </w:cols>
          <w:pgMar w:left="220" w:top="792" w:right="1440" w:bottom="1440" w:gutter="0" w:footer="0" w:header="0"/>
        </w:sectPr>
      </w:pPr>
    </w:p>
    <w:bookmarkStart w:id="201" w:name="page202"/>
    <w:bookmarkEnd w:id="201"/>
    <w:p>
      <w:pPr>
        <w:ind w:right="3319"/>
        <w:spacing w:after="0" w:line="236" w:lineRule="auto"/>
        <w:rPr>
          <w:sz w:val="20"/>
          <w:szCs w:val="20"/>
          <w:color w:val="auto"/>
        </w:rPr>
      </w:pPr>
      <w:r>
        <w:rPr>
          <w:rFonts w:ascii="Courier New" w:cs="Courier New" w:eastAsia="Courier New" w:hAnsi="Courier New"/>
          <w:sz w:val="15"/>
          <w:szCs w:val="15"/>
          <w:color w:val="auto"/>
        </w:rPr>
        <w:t>Cable Guarantees will no longer be in effect with respect to the Securities of such series (and the Trustee, at the expense of the Issuer, shall execute instruments in form and substance satisfactory to the Issuer and the Trustee acknowledging the same); provided that the following conditions shall have been satisfied:</w:t>
      </w:r>
    </w:p>
    <w:p>
      <w:pPr>
        <w:spacing w:after="0" w:line="174" w:lineRule="exact"/>
        <w:rPr>
          <w:sz w:val="20"/>
          <w:szCs w:val="20"/>
          <w:color w:val="auto"/>
        </w:rPr>
      </w:pPr>
    </w:p>
    <w:p>
      <w:pPr>
        <w:ind w:left="440" w:right="3239" w:firstLine="444"/>
        <w:spacing w:after="0" w:line="255" w:lineRule="auto"/>
        <w:tabs>
          <w:tab w:leader="none" w:pos="1227" w:val="left"/>
        </w:tabs>
        <w:numPr>
          <w:ilvl w:val="0"/>
          <w:numId w:val="1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Issuer has irrevocably deposited in trust with the Trustee as trust funds specifically pledged as security for, and dedicated solely to, Holders of the Securities of such series, for payment of the Principal of and interest on the Securities of such series, money or U.S. Government Obligations or a combination thereof sufficient (unless such funds consist solely of money, in the opinion of a nationally recognized firm of independent public accountants expressed in a written certification thereof delivered to the Trustee) without consideration of any reinvestment and after payment of all Federal, state and local taxes or other charges and assessments in respect thereof payable by the Trustee, to pay and discharge the Principal of and accrued interest on the outstanding Securities of such series to maturity or earlier redemption (irrevocably provided for under arrangements satisfactory to the Trustee), as the case may be;</w:t>
      </w:r>
    </w:p>
    <w:p>
      <w:pPr>
        <w:spacing w:after="0" w:line="164" w:lineRule="exact"/>
        <w:rPr>
          <w:rFonts w:ascii="Courier New" w:cs="Courier New" w:eastAsia="Courier New" w:hAnsi="Courier New"/>
          <w:sz w:val="14"/>
          <w:szCs w:val="14"/>
          <w:color w:val="auto"/>
        </w:rPr>
      </w:pPr>
    </w:p>
    <w:p>
      <w:pPr>
        <w:ind w:left="440" w:right="3239" w:firstLine="444"/>
        <w:spacing w:after="0" w:line="235" w:lineRule="auto"/>
        <w:tabs>
          <w:tab w:leader="none" w:pos="1315" w:val="left"/>
        </w:tabs>
        <w:numPr>
          <w:ilvl w:val="0"/>
          <w:numId w:val="1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deposit will not result in a breach or violation of, or constitute a default under, this Indenture, the Cable Guarantees or any other material agreement or instrument to which the Issuer is a party or by which it is bound;</w:t>
      </w:r>
    </w:p>
    <w:p>
      <w:pPr>
        <w:spacing w:after="0" w:line="175" w:lineRule="exact"/>
        <w:rPr>
          <w:rFonts w:ascii="Courier New" w:cs="Courier New" w:eastAsia="Courier New" w:hAnsi="Courier New"/>
          <w:sz w:val="15"/>
          <w:szCs w:val="15"/>
          <w:color w:val="auto"/>
        </w:rPr>
      </w:pPr>
    </w:p>
    <w:p>
      <w:pPr>
        <w:ind w:left="440" w:right="3239" w:firstLine="444"/>
        <w:spacing w:after="0" w:line="235" w:lineRule="auto"/>
        <w:tabs>
          <w:tab w:leader="none" w:pos="1402" w:val="left"/>
        </w:tabs>
        <w:numPr>
          <w:ilvl w:val="0"/>
          <w:numId w:val="1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default or Event of Default with respect to the Securities of such series shall have occurred and be continuing on the date of such deposit;</w:t>
      </w:r>
    </w:p>
    <w:p>
      <w:pPr>
        <w:spacing w:after="0" w:line="173" w:lineRule="exact"/>
        <w:rPr>
          <w:rFonts w:ascii="Courier New" w:cs="Courier New" w:eastAsia="Courier New" w:hAnsi="Courier New"/>
          <w:sz w:val="15"/>
          <w:szCs w:val="15"/>
          <w:color w:val="auto"/>
        </w:rPr>
      </w:pPr>
    </w:p>
    <w:p>
      <w:pPr>
        <w:ind w:left="440" w:right="3239" w:firstLine="444"/>
        <w:spacing w:after="0" w:line="255" w:lineRule="auto"/>
        <w:tabs>
          <w:tab w:leader="none" w:pos="1315" w:val="left"/>
        </w:tabs>
        <w:numPr>
          <w:ilvl w:val="0"/>
          <w:numId w:val="1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Issuer shall have delivered to the Trustee (1) either (x) a ruling directed to the Trustee received from the Internal Revenue Service to the effect that the Holders of the Securities of such series will not recognize income, gain or loss for Federal income tax purposes as a result of the Issuer's exercise of its option under this Section 9.02 and will be subject to federal income tax on the same amount and in the same manner and at the same times as would have been the case if such deposit and defeasance had not occurred or (y) an Opinion of Counsel to the same effect as the ruling described in clause (x) above and based upon a change in law and (2) an Opinion of Counsel to the effect that the Holders of the Securities of such series have a valid security interest in the trust funds subject to no prior liens under the UCC; and</w:t>
      </w:r>
    </w:p>
    <w:p>
      <w:pPr>
        <w:spacing w:after="0" w:line="164" w:lineRule="exact"/>
        <w:rPr>
          <w:rFonts w:ascii="Courier New" w:cs="Courier New" w:eastAsia="Courier New" w:hAnsi="Courier New"/>
          <w:sz w:val="14"/>
          <w:szCs w:val="14"/>
          <w:color w:val="auto"/>
        </w:rPr>
      </w:pPr>
    </w:p>
    <w:p>
      <w:pPr>
        <w:ind w:left="440" w:right="3399" w:firstLine="444"/>
        <w:spacing w:after="0" w:line="235" w:lineRule="auto"/>
        <w:tabs>
          <w:tab w:leader="none" w:pos="1227" w:val="left"/>
        </w:tabs>
        <w:numPr>
          <w:ilvl w:val="0"/>
          <w:numId w:val="1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Issuer has delivered to the Trustee an Officers' Certificate and an Opinion of Counsel, in each case stating that all conditions precedent provided for herein relating to the defeasance</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54</w:t>
      </w:r>
    </w:p>
    <w:p>
      <w:pPr>
        <w:sectPr>
          <w:pgSz w:w="11900" w:h="16838" w:orient="portrait"/>
          <w:cols w:equalWidth="0" w:num="1">
            <w:col w:w="10239"/>
          </w:cols>
          <w:pgMar w:left="220" w:top="792" w:right="1440" w:bottom="1440" w:gutter="0" w:footer="0" w:header="0"/>
        </w:sectPr>
      </w:pPr>
    </w:p>
    <w:bookmarkStart w:id="202" w:name="page203"/>
    <w:bookmarkEnd w:id="202"/>
    <w:p>
      <w:pPr>
        <w:ind w:left="440" w:right="3579"/>
        <w:spacing w:after="0" w:line="234" w:lineRule="auto"/>
        <w:rPr>
          <w:sz w:val="20"/>
          <w:szCs w:val="20"/>
          <w:color w:val="auto"/>
        </w:rPr>
      </w:pPr>
      <w:r>
        <w:rPr>
          <w:rFonts w:ascii="Courier New" w:cs="Courier New" w:eastAsia="Courier New" w:hAnsi="Courier New"/>
          <w:sz w:val="15"/>
          <w:szCs w:val="15"/>
          <w:color w:val="auto"/>
        </w:rPr>
        <w:t>contemplated by this Section 9.02 of the Securities of such series have been complied with.</w:t>
      </w:r>
    </w:p>
    <w:p>
      <w:pPr>
        <w:spacing w:after="0" w:line="173"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The Issuer's obligations in Sections 2.03 through 2.11, 3.02, 5.06, 5.09 and 9.05 with respect to the Securities of such series shall survive until such Securities are no longer outstanding. Thereafter, only the Issuer's obligations in Sections 5.06 and 9.05 shall survive.</w:t>
      </w:r>
    </w:p>
    <w:p>
      <w:pPr>
        <w:spacing w:after="0" w:line="175"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Section 9.03. Covenant Defeasance. The Issuer may omit to comply with any term, provision or condition set forth in Sections 3.04, 3.08, 3.10 or 3.11 (or any other specific covenant relating to the Securities of any series provided for in a Board Resolution or supplemental indenture pursuant to Section 2.03 which may by its terms be defeased pursuant to this Section 9.03), and such omission shall be deemed not to be an Event of Default under clause (c) of Section 4.01, respect to the outstanding Securities of such series if:</w:t>
      </w:r>
    </w:p>
    <w:p>
      <w:pPr>
        <w:spacing w:after="0" w:line="166" w:lineRule="exact"/>
        <w:rPr>
          <w:sz w:val="20"/>
          <w:szCs w:val="20"/>
          <w:color w:val="auto"/>
        </w:rPr>
      </w:pPr>
    </w:p>
    <w:p>
      <w:pPr>
        <w:ind w:left="440" w:right="3239" w:firstLine="444"/>
        <w:spacing w:after="0" w:line="255" w:lineRule="auto"/>
        <w:tabs>
          <w:tab w:leader="none" w:pos="1227" w:val="left"/>
        </w:tabs>
        <w:numPr>
          <w:ilvl w:val="0"/>
          <w:numId w:val="1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Issuer has irrevocably deposited in trust with the Trustee as trust funds solely for the benefit of the Holders of the Securities of such series, for payment of the Principal of and interest, if any, on the Securities of such series, money or U.S. Government Obligations or a combination thereof in an amount sufficient (unless such funds consist solely of money, in the opinion of a nationally recognized firm of independent public accountants expressed in a written certification thereof delivered to the Trustee) without consideration of any reinvestment and after payment of all Federal, state and local taxes or other charges and assessments in respect thereof payable by the Trustee, to pay and discharge the Principal of and interest on the outstanding Securities of such series to maturity or earlier redemption (irrevocably provided for under arrangements satisfactory to the Trustee), as the case may be;</w:t>
      </w:r>
    </w:p>
    <w:p>
      <w:pPr>
        <w:spacing w:after="0" w:line="164" w:lineRule="exact"/>
        <w:rPr>
          <w:rFonts w:ascii="Courier New" w:cs="Courier New" w:eastAsia="Courier New" w:hAnsi="Courier New"/>
          <w:sz w:val="14"/>
          <w:szCs w:val="14"/>
          <w:color w:val="auto"/>
        </w:rPr>
      </w:pPr>
    </w:p>
    <w:p>
      <w:pPr>
        <w:ind w:left="440" w:right="3239" w:firstLine="444"/>
        <w:spacing w:after="0" w:line="235" w:lineRule="auto"/>
        <w:tabs>
          <w:tab w:leader="none" w:pos="1315" w:val="left"/>
        </w:tabs>
        <w:numPr>
          <w:ilvl w:val="0"/>
          <w:numId w:val="1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deposit will not result in a breach or violation of, or constitute a default under, this Indenture, the Cable Guarantees or any other material agreement or instrument to which the Issuer is a party or by which it is bound;</w:t>
      </w:r>
    </w:p>
    <w:p>
      <w:pPr>
        <w:spacing w:after="0" w:line="175" w:lineRule="exact"/>
        <w:rPr>
          <w:rFonts w:ascii="Courier New" w:cs="Courier New" w:eastAsia="Courier New" w:hAnsi="Courier New"/>
          <w:sz w:val="15"/>
          <w:szCs w:val="15"/>
          <w:color w:val="auto"/>
        </w:rPr>
      </w:pPr>
    </w:p>
    <w:p>
      <w:pPr>
        <w:ind w:left="440" w:right="3239" w:firstLine="444"/>
        <w:spacing w:after="0" w:line="235" w:lineRule="auto"/>
        <w:tabs>
          <w:tab w:leader="none" w:pos="1402" w:val="left"/>
        </w:tabs>
        <w:numPr>
          <w:ilvl w:val="0"/>
          <w:numId w:val="1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default or Event of Default with respect to the Securities of such series shall have occurred and be continuing on the date of such deposit;</w:t>
      </w:r>
    </w:p>
    <w:p>
      <w:pPr>
        <w:spacing w:after="0" w:line="173" w:lineRule="exact"/>
        <w:rPr>
          <w:rFonts w:ascii="Courier New" w:cs="Courier New" w:eastAsia="Courier New" w:hAnsi="Courier New"/>
          <w:sz w:val="15"/>
          <w:szCs w:val="15"/>
          <w:color w:val="auto"/>
        </w:rPr>
      </w:pPr>
    </w:p>
    <w:p>
      <w:pPr>
        <w:ind w:left="440" w:right="3319" w:firstLine="444"/>
        <w:spacing w:after="0" w:line="255" w:lineRule="auto"/>
        <w:tabs>
          <w:tab w:leader="none" w:pos="1315" w:val="left"/>
        </w:tabs>
        <w:numPr>
          <w:ilvl w:val="0"/>
          <w:numId w:val="1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Issuer has delivered to the Trustee an Opinion of Counsel to the effect that (A) the Holders of the Securities of such series have a valid security interest in the trust funds subject to no prior liens under the UCC and (B) such Holders will not recognize income, gain or loss for Federal income tax purposes as a result of such deposit and covenant defeasance and will be subject to Federal income tax on the same</w:t>
      </w:r>
    </w:p>
    <w:p>
      <w:pPr>
        <w:spacing w:after="0" w:line="32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55</w:t>
      </w:r>
    </w:p>
    <w:p>
      <w:pPr>
        <w:sectPr>
          <w:pgSz w:w="11900" w:h="16838" w:orient="portrait"/>
          <w:cols w:equalWidth="0" w:num="1">
            <w:col w:w="10239"/>
          </w:cols>
          <w:pgMar w:left="220" w:top="792" w:right="1440" w:bottom="1440" w:gutter="0" w:footer="0" w:header="0"/>
        </w:sectPr>
      </w:pPr>
    </w:p>
    <w:bookmarkStart w:id="203" w:name="page204"/>
    <w:bookmarkEnd w:id="203"/>
    <w:p>
      <w:pPr>
        <w:ind w:left="440" w:right="3319"/>
        <w:spacing w:after="0" w:line="234" w:lineRule="auto"/>
        <w:rPr>
          <w:sz w:val="20"/>
          <w:szCs w:val="20"/>
          <w:color w:val="auto"/>
        </w:rPr>
      </w:pPr>
      <w:r>
        <w:rPr>
          <w:rFonts w:ascii="Courier New" w:cs="Courier New" w:eastAsia="Courier New" w:hAnsi="Courier New"/>
          <w:sz w:val="15"/>
          <w:szCs w:val="15"/>
          <w:color w:val="auto"/>
        </w:rPr>
        <w:t>amount and in the same manner and at the same times as would have been the case if such deposit and defeasance had not occurred; and</w:t>
      </w:r>
    </w:p>
    <w:p>
      <w:pPr>
        <w:spacing w:after="0" w:line="173" w:lineRule="exact"/>
        <w:rPr>
          <w:sz w:val="20"/>
          <w:szCs w:val="20"/>
          <w:color w:val="auto"/>
        </w:rPr>
      </w:pPr>
    </w:p>
    <w:p>
      <w:pPr>
        <w:ind w:left="440" w:right="3399" w:firstLine="444"/>
        <w:spacing w:after="0" w:line="236" w:lineRule="auto"/>
        <w:tabs>
          <w:tab w:leader="none" w:pos="1227" w:val="left"/>
        </w:tabs>
        <w:numPr>
          <w:ilvl w:val="0"/>
          <w:numId w:val="1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Issuer has delivered to the Trustee an Officers' Certificate and an Opinion of Counsel, in each case stating that all conditions precedent provided for herein relating to the covenant defeasance contemplated by this Section 9.03 of the Securities of such series have been complied with.</w:t>
      </w:r>
    </w:p>
    <w:p>
      <w:pPr>
        <w:spacing w:after="0" w:line="174"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Section 9.04. Application of Trust Money. Subject to Section 9.05, the Trustee or Paying Agent shall hold in trust money or U.S. Government Obligations deposited with it pursuant to Section 9.01, 9.02 or 9.03, as the case may be, in respect of the Securities of any series and shall apply the deposited money and the proceeds from deposited U.S. Government Obligations in accordance with the Securities of such series and this Indenture to the payment of Principal of and interest on the Securities of such series; but such money need not be segregated from other funds except to the extent required by law. The Issuer shall pay and indemnify the Trustee against any tax, fee or other charge imposed on or assessed against the U.S. Government Obligations deposited pursuant to Section 9.01, 9.02 or 9.03, as the case may be, or the principal and interest received in respect thereof, other than any such tax, fee or other charge that by law is for the account of the Holders.</w:t>
      </w:r>
    </w:p>
    <w:p>
      <w:pPr>
        <w:spacing w:after="0" w:line="173"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Section 9.05. Repayment to Issuer. Subject to Sections 5.06, 9.01, 9.02 and 9.03, the Trustee and the Paying Agent shall promptly pay to the Issuer upon request set forth in an Officers' Certificate any money held by them at any time and not required to make payments hereunder and thereupon shall be relieved from all liability with respect to such money. Subject to applicable escheat or abandoned property laws, the Trustee and the Paying Agent shall pay to the Issuer upon written request any money held by them and required to make payments hereunder under this Indenture that remains unclaimed for two years; provided that the Trustee or such Paying Agent before being required to make any payment shall cause to be published at the expense of the Issuer once in an Authorized Newspaper or mail to each Holder entitled to such money at such Holder's address (as set forth in the register) notice that such money remains unclaimed and that after a date specified therein (which shall be at least 30 days from the date of such publication or mailing) any unclaimed balance of such money then remaining will be repaid to the Issuer. After payment to the Issuer, Holders entitled to such money must look to the Issuer for payment as unsecured general creditors unless an abandoned property law designates another Person, and all liability of the Trustee and such Paying Agent with respect to such money shall cease.</w:t>
      </w:r>
    </w:p>
    <w:p>
      <w:pPr>
        <w:spacing w:after="0" w:line="33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56</w:t>
      </w:r>
    </w:p>
    <w:p>
      <w:pPr>
        <w:sectPr>
          <w:pgSz w:w="11900" w:h="16838" w:orient="portrait"/>
          <w:cols w:equalWidth="0" w:num="1">
            <w:col w:w="10239"/>
          </w:cols>
          <w:pgMar w:left="220" w:top="792" w:right="1440" w:bottom="1440" w:gutter="0" w:footer="0" w:header="0"/>
        </w:sectPr>
      </w:pPr>
    </w:p>
    <w:bookmarkStart w:id="204" w:name="page205"/>
    <w:bookmarkEnd w:id="204"/>
    <w:p>
      <w:pPr>
        <w:jc w:val="center"/>
        <w:ind w:right="3239"/>
        <w:spacing w:after="0"/>
        <w:rPr>
          <w:sz w:val="20"/>
          <w:szCs w:val="20"/>
          <w:color w:val="auto"/>
        </w:rPr>
      </w:pPr>
      <w:r>
        <w:rPr>
          <w:rFonts w:ascii="Courier New" w:cs="Courier New" w:eastAsia="Courier New" w:hAnsi="Courier New"/>
          <w:sz w:val="15"/>
          <w:szCs w:val="15"/>
          <w:color w:val="auto"/>
        </w:rPr>
        <w:t>Article 10</w:t>
      </w:r>
    </w:p>
    <w:p>
      <w:pPr>
        <w:jc w:val="center"/>
        <w:ind w:right="3239"/>
        <w:spacing w:after="0" w:line="237" w:lineRule="auto"/>
        <w:rPr>
          <w:sz w:val="20"/>
          <w:szCs w:val="20"/>
          <w:color w:val="auto"/>
        </w:rPr>
      </w:pPr>
      <w:r>
        <w:rPr>
          <w:rFonts w:ascii="Courier New" w:cs="Courier New" w:eastAsia="Courier New" w:hAnsi="Courier New"/>
          <w:sz w:val="15"/>
          <w:szCs w:val="15"/>
          <w:color w:val="auto"/>
        </w:rPr>
        <w:t>MISCELLANEOUS PROVISIONS</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Section 10.01. Incorporators, Stockholders, Officers and Directors Exempt from Individual Liability. No recourse under or upon any obligation, covenant or agreement contained in this Indenture, the Cable Guarantees or in any Security, or because of any indebtedness evidenced thereby, shall be had against any incorporator, as such, or against any past, present or future stockholder, officer, director or employee, as such, of the Issuer, any Cable Guarantor or of any successor Person thereof, either directly or through the Issuer or any Cable Guarantor or any successor Person thereof, under any rule of law, statute or constitutional provision or by the enforcement of any assessment or by any legal or equitable proceeding or otherwise, all such liability being expressly waived and released by the acceptance of the Securities by the holders thereof and as part of the consideration for the issue of the Securities.</w:t>
      </w:r>
    </w:p>
    <w:p>
      <w:pPr>
        <w:spacing w:after="0" w:line="164"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Section 10.02. Provisions of Indenture for the Sole Benefit of Parties and Securityholders. Nothing in this Indenture or in the Securities, expressed or implied, shall give or be construed to give to any person, firm or corporation, other than the parties hereto and their successors and the Holders of the Securities, any legal or equitable right, remedy or claim under this Indenture or under any covenant or provision herein contained, all such covenants and provisions being for the sole benefit of the parties hereto and their successors and of the Holders of the Securities.</w:t>
      </w:r>
    </w:p>
    <w:p>
      <w:pPr>
        <w:spacing w:after="0" w:line="177"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Section 10.03. Successors and Assigns of Issuer Bound by Indenture. All the covenants, stipulations, promises and agreements in this Indenture contained by or in behalf of the Issuer shall bind its successors and assigns, whether so expressed or not.</w:t>
      </w:r>
    </w:p>
    <w:p>
      <w:pPr>
        <w:spacing w:after="0" w:line="175"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Section 10.04. Notices and Demands on Issuer, Trustee and Securityholders. Any notice or demand which by any provision of this Indenture is required or permitted to be given or served by the Trustee or by the Holders of Securities to or on the Issuer may be given or served by being deposited postage prepaid, first-class mail (except as otherwise specifically provided herein) addressed (until another address of the Issuer is filed by the Issuer with the Trustee) to Comcast Corporation at 1500 Market Street, Philadelphia, Pennsylvania</w:t>
      </w:r>
    </w:p>
    <w:p>
      <w:pPr>
        <w:spacing w:after="0" w:line="2"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19102-2148, Attention: Treasurer. Any notice, direction, request or demand by the Issuer or any Securityholder to or upon the Trustee shall be deemed to have been sufficiently given or made, for all purposes, if given or made at the Corporate Trust Office.</w:t>
      </w:r>
    </w:p>
    <w:p>
      <w:pPr>
        <w:spacing w:after="0" w:line="175"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Where this Indenture provides for notice to Holders, such notice shall be sufficiently given (unless otherwise herein expressly provided) if in writing and mailed, first-class postage prepaid, to each Holder entitled thereto, at his last</w:t>
      </w:r>
    </w:p>
    <w:p>
      <w:pPr>
        <w:spacing w:after="0" w:line="33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57</w:t>
      </w:r>
    </w:p>
    <w:p>
      <w:pPr>
        <w:sectPr>
          <w:pgSz w:w="11900" w:h="16838" w:orient="portrait"/>
          <w:cols w:equalWidth="0" w:num="1">
            <w:col w:w="10239"/>
          </w:cols>
          <w:pgMar w:left="220" w:top="785" w:right="1440" w:bottom="1440" w:gutter="0" w:footer="0" w:header="0"/>
        </w:sectPr>
      </w:pPr>
    </w:p>
    <w:bookmarkStart w:id="205" w:name="page206"/>
    <w:bookmarkEnd w:id="205"/>
    <w:p>
      <w:pPr>
        <w:ind w:right="3239"/>
        <w:spacing w:after="0" w:line="255" w:lineRule="auto"/>
        <w:rPr>
          <w:sz w:val="20"/>
          <w:szCs w:val="20"/>
          <w:color w:val="auto"/>
        </w:rPr>
      </w:pPr>
      <w:r>
        <w:rPr>
          <w:rFonts w:ascii="Courier New" w:cs="Courier New" w:eastAsia="Courier New" w:hAnsi="Courier New"/>
          <w:sz w:val="14"/>
          <w:szCs w:val="14"/>
          <w:color w:val="auto"/>
        </w:rPr>
        <w:t>address as it appears in the Security register. In any case where notice to Holders is given by mail, neither the failure to mail such notice, nor any defect in any notice so mailed, to any particular Holder shall affect the sufficiency of such notice with respect to other Holders. Where this Indenture provides for notice in any manner, such notice may be waived in writing by the person entitled to receive such notice, either before or after the event, and such waiver shall be the equivalent of such notice. Waivers of notice by Holders shall be filed with the Trustee, but such filing shall not be a condition precedent to the validity of any action taken in reliance upon such waiver.</w:t>
      </w:r>
    </w:p>
    <w:p>
      <w:pPr>
        <w:spacing w:after="0" w:line="165" w:lineRule="exact"/>
        <w:rPr>
          <w:sz w:val="20"/>
          <w:szCs w:val="20"/>
          <w:color w:val="auto"/>
        </w:rPr>
      </w:pPr>
    </w:p>
    <w:p>
      <w:pPr>
        <w:ind w:right="3399" w:firstLine="437"/>
        <w:spacing w:after="0" w:line="236" w:lineRule="auto"/>
        <w:rPr>
          <w:sz w:val="20"/>
          <w:szCs w:val="20"/>
          <w:color w:val="auto"/>
        </w:rPr>
      </w:pPr>
      <w:r>
        <w:rPr>
          <w:rFonts w:ascii="Courier New" w:cs="Courier New" w:eastAsia="Courier New" w:hAnsi="Courier New"/>
          <w:sz w:val="15"/>
          <w:szCs w:val="15"/>
          <w:color w:val="auto"/>
        </w:rPr>
        <w:t>In case, by reason of the suspension of or irregularities in regular mail service, it shall be impracticable to mail notice to the Issuer and Securityholders when such notice is required to be given pursuant to any provision of this Indenture, then any manner of giving such notice as shall be satisfactory to the Trustee shall be deemed to be a sufficient giving of such notice.</w:t>
      </w:r>
    </w:p>
    <w:p>
      <w:pPr>
        <w:spacing w:after="0" w:line="175" w:lineRule="exact"/>
        <w:rPr>
          <w:sz w:val="20"/>
          <w:szCs w:val="20"/>
          <w:color w:val="auto"/>
        </w:rPr>
      </w:pPr>
    </w:p>
    <w:p>
      <w:pPr>
        <w:ind w:right="3399" w:firstLine="437"/>
        <w:spacing w:after="0" w:line="255" w:lineRule="auto"/>
        <w:rPr>
          <w:sz w:val="20"/>
          <w:szCs w:val="20"/>
          <w:color w:val="auto"/>
        </w:rPr>
      </w:pPr>
      <w:r>
        <w:rPr>
          <w:rFonts w:ascii="Courier New" w:cs="Courier New" w:eastAsia="Courier New" w:hAnsi="Courier New"/>
          <w:sz w:val="14"/>
          <w:szCs w:val="14"/>
          <w:color w:val="auto"/>
        </w:rPr>
        <w:t>Section 10.05. Officers' Certificates and Opinions of Counsel; Statements to Be Contained Therein. Upon any application or demand by the Issuer to the Trustee to take any action under any of the provisions of this Indenture, the Issuer shall furnish to the Trustee an Officers' Certificate stating that all conditions precedent provided for in this Indenture relating to the proposed action have been complied with and an Opinion of Counsel stating that in the opinion of such counsel all such conditions precedent have been complied with, except that in the case of any such application or demand as to which the furnishing of such documents is specifically required by any provision of this Indenture relating to such particular application or demand, no additional certificate or opinion need be furnished.</w:t>
      </w:r>
    </w:p>
    <w:p>
      <w:pPr>
        <w:spacing w:after="0" w:line="165"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Each certificate or opinion provided for in this Indenture and delivered to the Trustee with respect to compliance with a condition or covenant provided for in this Indenture shall include (a) a statement that the person making such certificate or opinion has read such covenant or condition, (b) a brief statement as to the nature and scope of the examination or investigation upon which the statements or opinions contained in such certificate or opinion are based, (c) a statement that, in the opinion of such person, he has made such examination or investigation as is necessary to enable him to express an informed opinion as to whether or not such covenant or condition has been complied with and (d) a statement as to whether or not, in the opinion of such person, such condition or covenant has been complied with.</w:t>
      </w:r>
    </w:p>
    <w:p>
      <w:pPr>
        <w:spacing w:after="0" w:line="165"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Any certificate, statement or opinion of an officer of the Issuer may be based, insofar as it relates to legal matters, upon a certificate or opinion of or representations by counsel, unless such officer knows that the certificate or opinion or representations with respect to the matters upon which his certificate, statement or opinion may be based as aforesaid are erroneous, or in the exercise</w:t>
      </w:r>
    </w:p>
    <w:p>
      <w:pPr>
        <w:spacing w:after="0" w:line="33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58</w:t>
      </w:r>
    </w:p>
    <w:p>
      <w:pPr>
        <w:sectPr>
          <w:pgSz w:w="11900" w:h="16838" w:orient="portrait"/>
          <w:cols w:equalWidth="0" w:num="1">
            <w:col w:w="10239"/>
          </w:cols>
          <w:pgMar w:left="220" w:top="792" w:right="1440" w:bottom="1440" w:gutter="0" w:footer="0" w:header="0"/>
        </w:sectPr>
      </w:pPr>
    </w:p>
    <w:bookmarkStart w:id="206" w:name="page207"/>
    <w:bookmarkEnd w:id="206"/>
    <w:p>
      <w:pPr>
        <w:ind w:right="3399"/>
        <w:spacing w:after="0" w:line="255" w:lineRule="auto"/>
        <w:rPr>
          <w:sz w:val="20"/>
          <w:szCs w:val="20"/>
          <w:color w:val="auto"/>
        </w:rPr>
      </w:pPr>
      <w:r>
        <w:rPr>
          <w:rFonts w:ascii="Courier New" w:cs="Courier New" w:eastAsia="Courier New" w:hAnsi="Courier New"/>
          <w:sz w:val="14"/>
          <w:szCs w:val="14"/>
          <w:color w:val="auto"/>
        </w:rPr>
        <w:t>of reasonable care should know that the same are erroneous. Any certificate, statement or opinion of counsel may be based, insofar as it relates to factual matters, information with respect to which is in the possession of the Issuer, upon the certificate, statement or opinion of or representations by an officer of officers of the Issuer, unless such counsel knows that the certificate, statement or opinion or representations with respect to the matters upon which his certificate, statement or opinion may be based as aforesaid are erroneous, or in the exercise of reasonable care should know that the same are erroneous.</w:t>
      </w:r>
    </w:p>
    <w:p>
      <w:pPr>
        <w:spacing w:after="0" w:line="166"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Any certificate, statement or opinion of an officer of the Issuer or of counsel may be based, insofar as it relates to accounting matters, upon a certificate or opinion of or representations by an accountant or firm of accountants in the employ of the Issuer, unless such officer or counsel, as the case may be, knows that the certificate or opinion or representations with respect to the accounting matters upon which his certificate, statement or opinion may be based as aforesaid are erroneous, or in the exercise of reasonable care should know that the same are erroneous.</w:t>
      </w:r>
    </w:p>
    <w:p>
      <w:pPr>
        <w:spacing w:after="0" w:line="177" w:lineRule="exact"/>
        <w:rPr>
          <w:sz w:val="20"/>
          <w:szCs w:val="20"/>
          <w:color w:val="auto"/>
        </w:rPr>
      </w:pPr>
    </w:p>
    <w:p>
      <w:pPr>
        <w:ind w:right="3399" w:firstLine="787"/>
        <w:spacing w:after="0" w:line="235" w:lineRule="auto"/>
        <w:rPr>
          <w:sz w:val="20"/>
          <w:szCs w:val="20"/>
          <w:color w:val="auto"/>
        </w:rPr>
      </w:pPr>
      <w:r>
        <w:rPr>
          <w:rFonts w:ascii="Courier New" w:cs="Courier New" w:eastAsia="Courier New" w:hAnsi="Courier New"/>
          <w:sz w:val="15"/>
          <w:szCs w:val="15"/>
          <w:color w:val="auto"/>
        </w:rPr>
        <w:t>Any certificate or opinion of any independent firm of public accountants filed with the Trustee shall contain a statement that such firm is independent.</w:t>
      </w:r>
    </w:p>
    <w:p>
      <w:pPr>
        <w:spacing w:after="0" w:line="174"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Section 10.06. Payments Due on Saturdays, Sundays and Holidays. If the date of maturity of interest on or principal of the Securities of any series or the date fixed for redemption or repayment of any such Security shall not be a Business Day, then payment of interest or principal need not be made on such date, but may be made on the next succeeding Business Day with the same force and effect as if made on the date of maturity or the date fixed for redemption, and no interest shall accrue for the period after such date.</w:t>
      </w:r>
    </w:p>
    <w:p>
      <w:pPr>
        <w:spacing w:after="0" w:line="176" w:lineRule="exact"/>
        <w:rPr>
          <w:sz w:val="20"/>
          <w:szCs w:val="20"/>
          <w:color w:val="auto"/>
        </w:rPr>
      </w:pPr>
    </w:p>
    <w:p>
      <w:pPr>
        <w:ind w:right="3319" w:firstLine="437"/>
        <w:spacing w:after="0" w:line="256" w:lineRule="auto"/>
        <w:rPr>
          <w:sz w:val="20"/>
          <w:szCs w:val="20"/>
          <w:color w:val="auto"/>
        </w:rPr>
      </w:pPr>
      <w:r>
        <w:rPr>
          <w:rFonts w:ascii="Courier New" w:cs="Courier New" w:eastAsia="Courier New" w:hAnsi="Courier New"/>
          <w:sz w:val="14"/>
          <w:szCs w:val="14"/>
          <w:color w:val="auto"/>
        </w:rPr>
        <w:t>Section 10.07. Conflict of Any Provision of Indenture with Trust Indenture Act of 1939. If and to the extent that any provision of this Indenture limits, qualifies or conflicts with another provision included in this Indenture by operation of Sections 310 to 317, inclusive, of the Trust Indenture Act of 1939 (an "incorporated provision"), such incorporated provision shall control.</w:t>
      </w:r>
    </w:p>
    <w:p>
      <w:pPr>
        <w:spacing w:after="0" w:line="163"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Section 10.08. New York Law to Govern. This Indenture, including any Cable Guarantee, and each Security shall be deemed to be a contract under the laws of the State of New York, and for all purposes shall be construed in accordance with the laws of such State.</w:t>
      </w:r>
    </w:p>
    <w:p>
      <w:pPr>
        <w:spacing w:after="0" w:line="175"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Section 10.09. Counterparts. This Indenture may be executed in any number of counterparts, each of which shall be an original; but such counterparts shall together constitute but one and the same instrument.</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59</w:t>
      </w:r>
    </w:p>
    <w:p>
      <w:pPr>
        <w:sectPr>
          <w:pgSz w:w="11900" w:h="16838" w:orient="portrait"/>
          <w:cols w:equalWidth="0" w:num="1">
            <w:col w:w="10239"/>
          </w:cols>
          <w:pgMar w:left="220" w:top="792" w:right="1440" w:bottom="1440" w:gutter="0" w:footer="0" w:header="0"/>
        </w:sectPr>
      </w:pPr>
    </w:p>
    <w:bookmarkStart w:id="207" w:name="page208"/>
    <w:bookmarkEnd w:id="207"/>
    <w:p>
      <w:pPr>
        <w:ind w:right="3319" w:firstLine="437"/>
        <w:spacing w:after="0" w:line="235" w:lineRule="auto"/>
        <w:rPr>
          <w:sz w:val="20"/>
          <w:szCs w:val="20"/>
          <w:color w:val="auto"/>
        </w:rPr>
      </w:pPr>
      <w:r>
        <w:rPr>
          <w:rFonts w:ascii="Courier New" w:cs="Courier New" w:eastAsia="Courier New" w:hAnsi="Courier New"/>
          <w:sz w:val="15"/>
          <w:szCs w:val="15"/>
          <w:color w:val="auto"/>
        </w:rPr>
        <w:t>Section 10.10. Effect of Headings. The Article and Section headings herein and the Table of Contents are for convenience only and shall not affect the construction hereof.</w:t>
      </w:r>
    </w:p>
    <w:p>
      <w:pPr>
        <w:spacing w:after="0" w:line="335"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Article 11</w:t>
      </w:r>
    </w:p>
    <w:p>
      <w:pPr>
        <w:jc w:val="center"/>
        <w:ind w:right="3239"/>
        <w:spacing w:after="0" w:line="237" w:lineRule="auto"/>
        <w:rPr>
          <w:sz w:val="20"/>
          <w:szCs w:val="20"/>
          <w:color w:val="auto"/>
        </w:rPr>
      </w:pPr>
      <w:r>
        <w:rPr>
          <w:rFonts w:ascii="Courier New" w:cs="Courier New" w:eastAsia="Courier New" w:hAnsi="Courier New"/>
          <w:sz w:val="15"/>
          <w:szCs w:val="15"/>
          <w:color w:val="auto"/>
        </w:rPr>
        <w:t>REDEMPTION OF SECURITIES AND SINKING FUNDS</w:t>
      </w:r>
    </w:p>
    <w:p>
      <w:pPr>
        <w:spacing w:after="0" w:line="173"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Section 11.01. Applicability of Article. The provisions of this Article shall be applicable to the Securities of any series which are redeemable before their maturity or to any sinking fund for the retirement of Securities of a series except as otherwise specified as contemplated by Section 2.03 for Securities of such series.</w:t>
      </w:r>
    </w:p>
    <w:p>
      <w:pPr>
        <w:spacing w:after="0" w:line="174"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Section 11.02. Notice of Redemption; Partial Redemptions. Notice of redemption to the Holders of Securities of any series to be redeemed as a whole or in part at the option of the Issuer shall be given by mailing notice of such redemption by first class mail, postage prepaid, at least 30 days and not more than 60 days prior to the date fixed for redemption to such Holders of Securities of such series at their last addresses as they shall appear upon the registry books. Any notice which is mailed in the manner herein provided shall be conclusively presumed to have been duly given, whether or not the Holder receives the notice. Failure to give notice by mail, or any defect in the notice to the Holder of any Security of a series designated for redemption as a whole or in part shall not affect the validity of the proceedings for the redemption of any other Security of such series.</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The notice of redemption to each such Holder shall specify the CUSIP numbers of such Securities to be redeemed, the principal amount of each Security of such series held by such Holder to be redeemed, the date fixed for redemption, the redemption price, the place or places of payment, that payment will be made upon presentation and surrender of such Securities, that such redemption is pursuant to the mandatory or optional sinking fund, or both, if such be the case, that interest accrued to the date fixed for redemption will be paid as specified in such notice and that on and after said date interest thereon or on the portions thereof to be redeemed will cease to accrue. In case any Security of a series is to be redeemed in part only the notice of redemption shall state the portion of the principal amount thereof to be redeemed, the method the Trustee shall use to determine such Securities to be redeemed as specified in the last paragraph of this Section 11.02, if applicable, and shall state that on and after the date fixed for redemption, upon surrender of such Security, a new Security or Securities of such series in principal amount equal to the unredeemed portion thereof will be issued.</w:t>
      </w:r>
    </w:p>
    <w:p>
      <w:pPr>
        <w:spacing w:after="0" w:line="200" w:lineRule="exact"/>
        <w:rPr>
          <w:sz w:val="20"/>
          <w:szCs w:val="20"/>
          <w:color w:val="auto"/>
        </w:rPr>
      </w:pPr>
    </w:p>
    <w:p>
      <w:pPr>
        <w:spacing w:after="0" w:line="29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60</w:t>
      </w:r>
    </w:p>
    <w:p>
      <w:pPr>
        <w:sectPr>
          <w:pgSz w:w="11900" w:h="16838" w:orient="portrait"/>
          <w:cols w:equalWidth="0" w:num="1">
            <w:col w:w="10239"/>
          </w:cols>
          <w:pgMar w:left="220" w:top="792" w:right="1440" w:bottom="1440" w:gutter="0" w:footer="0" w:header="0"/>
        </w:sectPr>
      </w:pPr>
    </w:p>
    <w:bookmarkStart w:id="208" w:name="page209"/>
    <w:bookmarkEnd w:id="208"/>
    <w:p>
      <w:pPr>
        <w:ind w:right="3319" w:firstLine="437"/>
        <w:spacing w:after="0" w:line="258" w:lineRule="auto"/>
        <w:rPr>
          <w:sz w:val="20"/>
          <w:szCs w:val="20"/>
          <w:color w:val="auto"/>
        </w:rPr>
      </w:pPr>
      <w:r>
        <w:rPr>
          <w:rFonts w:ascii="Courier New" w:cs="Courier New" w:eastAsia="Courier New" w:hAnsi="Courier New"/>
          <w:sz w:val="14"/>
          <w:szCs w:val="14"/>
          <w:color w:val="auto"/>
        </w:rPr>
        <w:t>The notice of redemption of Securities of any series to be redeemed at the option of the Issuer shall be given by the Issuer or, at the Issuer's written request, by the Trustee in the name and at the expense of the Issuer.</w:t>
      </w:r>
    </w:p>
    <w:p>
      <w:pPr>
        <w:spacing w:after="0" w:line="161"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By 10:00 a.m. (New York City time) on the redemption date specified in the notice of redemption given as provided in this Section, the Issuer will deposit with the Trustee or with one or more paying agents (or, if the Issuer is acting as its own paying agent, set aside, segregate and hold in trust as provided in Section 3.03) an amount of money sufficient to redeem on the redemption date all the Securities of such series so called for redemption at the appropriate redemption price, together with accrued interest to the date fixed for redemption. If less than all the outstanding Securities of a series are to be redeemed, the Issuer will deliver to the Trustee at least 70 days (unless a shorter period shall be satisfactory to the Trustee) prior to the date fixed for redemption an Officers' Certificate stating the aggregate principal amount of Securities to be redeemed.</w:t>
      </w:r>
    </w:p>
    <w:p>
      <w:pPr>
        <w:spacing w:after="0" w:line="173" w:lineRule="exact"/>
        <w:rPr>
          <w:sz w:val="20"/>
          <w:szCs w:val="20"/>
          <w:color w:val="auto"/>
        </w:rPr>
      </w:pPr>
    </w:p>
    <w:p>
      <w:pPr>
        <w:ind w:right="3499" w:firstLine="437"/>
        <w:spacing w:after="0" w:line="235" w:lineRule="auto"/>
        <w:rPr>
          <w:sz w:val="20"/>
          <w:szCs w:val="20"/>
          <w:color w:val="auto"/>
        </w:rPr>
      </w:pPr>
      <w:r>
        <w:rPr>
          <w:rFonts w:ascii="Courier New" w:cs="Courier New" w:eastAsia="Courier New" w:hAnsi="Courier New"/>
          <w:sz w:val="15"/>
          <w:szCs w:val="15"/>
          <w:color w:val="auto"/>
        </w:rPr>
        <w:t>In the case of the redemption of all of the Securities of a series outstanding, the Issuer shall notify the Trustee in writing of the redemption date 45 days (unless a shorter period shall be satisfactory to the Trustee) prior to the redemption date.</w:t>
      </w:r>
    </w:p>
    <w:p>
      <w:pPr>
        <w:spacing w:after="0" w:line="175" w:lineRule="exact"/>
        <w:rPr>
          <w:sz w:val="20"/>
          <w:szCs w:val="20"/>
          <w:color w:val="auto"/>
        </w:rPr>
      </w:pPr>
    </w:p>
    <w:p>
      <w:pPr>
        <w:jc w:val="both"/>
        <w:ind w:right="3239" w:firstLine="437"/>
        <w:spacing w:after="0" w:line="254" w:lineRule="auto"/>
        <w:rPr>
          <w:sz w:val="20"/>
          <w:szCs w:val="20"/>
          <w:color w:val="auto"/>
        </w:rPr>
      </w:pPr>
      <w:r>
        <w:rPr>
          <w:rFonts w:ascii="Courier New" w:cs="Courier New" w:eastAsia="Courier New" w:hAnsi="Courier New"/>
          <w:sz w:val="14"/>
          <w:szCs w:val="14"/>
          <w:color w:val="auto"/>
        </w:rPr>
        <w:t>If less than all the Securities of a series are to be redeemed, the Trustee shall select, pro rata or by lot or in such manner as it shall deem appropriate and fair, Securities of such series to be redeemed in whole or in part.</w:t>
      </w:r>
    </w:p>
    <w:p>
      <w:pPr>
        <w:spacing w:after="0" w:line="1"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Securities of a series may be redeemed in part in multiples equal to the minimum authorized denomination for Securities of such series or any multiple thereof. The Trustee shall promptly notify the Issuer in writing of the Securities of such series selected for redemption and, in the case of any Securities of such series selected for partial redemption, the principal amount thereof to be redeemed. For all purposes of this Indenture, unless the context otherwise requires, all provisions relating to the redemption of Securities of any series shall relate, in the case of any Security redeemed or to be redeemed only in part, to the portion of the principal amount of such Security which has been or is to be redeemed.</w:t>
      </w:r>
    </w:p>
    <w:p>
      <w:pPr>
        <w:spacing w:after="0" w:line="179"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Section 11.03. Payment of Securities Called for Redemption. If notice of redemption has been given as above provided, the Securities or portions of Securities specified in such notice shall become due and payable on the date and at the place stated in such notice at the applicable redemption price, together with interest accrued to the date fixed for redemption, and on and after said date (unless the Issuer shall default in the payment of such Securities at the redemption price, together with interest accrued to said date) interest on the Securities or portions of Securities so called for redemption shall cease to accrue and, except as provided in Sections 5.05 and 9.04, such Securities shall cease from and after the date fixed for redemption to be entitled to any benefit or security under this Indenture, and the Holders thereof shall have no right in respect of such Securities</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61</w:t>
      </w:r>
    </w:p>
    <w:p>
      <w:pPr>
        <w:sectPr>
          <w:pgSz w:w="11900" w:h="16838" w:orient="portrait"/>
          <w:cols w:equalWidth="0" w:num="1">
            <w:col w:w="10239"/>
          </w:cols>
          <w:pgMar w:left="220" w:top="792" w:right="1440" w:bottom="1440" w:gutter="0" w:footer="0" w:header="0"/>
        </w:sectPr>
      </w:pPr>
    </w:p>
    <w:bookmarkStart w:id="209" w:name="page210"/>
    <w:bookmarkEnd w:id="209"/>
    <w:p>
      <w:pPr>
        <w:ind w:right="3239"/>
        <w:spacing w:after="0" w:line="236" w:lineRule="auto"/>
        <w:rPr>
          <w:sz w:val="20"/>
          <w:szCs w:val="20"/>
          <w:color w:val="auto"/>
        </w:rPr>
      </w:pPr>
      <w:r>
        <w:rPr>
          <w:rFonts w:ascii="Courier New" w:cs="Courier New" w:eastAsia="Courier New" w:hAnsi="Courier New"/>
          <w:sz w:val="15"/>
          <w:szCs w:val="15"/>
          <w:color w:val="auto"/>
        </w:rPr>
        <w:t>except the right to receive the redemption price thereof and unpaid interest to the date fixed for redemption. On presentation and surrender of such Securities at a place of payment specified in said notice, said Securities or the specified portions thereof shall be paid and redeemed by the Issuer at the applicable redemption price, together with interest accrued thereon to the date fixed for redemption; provided that any semiannual payment of interest becoming due on the date fixed for redemption shall be payable to the Holders of such Securities registered as such on the relevant record date subject to the terms and provisions of Section 2.07 hereof.</w:t>
      </w:r>
    </w:p>
    <w:p>
      <w:pPr>
        <w:spacing w:after="0" w:line="178"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If any Security called for redemption shall not be so paid upon surrender thereof for redemption, the principal shall, until paid or duly provided for, bear interest from the date fixed for redemption at the rate of interest or Yield to Maturity (in the case of an Original Issue Discount Security) borne by the Security.</w:t>
      </w:r>
    </w:p>
    <w:p>
      <w:pPr>
        <w:spacing w:after="0" w:line="174"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Upon presentation of any Security redeemed in part only, the Issuer shall execute and the Trustee shall authenticate and deliver to or on the order of the Holder thereof, at the expense of the Issuer, a new Security or Securities of such series, of authorized denominations, in principal amount equal to the unredeemed portion of the Security so presented pursuant to Sections 2.04, 2.05 and 2.06.</w:t>
      </w:r>
    </w:p>
    <w:p>
      <w:pPr>
        <w:spacing w:after="0" w:line="175"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Section 11.04. Exclusion of Certain Securities from Eligibility for Selection for Redemption. Securities shall be excluded from eligibility for selection for redemption if they are identified by registration and certificate number in a written statement signed by an authorized officer of the Issuer and delivered to the Trustee at least 40 days prior to the last date on which notice of redemption may be given as being owned of record and beneficially by, and not pledged or hypothecated by either (a) the Issuer or (b) an entity specifically identified in such written statement directly or indirectly controlling or controlled by or under direct or indirect common control with the Issuer.</w:t>
      </w:r>
    </w:p>
    <w:p>
      <w:pPr>
        <w:spacing w:after="0" w:line="165"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Section 11.05. Mandatory and Optional Sinking Funds. The minimum amount of any sinking fund payment provided for by the terms of Securities of any series is herein referred to as a "mandatory sinking fund payment", and any payment in excess of such minimum amount provided for by the terms of Securities of any series is herein referred to as an "optional sinking fund payment". The date on which a sinking fund payment is to be made is herein referred to as the "sinking fund payment date".</w:t>
      </w:r>
    </w:p>
    <w:p>
      <w:pPr>
        <w:spacing w:after="0" w:line="176" w:lineRule="exact"/>
        <w:rPr>
          <w:sz w:val="20"/>
          <w:szCs w:val="20"/>
          <w:color w:val="auto"/>
        </w:rPr>
      </w:pPr>
    </w:p>
    <w:p>
      <w:pPr>
        <w:ind w:right="3399" w:firstLine="437"/>
        <w:spacing w:after="0" w:line="254" w:lineRule="auto"/>
        <w:rPr>
          <w:sz w:val="20"/>
          <w:szCs w:val="20"/>
          <w:color w:val="auto"/>
        </w:rPr>
      </w:pPr>
      <w:r>
        <w:rPr>
          <w:rFonts w:ascii="Courier New" w:cs="Courier New" w:eastAsia="Courier New" w:hAnsi="Courier New"/>
          <w:sz w:val="14"/>
          <w:szCs w:val="14"/>
          <w:color w:val="auto"/>
        </w:rPr>
        <w:t>In lieu of making all or any part of any mandatory sinking fund payment with respect to any series of Securities in cash, the Issuer may at its option</w:t>
      </w:r>
    </w:p>
    <w:p>
      <w:pPr>
        <w:spacing w:after="0" w:line="1" w:lineRule="exact"/>
        <w:rPr>
          <w:sz w:val="20"/>
          <w:szCs w:val="20"/>
          <w:color w:val="auto"/>
        </w:rPr>
      </w:pPr>
    </w:p>
    <w:p>
      <w:pPr>
        <w:ind w:right="3499" w:firstLine="10"/>
        <w:spacing w:after="0" w:line="235" w:lineRule="auto"/>
        <w:tabs>
          <w:tab w:leader="none" w:pos="350" w:val="left"/>
        </w:tabs>
        <w:numPr>
          <w:ilvl w:val="0"/>
          <w:numId w:val="1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deliver to the Trustee Securities of such series theretofore purchased or otherwise acquired (except upon redemption pursuant to the mandatory sinking fund) by the Issuer or receive credit for Securities of such series (not previously so credited)</w:t>
      </w:r>
    </w:p>
    <w:p>
      <w:pPr>
        <w:spacing w:after="0" w:line="33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62</w:t>
      </w:r>
    </w:p>
    <w:p>
      <w:pPr>
        <w:sectPr>
          <w:pgSz w:w="11900" w:h="16838" w:orient="portrait"/>
          <w:cols w:equalWidth="0" w:num="1">
            <w:col w:w="10239"/>
          </w:cols>
          <w:pgMar w:left="220" w:top="792" w:right="1440" w:bottom="1440" w:gutter="0" w:footer="0" w:header="0"/>
        </w:sectPr>
      </w:pPr>
    </w:p>
    <w:bookmarkStart w:id="210" w:name="page211"/>
    <w:bookmarkEnd w:id="210"/>
    <w:p>
      <w:pPr>
        <w:ind w:right="3319"/>
        <w:spacing w:after="0" w:line="255" w:lineRule="auto"/>
        <w:rPr>
          <w:sz w:val="20"/>
          <w:szCs w:val="20"/>
          <w:color w:val="auto"/>
        </w:rPr>
      </w:pPr>
      <w:r>
        <w:rPr>
          <w:rFonts w:ascii="Courier New" w:cs="Courier New" w:eastAsia="Courier New" w:hAnsi="Courier New"/>
          <w:sz w:val="14"/>
          <w:szCs w:val="14"/>
          <w:color w:val="auto"/>
        </w:rPr>
        <w:t>theretofore purchased or otherwise acquired (except as aforesaid) by the Issuer and delivered to the Trustee for cancellation pursuant to Section 2.10, (b) receive credit for optional sinking fund payments (not previously so credited) made pursuant to this Section, or (c) receive credit for Securities of such series (not previously so credited) redeemed by the Issuer through any optional redemption provision contained in the terms of such series. Securities so delivered or credited shall be received or credited by the Trustee at the sinking fund redemption price specified in such Securities.</w:t>
      </w:r>
    </w:p>
    <w:p>
      <w:pPr>
        <w:spacing w:after="0" w:line="166"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On or before the sixtieth day next preceding each sinking fund payment date for any series, the Issuer will deliver to the Trustee an Officers' Certificate</w:t>
      </w:r>
    </w:p>
    <w:p>
      <w:pPr>
        <w:spacing w:after="0" w:line="1" w:lineRule="exact"/>
        <w:rPr>
          <w:sz w:val="20"/>
          <w:szCs w:val="20"/>
          <w:color w:val="auto"/>
        </w:rPr>
      </w:pPr>
    </w:p>
    <w:p>
      <w:pPr>
        <w:ind w:right="3239" w:firstLine="10"/>
        <w:spacing w:after="0" w:line="254" w:lineRule="auto"/>
        <w:tabs>
          <w:tab w:leader="none" w:pos="350" w:val="left"/>
        </w:tabs>
        <w:numPr>
          <w:ilvl w:val="0"/>
          <w:numId w:val="1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specifying the portion of the mandatory sinking fund payment to be satisfied by payment of cash and the portion to be satisfied by credit of Securities of such series, (b) stating that none of the Securities of such series has theretofore been so credited, (c) stating that no defaults in the payment of interest or Events of Default with respect to such series have occurred (which have not been waived or cured) and are continuing and (d) stating whether or not the Issuer intends to exercise its right to make an optional sinking fund payment with respect to such series and, if so, specifying the amount of such optional sinking fund payment which the Issuer intends to pay on or before the next succeeding sinking fund payment date. Any Securities of such series to be credited and required to be delivered to the Trustee in order for the Issuer to be entitled to credit therefor as aforesaid which have not theretofore been delivered to the Trustee shall be delivered for cancellation pursuant to Section 2.10 to the Trustee with such written statement (or reasonably promptly thereafter if acceptable to the Trustee). Such Officers' Certificate shall be irrevocable and upon its receipt by the Trustee the Issuer shall become unconditionally obligated to make all the cash payments or payments therein referred to, if any, on or before the next succeeding sinking fund payment date. Failure of the Issuer, on or before any such sixtieth day, to deliver such written statement and Securities specified in this paragraph, if any, shall not constitute a default but shall constitute, on and as of such date, the irrevocable election of the Issuer (i) that the mandatory sinking fund payment for such series due on the next succeeding sinking fund payment date shall be paid entirely in cash without the option to deliver or credit Securities of such series in respect thereof and (ii) that the Issuer will make no optional sinking fund payment with respect to such series as provided in this Section.</w:t>
      </w:r>
    </w:p>
    <w:p>
      <w:pPr>
        <w:spacing w:after="0" w:line="345"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If any sinking fund payment or payments (mandatory or optional or both) to be made in cash on the next succeeding sinking fund payment date plus any unused balance of any preceding sinking fund payments made in cash shall exceed $50,000 (or a lesser sum if the Issuer shall so request in writing) with respect to the Securities of any particular series, such cash shall be applied on the next succeeding sinking fund payment date to the redemption of Securities of such series at the sinking fund redemption price together with accrued interest to the date fixed for redemption. If such amount shall be $50,000 or less and the</w:t>
      </w:r>
    </w:p>
    <w:p>
      <w:pPr>
        <w:spacing w:after="0" w:line="32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63</w:t>
      </w:r>
    </w:p>
    <w:p>
      <w:pPr>
        <w:sectPr>
          <w:pgSz w:w="11900" w:h="16838" w:orient="portrait"/>
          <w:cols w:equalWidth="0" w:num="1">
            <w:col w:w="10239"/>
          </w:cols>
          <w:pgMar w:left="220" w:top="792" w:right="1440" w:bottom="1440" w:gutter="0" w:footer="0" w:header="0"/>
        </w:sectPr>
      </w:pPr>
    </w:p>
    <w:bookmarkStart w:id="211" w:name="page212"/>
    <w:bookmarkEnd w:id="211"/>
    <w:p>
      <w:pPr>
        <w:ind w:right="3239"/>
        <w:spacing w:after="0" w:line="254" w:lineRule="auto"/>
        <w:rPr>
          <w:sz w:val="20"/>
          <w:szCs w:val="20"/>
          <w:color w:val="auto"/>
        </w:rPr>
      </w:pPr>
      <w:r>
        <w:rPr>
          <w:rFonts w:ascii="Courier New" w:cs="Courier New" w:eastAsia="Courier New" w:hAnsi="Courier New"/>
          <w:sz w:val="14"/>
          <w:szCs w:val="14"/>
          <w:color w:val="auto"/>
        </w:rPr>
        <w:t>Issuer makes no such request then it shall be carried over until a sum in excess of $50,000 is available together with accrued interest to the date fixed for redemption. The Trustee shall select, in the manner provided in Section 11.02, for redemption on such sinking fund payment date a sufficient principal amount of Securities of such series to absorb said cash, as nearly as may be, and shall (if requested in writing by the Issuer) inform the Issuer of the serial numbers of the Securities of such series (or portions thereof) so selected. Securities of any series which are identified in an Officers' Certificate at least 60 days prior to the sinking fund payment date as being beneficially owned by, and not pledged or hypothecated by, the Issuer or an entity directly or indirectly controlling or controlled by or under direct or indirect common control with the Issuer shall be excluded from Securities of such series eligible for selection for redemption. The Issuer or the Trustee, in the name and at the expense of the Issuer (if the Issuer shall so request the Trustee in writing) shall cause notice of redemption of the Securities of such series to be given in the manner provided in Section 11.02 (and with the effect provided in Section 11.03) for the redemption of Securities of such series in part at the option of the Issuer. The amount of any sinking fund payments not so applied or allocated to the redemption of Securities of such series shall be added to the next cash sinking fund payment for such series and, together with such payment, shall be applied in accordance with the provisions of this Section. Any and all sinking fund moneys held on the stated maturity date of the Securities of any particular series (or earlier, if such maturity is accelerated), which are not held for the payment or redemption of particular Securities of such series shall be applied, together with other moneys, if necessary, sufficient for the purpose, to the payment of the principal of, and interest on, the Securities of such series at maturity.</w:t>
      </w:r>
    </w:p>
    <w:p>
      <w:pPr>
        <w:spacing w:after="0" w:line="345"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At least one Business Day before each sinking fund payment date, the Issuer shall pay to the Trustee in cash or shall otherwise provide for the payment of all interest accrued to the date fixed for redemption on Securities to be redeemed on the next following sinking fund payment date.</w:t>
      </w:r>
    </w:p>
    <w:p>
      <w:pPr>
        <w:spacing w:after="0" w:line="175"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The Trustee shall not redeem or cause to be redeemed any Securities of a series with sinking fund moneys or mail any notice of redemption of Securities for such series by operation of the sinking fund during the continuance of a default in payment of interest on such Securities or of any Event of Default if the Trustee has received written notice thereof at least three Business Days prior to any payment hereunder except that, where the mailing of notice of redemption of any Securities shall theretofore have been made, the Trustee shall redeem or cause to be redeemed such Securities, provided that it shall have received from the Issuer a sum sufficient for such redemption. Except as aforesaid, if the Trustee has received written notice of such default or Event of Default at least three Business Days prior to any payment hereunder, any moneys in the sinking fund for such series at the time when any such default or Event of Default shall occur, and any moneys thereafter paid into the sinking fund, shall, during the</w:t>
      </w:r>
    </w:p>
    <w:p>
      <w:pPr>
        <w:spacing w:after="0" w:line="33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64</w:t>
      </w:r>
    </w:p>
    <w:p>
      <w:pPr>
        <w:sectPr>
          <w:pgSz w:w="11900" w:h="16838" w:orient="portrait"/>
          <w:cols w:equalWidth="0" w:num="1">
            <w:col w:w="10239"/>
          </w:cols>
          <w:pgMar w:left="220" w:top="792" w:right="1440" w:bottom="1440" w:gutter="0" w:footer="0" w:header="0"/>
        </w:sectPr>
      </w:pPr>
    </w:p>
    <w:bookmarkStart w:id="212" w:name="page213"/>
    <w:bookmarkEnd w:id="212"/>
    <w:p>
      <w:pPr>
        <w:ind w:right="3239"/>
        <w:spacing w:after="0" w:line="236" w:lineRule="auto"/>
        <w:rPr>
          <w:sz w:val="20"/>
          <w:szCs w:val="20"/>
          <w:color w:val="auto"/>
        </w:rPr>
      </w:pPr>
      <w:r>
        <w:rPr>
          <w:rFonts w:ascii="Courier New" w:cs="Courier New" w:eastAsia="Courier New" w:hAnsi="Courier New"/>
          <w:sz w:val="15"/>
          <w:szCs w:val="15"/>
          <w:color w:val="auto"/>
        </w:rPr>
        <w:t>continuance of such default or Event of Default, be deemed to have been collected under Article 4 and held for the payment of all such Securities. In case such Event of Default shall have been waived as provided in Section 4.10 or the default cured on or before the sixtieth day preceding the sinking fund payment date in any year, such moneys shall thereafter be applied on the next succeeding sinking fund payment date in accordance with this section to the redemption of such Securities.</w:t>
      </w:r>
    </w:p>
    <w:p>
      <w:pPr>
        <w:spacing w:after="0" w:line="176"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Section 11.06. Conversion Arrangement on Call for Redemption. In connection with any redemption of Securities, the Issuer shall deposit the amount due in connection with such redemption as required by Section 11.02 or it may arrange for the purchase and conversion of any Securities called for redemption by an agreement with one or more investment bankers or other purchasers to purchase such Securities and to make the deposit required of it by Section 11.02 on its behalf by paying to the Trustee or the Paying Agent in trust for the Securityholders, on or before 10:00 a.m. New York time on the redemption date, an amount no less than the redemption price, together with interest, if any, accrued to the redemption date of such Securities, in immediately available funds. Notwithstanding anytime to the contrary contained in this Article 11, the obligation of the Issuer to pay the redemption price of such Securities, including all accrued interest, if any, shall be deemed to be satisfied and discharged to the extent such amount is so paid by such purchasers. If such an agreement is entered into, any Securities not duly surrendered for conversion by the holders thereof may, at the option of the Issuer, be deemed, to the fullest extent permitted by law, acquired by such purchasers from such holders and (notwithstanding anything to the contrary contained in Article 13) surrendered by such purchasers for conversion, all as of immediately prior to the close of business on the last day on which Securities of such series called for redemption may be converted in accordance with this Indenture and the terms of such Securities, subject to payment of the above amount aforesaid. The Trustee or the Paying Agent shall hold and pay to the Securityholders whose Securities are selected for redemption any such amount paid to it in the same manner as it would moneys deposited with it by the Issuer for the redemption of Securities. Without the Trustee's and the Paying Agent's prior written consent, no arrangement between the Issuer and such purchasers for the purchase and conversion of any Securities shall increase or otherwise affect any of the powers, duties, responsibilities or obligations of the Trustee as set forth in this Indenture, and the Issuer agrees to indemnify the Trustee from, and hold it harmless against, any loss, liability or expense arising out of or in connection with any such arrangement for the purchase and conversion of any Securities between the Issuer and such purchasers, including the costs and expenses incurred by the Trustee and the Paying Agent in the defense of any claim or liability arising out of or in connection with the exercise or performance of any of its powers, duties, responsibilities or obligations under this Indenture.</w:t>
      </w:r>
    </w:p>
    <w:p>
      <w:pPr>
        <w:spacing w:after="0" w:line="200" w:lineRule="exact"/>
        <w:rPr>
          <w:sz w:val="20"/>
          <w:szCs w:val="20"/>
          <w:color w:val="auto"/>
        </w:rPr>
      </w:pPr>
    </w:p>
    <w:p>
      <w:pPr>
        <w:spacing w:after="0" w:line="31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65</w:t>
      </w:r>
    </w:p>
    <w:p>
      <w:pPr>
        <w:sectPr>
          <w:pgSz w:w="11900" w:h="16838" w:orient="portrait"/>
          <w:cols w:equalWidth="0" w:num="1">
            <w:col w:w="10239"/>
          </w:cols>
          <w:pgMar w:left="220" w:top="792" w:right="1440" w:bottom="1440" w:gutter="0" w:footer="0" w:header="0"/>
        </w:sectPr>
      </w:pPr>
    </w:p>
    <w:bookmarkStart w:id="213" w:name="page214"/>
    <w:bookmarkEnd w:id="213"/>
    <w:p>
      <w:pPr>
        <w:ind w:left="3080"/>
        <w:spacing w:after="0"/>
        <w:rPr>
          <w:sz w:val="20"/>
          <w:szCs w:val="20"/>
          <w:color w:val="auto"/>
        </w:rPr>
      </w:pPr>
      <w:r>
        <w:rPr>
          <w:rFonts w:ascii="Courier New" w:cs="Courier New" w:eastAsia="Courier New" w:hAnsi="Courier New"/>
          <w:sz w:val="15"/>
          <w:szCs w:val="15"/>
          <w:color w:val="auto"/>
        </w:rPr>
        <w:t>Article 12</w:t>
      </w:r>
    </w:p>
    <w:p>
      <w:pPr>
        <w:ind w:left="2380"/>
        <w:spacing w:after="0" w:line="237" w:lineRule="auto"/>
        <w:rPr>
          <w:sz w:val="20"/>
          <w:szCs w:val="20"/>
          <w:color w:val="auto"/>
        </w:rPr>
      </w:pPr>
      <w:r>
        <w:rPr>
          <w:rFonts w:ascii="Courier New" w:cs="Courier New" w:eastAsia="Courier New" w:hAnsi="Courier New"/>
          <w:sz w:val="15"/>
          <w:szCs w:val="15"/>
          <w:color w:val="auto"/>
        </w:rPr>
        <w:t>SUBORDINATION OF SECURITIES</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Section 12.01. Agreement of Subordination. The Issuer covenants and agrees, and each holder of Securities issued hereunder by his acceptance thereof likewise covenants and agrees, that all Securities shall be issued subject to the provisions of this Article 12; and each Securityholder, whether upon original issue or upon transfer or assignment thereof, accepts and agrees to be bound by such provisions.</w:t>
      </w:r>
    </w:p>
    <w:p>
      <w:pPr>
        <w:spacing w:after="0" w:line="175"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The payment of the principal of, premium, if any, and interest on all Securities issued hereunder shall, to the extent and in the manner hereinafter set forth, be subordinated and subject in right of payment to the prior payment in full of all Senior Indebtedness, whether outstanding at the date of this Indenture or thereafter incurred.</w:t>
      </w:r>
    </w:p>
    <w:p>
      <w:pPr>
        <w:spacing w:after="0" w:line="174"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provisions of this Article 12 define the subordination of the Securities, as obligations of the Company, with respect to Senior Indebtedness of the Company, as defined for the Company. All such provisions shall also be deemed to apply in the same way (mutatis mutandis) to each Cable Guarantor, with appropriate corresponding references to the Senior Indebtedness of such Cable Guarantor.</w:t>
      </w:r>
    </w:p>
    <w:p>
      <w:pPr>
        <w:spacing w:after="0" w:line="175" w:lineRule="exact"/>
        <w:rPr>
          <w:sz w:val="20"/>
          <w:szCs w:val="20"/>
          <w:color w:val="auto"/>
        </w:rPr>
      </w:pPr>
    </w:p>
    <w:p>
      <w:pPr>
        <w:ind w:right="3239" w:firstLine="437"/>
        <w:spacing w:after="0" w:line="234" w:lineRule="auto"/>
        <w:rPr>
          <w:sz w:val="20"/>
          <w:szCs w:val="20"/>
          <w:color w:val="auto"/>
        </w:rPr>
      </w:pPr>
      <w:r>
        <w:rPr>
          <w:rFonts w:ascii="Courier New" w:cs="Courier New" w:eastAsia="Courier New" w:hAnsi="Courier New"/>
          <w:sz w:val="15"/>
          <w:szCs w:val="15"/>
          <w:color w:val="auto"/>
        </w:rPr>
        <w:t>No provision of this Article 12 shall prevent the occurrence of any default or Event of Default hereunder.</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Section 12.02. Payments to Securityholders. In the event and during the continuation of any default in the payment of principal, premium, interest or any other payment due on any Senior Indebtedness of the Issuer continuing beyond the period of grace, if any, specified in the instrument or lease evidencing such Senior Indebtedness of the Issuer, then, unless and until such default shall have been cured or waived or shall have ceased to exist, no payment shall be made by the Issuer with respect to the principal of, or premium, if any, or interest on the Securities, except sinking fund payments made by the acquisition of Securities under Section 11.05 prior to the happening of such default and payments made pursuant to Article 9 hereof from monies deposited with the Trustee pursuant thereto prior to the happening of such default.</w:t>
      </w:r>
    </w:p>
    <w:p>
      <w:pPr>
        <w:spacing w:after="0" w:line="165"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Upon any payment by the Issuer, or distribution of assets of the Issuer of any kind or character, whether in cash, property or securities, to creditors upon any dissolution or winding-up or liquidation or reorganization of the Issuer, whether voluntary or involuntary or in bankruptcy, insolvency, receivership or other proceedings, all amounts due or to become due upon all Senior Indebtedness of the Issuer shall first be paid in full, or payment thereof provided for in money in accordance with its terms, before any payment is made on account of the</w:t>
      </w:r>
    </w:p>
    <w:p>
      <w:pPr>
        <w:spacing w:after="0" w:line="33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66</w:t>
      </w:r>
    </w:p>
    <w:p>
      <w:pPr>
        <w:sectPr>
          <w:pgSz w:w="11900" w:h="16838" w:orient="portrait"/>
          <w:cols w:equalWidth="0" w:num="1">
            <w:col w:w="10239"/>
          </w:cols>
          <w:pgMar w:left="220" w:top="785" w:right="1440" w:bottom="1440" w:gutter="0" w:footer="0" w:header="0"/>
        </w:sectPr>
      </w:pPr>
    </w:p>
    <w:bookmarkStart w:id="214" w:name="page215"/>
    <w:bookmarkEnd w:id="214"/>
    <w:p>
      <w:pPr>
        <w:ind w:right="3319"/>
        <w:spacing w:after="0" w:line="254" w:lineRule="auto"/>
        <w:rPr>
          <w:sz w:val="20"/>
          <w:szCs w:val="20"/>
          <w:color w:val="auto"/>
        </w:rPr>
      </w:pPr>
      <w:r>
        <w:rPr>
          <w:rFonts w:ascii="Courier New" w:cs="Courier New" w:eastAsia="Courier New" w:hAnsi="Courier New"/>
          <w:sz w:val="14"/>
          <w:szCs w:val="14"/>
          <w:color w:val="auto"/>
        </w:rPr>
        <w:t>principal (and premium, if any) or interest on the Securities (except payments made pursuant to Article 9 hereof from monies deposited with the Trustee pursuant thereto prior to the happening of such dissolution, winding-up, liquidation or reorganization); and upon any such dissolution or winding-up or liquidation or reorganization any payment by the Issuer, or distribution of assets of the Issuer of and kind or character, whether in cash, property or securities, to which the holders of the Securities or the Trustee would be entitled, except for the provisions of this Article 12, shall (except as aforesaid) be paid by the Issuer or by any receiver, trustee in bankruptcy, liquidating trustee, agent or other Person making such payment or distribution, or by the holders of the Securities or by the Trustee under this Indenture if received by them or it, directly to the holders of Senior Indebtedness of the Issuer (pro rata to such holders on the basis of the respective amounts of Senior Indebtedness of the Issuer held by such holders, as calculated by the Issuer) or their representative or representatives, or to the trustee or trustees under any indenture pursuant to which any instruments evidencing any Senior Indebtedness of the Issuer may have been issued, as their respective interests may appear, to the extent necessary to pay all Senior Indebtedness of the Issuer in full, in money or money's worth, after giving effect to any concurrent payment or distribution to or for the holders of Senior Indebtedness of the Issuer, before any payment or distribution is made to the holders of the Securities or to the Trustee.</w:t>
      </w:r>
    </w:p>
    <w:p>
      <w:pPr>
        <w:spacing w:after="0" w:line="344"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In the event that, notwithstanding the foregoing, any payment or distribution of assets of the Issuer of any kind or character, whether in cash, property or securities, prohibited by the foregoing, shall be received by the Trustee or the holders of the Securities before all Senior Indebtedness of the Issuer is paid in full, or provision is made for such payment in money in accordance with its terms, such payment or distribution shall be held in trust for the benefit of and shall be paid over or delivered to the holders of Senior Indebtedness of the Issuer or their representative or representatives, or to the trustee or trustees under any indenture pursuant to which any instruments evidencing any Senior Indebtedness of the Issuer may have been issued, as their respective interests may appear, as calculated by the Issuer, for application to the payment of all Senior Indebtedness of the Issuer remaining unpaid to the extent necessary to pay all Senior Indebtedness of the Issuer in full in money in accordance with its terms, after giving effect to any concurrent payment or distribution to or for the holders of such Senior Indebtedness.</w:t>
      </w:r>
    </w:p>
    <w:p>
      <w:pPr>
        <w:spacing w:after="0" w:line="16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For purposes of this Article 12, the words, "cash, property or securities" shall not be deemed to include shares of stock of the Issuer as reorganized or readjusted, or securities of the Issuer or any other corporation provided for by a plan of reorganization or readjustment, the payment of which is subordinated at least to the extent provided in this Article 12 with respect to the Securities to the payment of all Senior Indebtedness of the Issuer which may at the time be outstanding; provided that (i) the Senior Indebtedness of the Issuer is assumed by</w:t>
      </w:r>
    </w:p>
    <w:p>
      <w:pPr>
        <w:spacing w:after="0" w:line="33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67</w:t>
      </w:r>
    </w:p>
    <w:p>
      <w:pPr>
        <w:sectPr>
          <w:pgSz w:w="11900" w:h="16838" w:orient="portrait"/>
          <w:cols w:equalWidth="0" w:num="1">
            <w:col w:w="10239"/>
          </w:cols>
          <w:pgMar w:left="220" w:top="792" w:right="1440" w:bottom="1440" w:gutter="0" w:footer="0" w:header="0"/>
        </w:sectPr>
      </w:pPr>
    </w:p>
    <w:bookmarkStart w:id="215" w:name="page216"/>
    <w:bookmarkEnd w:id="215"/>
    <w:p>
      <w:pPr>
        <w:ind w:right="3239"/>
        <w:spacing w:after="0" w:line="237" w:lineRule="auto"/>
        <w:rPr>
          <w:sz w:val="20"/>
          <w:szCs w:val="20"/>
          <w:color w:val="auto"/>
        </w:rPr>
      </w:pPr>
      <w:r>
        <w:rPr>
          <w:rFonts w:ascii="Courier New" w:cs="Courier New" w:eastAsia="Courier New" w:hAnsi="Courier New"/>
          <w:sz w:val="15"/>
          <w:szCs w:val="15"/>
          <w:color w:val="auto"/>
        </w:rPr>
        <w:t>the new corporation, if any, resulting from any such reorganization or readjustment, and (ii) the rights of the holders of the Senior Indebtedness of the Issuer (other than leases) and of leases which are assumed are not, without the consent of such holders, altered by such reorganization or readjustment. The consolidation of the Issuer with, or the merger of the Issuer into, another corporation or the liquidation or dissolution of the Issuer following the conveyance or transfer of its property as an entirety, or substantially as an entirety, to another corporation upon the terms and conditions provided for in Article 8 hereof shall not be deemed a dissolution, winding-up, liquidation or reorganization for the purposes of this Section 12.02 if such other corporation shall, as a part of such consolidation, merger, conveyance or transfer, comply with the conditions stated in Article 8 hereof. Nothing in this Section 12.02 shall apply to claims of, or payments to, the Trustee under or pursuant to Section 5.06.</w:t>
      </w:r>
    </w:p>
    <w:p>
      <w:pPr>
        <w:spacing w:after="0" w:line="174"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Section 12.03. Subrogation of Securities. Subject to the payment in full of all Senior Indebtedness of the Issuer, the rights of the holders of the Securities shall be subrogated to the rights of the holders of Senior Indebtedness of the Issuer to receive payments or distributions of cash, property or securities of the Issuer applicable to the Senior Indebtedness of the Issuer until the principal of (and premium, if any) and interest on the Securities shall be paid in full; and, for the purposes of such subrogation, no payments or distributions to the holders of the Senior Indebtedness of the Issuer of any cash, property or securities to which the holders of the Securities or the Trustee would be entitled except for the provisions of this Article 12 no payment over pursuant to the provisions of this Article 12, to or for the benefit of the holders of Senior Indebtedness of the Issuer by holders of the Securities or the Trustee, shall, as between the Issuer, its creditors other than holders of Senior Indebtedness of the Issuer, and the holders of the Securities, be deemed to be a payment by the Issuer to or on account of the Senior Indebtedness of the Issuer. It is understood that the provisions of this Article 12 are and are intended solely for the purpose of defining the relative rights of the holders of the Securities, on the one hand, and the holders of the Senior Indebtedness of the Issuer, on the other hand.</w:t>
      </w:r>
    </w:p>
    <w:p>
      <w:pPr>
        <w:spacing w:after="0" w:line="343"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Nothing contained in this Article 12 or elsewhere in this Indenture or in the Securities is intended to or shall impair, as between the Issuer, its creditors other than the holders of its Senior Indebtedness, and the holders of the Securities, the obligation of the Issuer, which is absolute and unconditional, to pay to the holders of the Securities the principal of (and premium, if any) and interest on the Securities as and when the same shall become due and payable in accordance with their terms, or is intended to or shall affect the relative rights of the holders of the Securities and creditors of the Issuer other than the holders of its Senior Indebtedness, nor shall anything herein or therein prevent the Trustee or the holder of any Security from exercising all remedies otherwise permitted by applicable law upon default under this Indenture, subject to the rights, if any, under this Article 12 of the holders of Senior Indebtedness of the Issuer in respect</w:t>
      </w:r>
    </w:p>
    <w:p>
      <w:pPr>
        <w:spacing w:after="0" w:line="32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68</w:t>
      </w:r>
    </w:p>
    <w:p>
      <w:pPr>
        <w:sectPr>
          <w:pgSz w:w="11900" w:h="16838" w:orient="portrait"/>
          <w:cols w:equalWidth="0" w:num="1">
            <w:col w:w="10239"/>
          </w:cols>
          <w:pgMar w:left="220" w:top="792" w:right="1440" w:bottom="1440" w:gutter="0" w:footer="0" w:header="0"/>
        </w:sectPr>
      </w:pPr>
    </w:p>
    <w:bookmarkStart w:id="216" w:name="page217"/>
    <w:bookmarkEnd w:id="216"/>
    <w:p>
      <w:pPr>
        <w:ind w:right="3319"/>
        <w:spacing w:after="0" w:line="234" w:lineRule="auto"/>
        <w:rPr>
          <w:sz w:val="20"/>
          <w:szCs w:val="20"/>
          <w:color w:val="auto"/>
        </w:rPr>
      </w:pPr>
      <w:r>
        <w:rPr>
          <w:rFonts w:ascii="Courier New" w:cs="Courier New" w:eastAsia="Courier New" w:hAnsi="Courier New"/>
          <w:sz w:val="15"/>
          <w:szCs w:val="15"/>
          <w:color w:val="auto"/>
        </w:rPr>
        <w:t>of cash, property or securities of the Issuer received upon the exercise of any such remedy.</w:t>
      </w:r>
    </w:p>
    <w:p>
      <w:pPr>
        <w:spacing w:after="0" w:line="173"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Upon any payment or distribution of assets of the Issuer referred to in this Article 12, the Trustee, subject to the provisions of Section 5.01, and the holders of the Securities shall be entitled to rely upon any order or decree made by any court of competent jurisdiction in which such dissolution, winding-up, liquidation or reorganization proceedings are pending, or a certificate of the receiver, trustee in bankruptcy, liquidating trustee, agent or other Person making such payment or distribution, delivered to the Trustee or to the holders of the Securities, for the purpose of ascertaining the Persons entitled to participate in such distribution, the holders of the Senior Indebtedness and other indebtedness of the Issuer, the amount thereof or payable thereon, the amount or amounts paid or distributed thereon and all other facts pertinent thereto or to this Article 12.</w:t>
      </w:r>
    </w:p>
    <w:p>
      <w:pPr>
        <w:spacing w:after="0" w:line="173"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Section 12.04. Authorization by Securityholders. Each holder of a Security by his acceptance thereof authorizes and directs the Trustee in his behalf to take such action as may be necessary or appropriate to effectuate the subordination provided in this Article 12 appoints the Trustee his attorney-in-fact for any and all such purposes.</w:t>
      </w:r>
    </w:p>
    <w:p>
      <w:pPr>
        <w:spacing w:after="0" w:line="174"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Section 12.05. Notice to Trustee. The Issuer shall give promptly written notice to a Responsible Officer of the Trustee of any fact known to the Issuer which would prohibit the making of any payment of monies to or by the Trustee in respect of the Securities pursuant to the provisions of this Article 12. Notwithstanding the provisions of this Article 12 or any other provision of this Indenture, the Trustee shall not be charged with knowledge of the existence of any facts which would prohibit the making of any payment of monies to or by the Trustee in respect of the Securities pursuant to the provisions of this Article 12, unless and until a Responsible Officer of the Trustee shall have received written notice thereof at the Corporate Trust Office of the Trustee from the Issuer or a holder or holders of Senior Indebtedness or from any trustee therefor; and before the receipt of any such written notice, the Trustee, subject to the provisions of Section 5.01, shall be entitled in all respects to assume that no such facts exist; provided that if on a date not fewer than three Business Days prior to the date upon which by the terms hereof any such monies may become payable for any purpose (including, without limitation, the payment of the principal of (or premium, if any) or interest on any Security) the Trustee shall not have received, with respect to such monies, the notice provided for in this Section 12.05, then, anything herein contained to the contrary notwithstanding, the Trustee shall have full power and authority to receive such monies and to apply the same to the purpose for which they were received, and shall not be affected by any notice to the contrary which may be received by it on or after such prior date.</w:t>
      </w:r>
    </w:p>
    <w:p>
      <w:pPr>
        <w:spacing w:after="0" w:line="200" w:lineRule="exact"/>
        <w:rPr>
          <w:sz w:val="20"/>
          <w:szCs w:val="20"/>
          <w:color w:val="auto"/>
        </w:rPr>
      </w:pPr>
    </w:p>
    <w:p>
      <w:pPr>
        <w:spacing w:after="0" w:line="30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69</w:t>
      </w:r>
    </w:p>
    <w:p>
      <w:pPr>
        <w:sectPr>
          <w:pgSz w:w="11900" w:h="16838" w:orient="portrait"/>
          <w:cols w:equalWidth="0" w:num="1">
            <w:col w:w="10239"/>
          </w:cols>
          <w:pgMar w:left="220" w:top="792" w:right="1440" w:bottom="1440" w:gutter="0" w:footer="0" w:header="0"/>
        </w:sectPr>
      </w:pPr>
    </w:p>
    <w:bookmarkStart w:id="217" w:name="page218"/>
    <w:bookmarkEnd w:id="217"/>
    <w:p>
      <w:pPr>
        <w:ind w:right="3239" w:firstLine="437"/>
        <w:spacing w:after="0" w:line="255" w:lineRule="auto"/>
        <w:rPr>
          <w:sz w:val="20"/>
          <w:szCs w:val="20"/>
          <w:color w:val="auto"/>
        </w:rPr>
      </w:pPr>
      <w:r>
        <w:rPr>
          <w:rFonts w:ascii="Courier New" w:cs="Courier New" w:eastAsia="Courier New" w:hAnsi="Courier New"/>
          <w:sz w:val="14"/>
          <w:szCs w:val="14"/>
          <w:color w:val="auto"/>
        </w:rPr>
        <w:t>Notwithstanding anything to the contrary hereinbefore set forth, nothing shall prevent any payment by the Issuer or the Trustee to the Securityholders of monies in connection with a redemption of Securities if (i) notice of such redemption has been given pursuant to Article 11 or Section 9.01 hereof prior to the receipt by the Trustee of written notice as aforesaid, and (ii) such notice of redemption is given not earlier than 60 days before the redemption date.</w:t>
      </w:r>
    </w:p>
    <w:p>
      <w:pPr>
        <w:spacing w:after="0" w:line="166"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The Trustee conclusively shall be entitled to rely on the delivery to it of a written notice by a Person representing himself to be a holder of Senior Indebtedness of the Issuer (or a trustee on behalf of such holder) to establish that such notice has been given by a holder of Senior Indebtedness of the Issuer or a trustee on behalf of any such holder or holders. In the event that the Trustee determines in good faith that further evidence is required with respect to the right of any Person as a holder of Senior Indebtedness of the Issuer to participate in any payment or distribution pursuant to this Article 12, the Trustee may request such Person to furnish evidence to the reasonable satisfaction of the Trustee as to the amount of Senior Indebtedness of the Issuer held by such Person, the extent to which such Person is entitled to participate in such payment or distribution and any other facts pertinent to the rights of such Person under this Article 12, and if such evidence is not furnished the Trustee may defer any payment to such Person pending judicial determination as to the right of such Person to receive such payment.</w:t>
      </w:r>
    </w:p>
    <w:p>
      <w:pPr>
        <w:spacing w:after="0" w:line="163"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Section 12.06. Trustee's Relation to Senior Indebtedness. The Trustee in its individual capacity shall be entitled to all the rights set forth in this Article 12 in respect of any Senior Indebtedness of the Issuer at any time held by it, to the same extent as any other holder of Senior Indebtedness of the Issuer and nothing elsewhere in this Indenture shall deprive the Trustee of any of its rights as such holder.</w:t>
      </w:r>
    </w:p>
    <w:p>
      <w:pPr>
        <w:spacing w:after="0" w:line="175"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With respect to the holders of Senior Indebtedness of the Issuer, the Trustee undertakes to perform or to observe only such of its covenants and obligations as are specifically set forth in this Article 12, and no implied covenants or obligations with respect to the holders of Senior Indebtedness of the Issuer shall be read into this Indenture against the Trustee. The Trustee shall not be deemed to owe any fiduciary duty to the holders of Senior Indebtedness of the Issuer and the Trustee shall not be liable to any holder of Senior Indebtedness of the Issuer if it shall pay over or deliver to holders of Securities, the Issuer or any other Person money or assets to which any holder of Senior Indebtedness of the Issuer shall be entitled by virtue of this Article 12 or otherwise.</w:t>
      </w:r>
    </w:p>
    <w:p>
      <w:pPr>
        <w:spacing w:after="0" w:line="180" w:lineRule="exact"/>
        <w:rPr>
          <w:sz w:val="20"/>
          <w:szCs w:val="20"/>
          <w:color w:val="auto"/>
        </w:rPr>
      </w:pPr>
    </w:p>
    <w:p>
      <w:pPr>
        <w:ind w:right="3399" w:firstLine="437"/>
        <w:spacing w:after="0" w:line="236" w:lineRule="auto"/>
        <w:rPr>
          <w:sz w:val="20"/>
          <w:szCs w:val="20"/>
          <w:color w:val="auto"/>
        </w:rPr>
      </w:pPr>
      <w:r>
        <w:rPr>
          <w:rFonts w:ascii="Courier New" w:cs="Courier New" w:eastAsia="Courier New" w:hAnsi="Courier New"/>
          <w:sz w:val="15"/>
          <w:szCs w:val="15"/>
          <w:color w:val="auto"/>
        </w:rPr>
        <w:t>Section 12.07. No Impairment of Subordination. No right of any present or future holder of any Senior Indebtedness to enforce subordination as herein provided shall at any time in any way be prejudiced or impaired by any act or failure to act on the part of the Issuer or by any act or failure to act, in good faith,</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70</w:t>
      </w:r>
    </w:p>
    <w:p>
      <w:pPr>
        <w:sectPr>
          <w:pgSz w:w="11900" w:h="16838" w:orient="portrait"/>
          <w:cols w:equalWidth="0" w:num="1">
            <w:col w:w="10239"/>
          </w:cols>
          <w:pgMar w:left="220" w:top="792" w:right="1440" w:bottom="1440" w:gutter="0" w:footer="0" w:header="0"/>
        </w:sectPr>
      </w:pPr>
    </w:p>
    <w:bookmarkStart w:id="218" w:name="page219"/>
    <w:bookmarkEnd w:id="218"/>
    <w:p>
      <w:pPr>
        <w:spacing w:after="0"/>
        <w:rPr>
          <w:sz w:val="20"/>
          <w:szCs w:val="20"/>
          <w:color w:val="auto"/>
        </w:rPr>
      </w:pPr>
      <w:r>
        <w:rPr>
          <w:rFonts w:ascii="Courier New" w:cs="Courier New" w:eastAsia="Courier New" w:hAnsi="Courier New"/>
          <w:sz w:val="15"/>
          <w:szCs w:val="15"/>
          <w:color w:val="auto"/>
        </w:rPr>
        <w:t>by any such holder, or by any noncompliance by the Issuer with the</w:t>
      </w:r>
    </w:p>
    <w:p>
      <w:pPr>
        <w:spacing w:after="0" w:line="5" w:lineRule="exact"/>
        <w:rPr>
          <w:sz w:val="20"/>
          <w:szCs w:val="20"/>
          <w:color w:val="auto"/>
        </w:rPr>
      </w:pPr>
    </w:p>
    <w:p>
      <w:pPr>
        <w:ind w:right="3399"/>
        <w:spacing w:after="0" w:line="261" w:lineRule="auto"/>
        <w:rPr>
          <w:sz w:val="20"/>
          <w:szCs w:val="20"/>
          <w:color w:val="auto"/>
        </w:rPr>
      </w:pPr>
      <w:r>
        <w:rPr>
          <w:rFonts w:ascii="Courier New" w:cs="Courier New" w:eastAsia="Courier New" w:hAnsi="Courier New"/>
          <w:sz w:val="14"/>
          <w:szCs w:val="14"/>
          <w:color w:val="auto"/>
        </w:rPr>
        <w:t>terms, provisions and covenants of this Indenture, regardless of any knowledge thereof which any such holder may have or otherwise be charge with.</w:t>
      </w:r>
    </w:p>
    <w:p>
      <w:pPr>
        <w:spacing w:after="0" w:line="160" w:lineRule="exact"/>
        <w:rPr>
          <w:sz w:val="20"/>
          <w:szCs w:val="20"/>
          <w:color w:val="auto"/>
        </w:rPr>
      </w:pPr>
    </w:p>
    <w:p>
      <w:pPr>
        <w:ind w:right="3239" w:firstLine="437"/>
        <w:spacing w:after="0" w:line="234" w:lineRule="auto"/>
        <w:rPr>
          <w:sz w:val="20"/>
          <w:szCs w:val="20"/>
          <w:color w:val="auto"/>
        </w:rPr>
      </w:pPr>
      <w:r>
        <w:rPr>
          <w:rFonts w:ascii="Courier New" w:cs="Courier New" w:eastAsia="Courier New" w:hAnsi="Courier New"/>
          <w:sz w:val="15"/>
          <w:szCs w:val="15"/>
          <w:color w:val="auto"/>
        </w:rPr>
        <w:t>Section 12.08. Rights of Trustee. Nothing in this Article 12 shall apply to claims of or payments to, the Trustee pursuant to Section 5.06 or 9.04.</w:t>
      </w:r>
    </w:p>
    <w:p>
      <w:pPr>
        <w:spacing w:after="0" w:line="335"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Article 13</w:t>
      </w:r>
    </w:p>
    <w:p>
      <w:pPr>
        <w:jc w:val="center"/>
        <w:ind w:right="3239"/>
        <w:spacing w:after="0" w:line="237" w:lineRule="auto"/>
        <w:rPr>
          <w:sz w:val="20"/>
          <w:szCs w:val="20"/>
          <w:color w:val="auto"/>
        </w:rPr>
      </w:pPr>
      <w:r>
        <w:rPr>
          <w:rFonts w:ascii="Courier New" w:cs="Courier New" w:eastAsia="Courier New" w:hAnsi="Courier New"/>
          <w:sz w:val="15"/>
          <w:szCs w:val="15"/>
          <w:color w:val="auto"/>
        </w:rPr>
        <w:t>CONVERSION OF SECURITIES</w:t>
      </w:r>
    </w:p>
    <w:p>
      <w:pPr>
        <w:spacing w:after="0" w:line="173"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SECTION 13.01. Applicability of Article. Securities of any series which are convertible into Capital Stock at the option of the Securityholder shall be convertible in accordance with their terms and (unless otherwise specified as contemplated by Section 2.03 for Securities of any series) in accordance with this Article. Each reference in this Article 13 to "a Security" or "the Securities" refers to the Securities of the particular series that is convertible into Capital Stock. Each reference in this Article to "Capital Stock" into which Securities of any series are convertible refers to the class of Capital Stock into which the Securities of such series are convertible in accordance with their terms (as specified as contemplated by Section 2.03). If more than one series of Securities with conversion privileges are outstanding at any time, the provisions of this Article 13 shall be applied separately to each such series.</w:t>
      </w:r>
    </w:p>
    <w:p>
      <w:pPr>
        <w:spacing w:after="0" w:line="173"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SECTION 13.02. Right of Securityholders to Convert Securities. Subject to and upon compliance with the terms of the Securities and the provisions of Section 11.06 and this Article 13, at the option of the holder thereof, any Security of any series of any authorized denomination, or any portion of the principal amount thereof which is $1,000 or any integral multiple of $1,000, may, at any time during the period specified in the Securities of such series, or in case such Security or portion thereof shall have been called for redemption, then in respect of such Security or portion thereof until and including, but not after (unless the Issuer shall default in payment due upon the redemption thereof) the close of business on the Business Day prior to the date fixed for redemption except that in the case of redemption at the option of the Securityholder, if specified in the terms of such Securities, such right shall terminate upon receipt of written notice of the exercise of such option, be converted into duly authorized, validly issued, fully paid and nonassessable shares of the class of Class A Common Stock and Class A Special Common Stock, or combination thereof, as specified in such Security, at the conversion rate for each $1,000 principal amount of Securities (such initial conversion rate reflecting an initial conversion price specified in such Security) in effect on the conversion date, or, in case an adjustment in the conversion rate has taken place pursuant to the provisions of Section 13.05, then at the applicable conversion rate as so adjusted, upon surrender of the Security or Securities, the principal amount of which is so to be converted, to the Issuer at any time during</w:t>
      </w:r>
    </w:p>
    <w:p>
      <w:pPr>
        <w:spacing w:after="0" w:line="33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71</w:t>
      </w:r>
    </w:p>
    <w:p>
      <w:pPr>
        <w:sectPr>
          <w:pgSz w:w="11900" w:h="16838" w:orient="portrait"/>
          <w:cols w:equalWidth="0" w:num="1">
            <w:col w:w="10239"/>
          </w:cols>
          <w:pgMar w:left="220" w:top="785" w:right="1440" w:bottom="1440" w:gutter="0" w:footer="0" w:header="0"/>
        </w:sectPr>
      </w:pPr>
    </w:p>
    <w:bookmarkStart w:id="219" w:name="page220"/>
    <w:bookmarkEnd w:id="219"/>
    <w:p>
      <w:pPr>
        <w:ind w:right="3319"/>
        <w:spacing w:after="0" w:line="255" w:lineRule="auto"/>
        <w:rPr>
          <w:sz w:val="20"/>
          <w:szCs w:val="20"/>
          <w:color w:val="auto"/>
        </w:rPr>
      </w:pPr>
      <w:r>
        <w:rPr>
          <w:rFonts w:ascii="Courier New" w:cs="Courier New" w:eastAsia="Courier New" w:hAnsi="Courier New"/>
          <w:sz w:val="14"/>
          <w:szCs w:val="14"/>
          <w:color w:val="auto"/>
        </w:rPr>
        <w:t>usual business hours at the office or agency to be maintained by it in accordance with the provisions of Section 3.02, accompanied by a written notice of election to convert as provided in Section 13.03 and, if so required by the Issuer and the Trustee, by a written instrument or instruments of transfer in form satisfactory to the Issuer and the Trustee duly executed by the registered holder or his attorney duly authorized in writing. All Securities surrendered for conversion shall, if surrendered to the Issuer or any conversion agent, be delivered to the Trustee for cancellation and cancelled by it, or shall, if surrendered to the Trustee, be cancelled by it, as provided in Section 2.10.</w:t>
      </w:r>
    </w:p>
    <w:p>
      <w:pPr>
        <w:spacing w:after="0" w:line="165"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initial conversion price or conversion rate in respect of a series of Securities shall be as specified in the Securities of such series. The conversion price or conversion rate will be subject to adjustment on the terms set forth in Section 13.05 or such other or different terms, if any, as may be specified by Section 2.03 for Securities of such series. Provisions of this Indenture that apply to conversion of all of a Security also apply to conversion of a portion of it.</w:t>
      </w:r>
    </w:p>
    <w:p>
      <w:pPr>
        <w:spacing w:after="0" w:line="176"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SECTION 13.03. Issuance of Shares of Capital Stock on Conversion. As promptly as practicable after the surrender, as herein provided, of any Security or Securities for conversion, the Issuer shall deliver or cause to be delivered at its said office or agency to or upon the written order of the holder of the Security or Securities so surrendered a certificate or certificates representing the number of duly authorized, validly issued, fully paid and nonassessable shares of Capital Stock into which such Security or Securities may be converted in accordance with the terms thereof and the provisions of this Article 13. Prior to delivery of such certificate or certificates, the Issuer shall require a written notice at its said office or agency from the holder of the Security or Securities so surrendered stating that the holder irrevocably elects to convert such Security or Securities, or, if less than the entire principal amount thereof is to be converted, stating the portion thereof to be converted. Such notice shall also state the name or names (with address and social security or other taxpayer identification number) in which said certificate or certificates are to be issued. Such conversion shall be deemed to have been made at the time that such Security or Securities shall have been surrendered for conversion and such notice shall have been received by the Issuer or the Trustee, the rights of the holder of such Security or Securities as a Securityholder shall cease at such time, the person or persons entitled to receive the shares of Capital Stock upon conversion of such Security or Securities shall be treated for all purposes as having become the record holder or holders of such shares of Capital Stock at such time and such conversion shall be at the conversion rate in effect at such time. In the case of any Security of any series which is converted in part only, upon such conversion, the Issuer shall execute and the Trustee shall authenticate and deliver to the holder thereof, as requested by such holder, a new Security or Securities of such series of authorized denominations in aggregate principal amount equal to the unconverted portion of such Security.</w:t>
      </w:r>
    </w:p>
    <w:p>
      <w:pPr>
        <w:spacing w:after="0" w:line="200" w:lineRule="exact"/>
        <w:rPr>
          <w:sz w:val="20"/>
          <w:szCs w:val="20"/>
          <w:color w:val="auto"/>
        </w:rPr>
      </w:pPr>
    </w:p>
    <w:p>
      <w:pPr>
        <w:spacing w:after="0" w:line="30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72</w:t>
      </w:r>
    </w:p>
    <w:p>
      <w:pPr>
        <w:sectPr>
          <w:pgSz w:w="11900" w:h="16838" w:orient="portrait"/>
          <w:cols w:equalWidth="0" w:num="1">
            <w:col w:w="10239"/>
          </w:cols>
          <w:pgMar w:left="220" w:top="792" w:right="1440" w:bottom="1440" w:gutter="0" w:footer="0" w:header="0"/>
        </w:sectPr>
      </w:pPr>
    </w:p>
    <w:bookmarkStart w:id="220" w:name="page221"/>
    <w:bookmarkEnd w:id="220"/>
    <w:p>
      <w:pPr>
        <w:jc w:val="both"/>
        <w:ind w:right="3319" w:firstLine="437"/>
        <w:spacing w:after="0" w:line="258" w:lineRule="auto"/>
        <w:rPr>
          <w:sz w:val="20"/>
          <w:szCs w:val="20"/>
          <w:color w:val="auto"/>
        </w:rPr>
      </w:pPr>
      <w:r>
        <w:rPr>
          <w:rFonts w:ascii="Courier New" w:cs="Courier New" w:eastAsia="Courier New" w:hAnsi="Courier New"/>
          <w:sz w:val="14"/>
          <w:szCs w:val="14"/>
          <w:color w:val="auto"/>
        </w:rPr>
        <w:t>If the last day on which a Security may be converted is not a Business Day in a place where a conversion agent is located, the Security may be surrendered to that conversion agent on the next succeeding day that is a Business Day.</w:t>
      </w:r>
    </w:p>
    <w:p>
      <w:pPr>
        <w:spacing w:after="0" w:line="161"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Issuer will not be required to deliver certificates for shares of Capital Stock upon conversion while its stock transfer books are closed for a meeting of shareholders or for the payment of dividends or for any other purpose, but certificates for shares of Capital Stock shall be delivered as soon as the stock transfer books shall again be opened.</w:t>
      </w:r>
    </w:p>
    <w:p>
      <w:pPr>
        <w:spacing w:after="0" w:line="174"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SECTION 13.04. No Payment or Adjustment for Interest or Dividends. Unless otherwise specified as contemplated by Section 2.03 for Securities of such series, Securities surrendered for conversion during the period from the close of business on any regular record date (or special record date for payment of defaulted interest) next preceding any interest payment date to the opening of business on such interest payment date (except Securities called for redemption on a redemption date within such period) when surrendered for conversion must be accompanied by payment of an amount equal to the interest thereon which the registered holder is to receive on such interest payment date. Payment of interest shall be made, as of such interest payment date or such date, as the case may be, to the holder of record of the Securities as of such regular, or special record date, as applicable. Except where Securities surrendered for conversion must be accompanied by payment as described above, no interest on converted Securities will be payable by the Issuer on any interest payment date subsequent to the date of conversion. No other payment or adjustment for interest or dividends is to be made upon conversion. Notwithstanding the foregoing, upon conversion of any Security with original issue discount, the fixed number of shares of Capital Stock into which such Security is convertible delivered by the Issuer to the holder thereof shall be applied, first, to pay the accrued original issue discount attributable to the period from the date of issuance to the date of conversion of such Security, and, second, to pay the balance of the principal amount of such Security.</w:t>
      </w:r>
    </w:p>
    <w:p>
      <w:pPr>
        <w:spacing w:after="0" w:line="344" w:lineRule="exact"/>
        <w:rPr>
          <w:sz w:val="20"/>
          <w:szCs w:val="20"/>
          <w:color w:val="auto"/>
        </w:rPr>
      </w:pPr>
    </w:p>
    <w:p>
      <w:pPr>
        <w:jc w:val="both"/>
        <w:ind w:right="3239" w:firstLine="437"/>
        <w:spacing w:after="0" w:line="258" w:lineRule="auto"/>
        <w:rPr>
          <w:sz w:val="20"/>
          <w:szCs w:val="20"/>
          <w:color w:val="auto"/>
        </w:rPr>
      </w:pPr>
      <w:r>
        <w:rPr>
          <w:rFonts w:ascii="Courier New" w:cs="Courier New" w:eastAsia="Courier New" w:hAnsi="Courier New"/>
          <w:sz w:val="14"/>
          <w:szCs w:val="14"/>
          <w:color w:val="auto"/>
        </w:rPr>
        <w:t>SECTION 13.05. Adjustment of Conversion Rate. Unless otherwise specified as contemplated by Section 2.03 for Securities of such series, the conversion rate for Securities in effect at any time shall be subject to adjustment as follows:</w:t>
      </w:r>
    </w:p>
    <w:p>
      <w:pPr>
        <w:spacing w:after="0" w:line="161" w:lineRule="exact"/>
        <w:rPr>
          <w:sz w:val="20"/>
          <w:szCs w:val="20"/>
          <w:color w:val="auto"/>
        </w:rPr>
      </w:pPr>
    </w:p>
    <w:p>
      <w:pPr>
        <w:ind w:right="3319" w:firstLine="447"/>
        <w:spacing w:after="0" w:line="236" w:lineRule="auto"/>
        <w:tabs>
          <w:tab w:leader="none" w:pos="787" w:val="left"/>
        </w:tabs>
        <w:numPr>
          <w:ilvl w:val="0"/>
          <w:numId w:val="1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case the Issuer shall (i) declare a dividend or make a distribution on the class of Capital Stock into which Securities of such series are convertible in shares of its Capital Stock, (ii) subdivide the outstanding shares of the class of Capital Stock into which Securities of such series are convertible into a greater number of shares, (iii) combine the outstanding shares of the class of Capital Stock into which Securities of such series are convertible into a smaller number of shares, or (iv) issue by reclassification of the shares, of the class of Capital Stock</w:t>
      </w:r>
    </w:p>
    <w:p>
      <w:pPr>
        <w:spacing w:after="0" w:line="33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73</w:t>
      </w:r>
    </w:p>
    <w:p>
      <w:pPr>
        <w:sectPr>
          <w:pgSz w:w="11900" w:h="16838" w:orient="portrait"/>
          <w:cols w:equalWidth="0" w:num="1">
            <w:col w:w="10239"/>
          </w:cols>
          <w:pgMar w:left="220" w:top="792" w:right="1440" w:bottom="1440" w:gutter="0" w:footer="0" w:header="0"/>
        </w:sectPr>
      </w:pPr>
    </w:p>
    <w:bookmarkStart w:id="221" w:name="page222"/>
    <w:bookmarkEnd w:id="221"/>
    <w:p>
      <w:pPr>
        <w:ind w:right="3239"/>
        <w:spacing w:after="0" w:line="236" w:lineRule="auto"/>
        <w:rPr>
          <w:sz w:val="20"/>
          <w:szCs w:val="20"/>
          <w:color w:val="auto"/>
        </w:rPr>
      </w:pPr>
      <w:r>
        <w:rPr>
          <w:rFonts w:ascii="Courier New" w:cs="Courier New" w:eastAsia="Courier New" w:hAnsi="Courier New"/>
          <w:sz w:val="15"/>
          <w:szCs w:val="15"/>
          <w:color w:val="auto"/>
        </w:rPr>
        <w:t>into which Securities of such series are convertible (including any such reclassification in connection with a consolidation or merger in which the Issuer is the continuing corporation) any shares, the conversion rate for the Securities of such series in effect at the time of the record date for such dividend or distribution, or the effective date of such subdivision, combination or reclassification, shall be proportionately adjusted so that the holder of any Security of such series surrendered for conversion after such time shall be entitled to receive the number and kind of shares which he would have owned or have been entitled to receive had such Security been converted immediately prior to such time. Similar adjustments shall be made whenever any event listed above shall occur.</w:t>
      </w:r>
    </w:p>
    <w:p>
      <w:pPr>
        <w:spacing w:after="0" w:line="180" w:lineRule="exact"/>
        <w:rPr>
          <w:sz w:val="20"/>
          <w:szCs w:val="20"/>
          <w:color w:val="auto"/>
        </w:rPr>
      </w:pPr>
    </w:p>
    <w:p>
      <w:pPr>
        <w:ind w:right="3239" w:firstLine="447"/>
        <w:spacing w:after="0" w:line="254" w:lineRule="auto"/>
        <w:tabs>
          <w:tab w:leader="none" w:pos="787" w:val="left"/>
        </w:tabs>
        <w:numPr>
          <w:ilvl w:val="0"/>
          <w:numId w:val="1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case the Issuer shall fix a record date for the issuance of rights or warrants to all holders of the class of Capital Stock into which Securities of such series are convertible entitling them (for a period expiring within 45 days after such record date) to subscribe for or purchase shares of such class of Capital Stock (or securities convertible into shares of such class of Capital Stock) at a price per share (or, in the case of a right or warrant to purchase securities convertible into such class of Capital Stock, having a conversion price per share, after adding thereto the exercise price, computed on the basis of the maximum number of shares of such class of Capital Stock issuable upon conversion of such convertible securities, per share of such class of Capital Stock, so issuable) less than the current market price per share of such class of Capital Stock (as defined in subsection (e) below) on the date on which such issuance was declared or otherwise announced by the Issuer (the "Determination Date"), the number of shares of such class of Capital Stock into which each $1,000 principal amount of Securities shall be convertible after such record date shall be determined by multiplying the number of shares of such class of Capital Stock into which such principal amount of Securities was convertible immediately prior to such record date by a fraction, of which the numerator shall be the number of shares of such class of Capital Stock outstanding on the Determination Date plus the number of additional shares of such class of Capital Stock offered for subscription or purchase (or in the case of a right or warrant to purchase securities convertible into such class of Capital Stock, the aggregate number of additional shares of such class of Capital Stock into which the convertible securities so offered are initially convertible), and of which the denominator shall be the number of shares of such class of Capital Stock outstanding on the Determination Date plus the number of shares of such class of Capital Stock obtained by dividing the aggregate offering price of the total number of shares so offered (or, in the case of a right or warrant to purchase securities convertible into such class of Capital Stock, the aggregate initial conversion price of the convertible securities so offered, after adding thereto the aggregate exercise price of such rights or warrants computed on the basis of the maximum number of shares of such class of Capital Stock issuable upon conversion of such convertible securities) by such current market price.</w:t>
      </w:r>
    </w:p>
    <w:p>
      <w:pPr>
        <w:spacing w:after="0" w:line="200" w:lineRule="exact"/>
        <w:rPr>
          <w:sz w:val="20"/>
          <w:szCs w:val="20"/>
          <w:color w:val="auto"/>
        </w:rPr>
      </w:pPr>
    </w:p>
    <w:p>
      <w:pPr>
        <w:spacing w:after="0" w:line="30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74</w:t>
      </w:r>
    </w:p>
    <w:p>
      <w:pPr>
        <w:sectPr>
          <w:pgSz w:w="11900" w:h="16838" w:orient="portrait"/>
          <w:cols w:equalWidth="0" w:num="1">
            <w:col w:w="10239"/>
          </w:cols>
          <w:pgMar w:left="220" w:top="792" w:right="1440" w:bottom="1440" w:gutter="0" w:footer="0" w:header="0"/>
        </w:sectPr>
      </w:pPr>
    </w:p>
    <w:bookmarkStart w:id="222" w:name="page223"/>
    <w:bookmarkEnd w:id="222"/>
    <w:p>
      <w:pPr>
        <w:ind w:right="3239"/>
        <w:spacing w:after="0" w:line="255" w:lineRule="auto"/>
        <w:rPr>
          <w:sz w:val="20"/>
          <w:szCs w:val="20"/>
          <w:color w:val="auto"/>
        </w:rPr>
      </w:pPr>
      <w:r>
        <w:rPr>
          <w:rFonts w:ascii="Courier New" w:cs="Courier New" w:eastAsia="Courier New" w:hAnsi="Courier New"/>
          <w:sz w:val="14"/>
          <w:szCs w:val="14"/>
          <w:color w:val="auto"/>
        </w:rPr>
        <w:t>Shares of such class of Capital Stock of the Issuer owned by or held for the account of the Issuer shall not be deemed outstanding for the purpose of any such computation. Such adjustment shall be made successively whenever such a record date is fixed; and to the extent that shares of such class of Capital Stock are not delivered (or securities convertible into shares of such class of Capital Stock are not delivered) after the expiration of such rights or warrants (or, in the case of rights or warrants to purchase securities convertible into such class of Capital Stock once exercised, the expiration of the conversion right of such securities) the conversion rate shall be readjusted to the conversion rate which would then be in effect had the adjustments made upon the issuance of such rights or warrants (or securities convertible into shares) been made upon the basis of delivery of only the number of shares actually delivered. In the event that such rights or warrants are not so issued, the conversion rate shall again be adjusted to be the conversion rate which would then be in effect if such record date had not been fixed.</w:t>
      </w:r>
    </w:p>
    <w:p>
      <w:pPr>
        <w:spacing w:after="0" w:line="332" w:lineRule="exact"/>
        <w:rPr>
          <w:sz w:val="20"/>
          <w:szCs w:val="20"/>
          <w:color w:val="auto"/>
        </w:rPr>
      </w:pPr>
    </w:p>
    <w:p>
      <w:pPr>
        <w:ind w:right="3239" w:firstLine="447"/>
        <w:spacing w:after="0" w:line="254" w:lineRule="auto"/>
        <w:tabs>
          <w:tab w:leader="none" w:pos="787" w:val="left"/>
        </w:tabs>
        <w:numPr>
          <w:ilvl w:val="0"/>
          <w:numId w:val="1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case the Issuer shall fix a record date for the making of a distribution to all holders of the class of Capital Stock into which Securities of such series are convertible (including any such distribution made in connection with a consolidation or merger in which the Issuer is the continuing corporation) of evidences of its indebtedness or assets (excluding any cash dividends paid from retained earnings and dividends payable in Capital Stock for which adjustment is made pursuant to subsection (a) above or (d) below) or subscription rights or warrants (excluding subscription rights or warrants to purchase the class of Capital Stock into which Securities of such series are convertible), the number of shares of such class of Capital Stock into which each $1,000 principal amount of Securities of such series shall be convertible after such record date shall be determined by multiplying the number of shares of such class of Capital Stock into which such principal amount of Securities was convertible immediately prior to such record date by a fraction, of which the numerator shall be the fair market value of the assets of the Issuer, after deducting therefrom all liabilities of the Issuer and all preferences (including accrued but unpaid dividends) in respect of classes of Capital Stock having a preference with respect to the assets of the Issuer over such class of Capital Stock (all as determined by the Board of Directors, whose determination shall be conclusive, and described in a certificate signed by any vice chairmen of the board, vice president or assistant vice president and treasurer of the Issuer, filed with the Trustee and each conversion agent) on such record date, and of which the denominator shall be such fair market value after deducting therefrom such liabilities and preferences, less the fair market value (as determined by the Board of Directors, whose determination shall be conclusive, and described in a statement filed with the Trustee and each conversion agent) of the assets or evidences of indebtedness, so distributed or of such subscription rights or warrants applicable, so distributed. Such adjustment shall be made successively whenever such a record date is fixed; and in the event that such distribution is not so made,</w:t>
      </w:r>
    </w:p>
    <w:p>
      <w:pPr>
        <w:spacing w:after="0" w:line="200" w:lineRule="exact"/>
        <w:rPr>
          <w:sz w:val="20"/>
          <w:szCs w:val="20"/>
          <w:color w:val="auto"/>
        </w:rPr>
      </w:pPr>
    </w:p>
    <w:p>
      <w:pPr>
        <w:spacing w:after="0" w:line="30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75</w:t>
      </w:r>
    </w:p>
    <w:p>
      <w:pPr>
        <w:sectPr>
          <w:pgSz w:w="11900" w:h="16838" w:orient="portrait"/>
          <w:cols w:equalWidth="0" w:num="1">
            <w:col w:w="10239"/>
          </w:cols>
          <w:pgMar w:left="220" w:top="792" w:right="1440" w:bottom="1440" w:gutter="0" w:footer="0" w:header="0"/>
        </w:sectPr>
      </w:pPr>
    </w:p>
    <w:bookmarkStart w:id="223" w:name="page224"/>
    <w:bookmarkEnd w:id="223"/>
    <w:p>
      <w:pPr>
        <w:ind w:right="3399"/>
        <w:spacing w:after="0" w:line="234" w:lineRule="auto"/>
        <w:rPr>
          <w:sz w:val="20"/>
          <w:szCs w:val="20"/>
          <w:color w:val="auto"/>
        </w:rPr>
      </w:pPr>
      <w:r>
        <w:rPr>
          <w:rFonts w:ascii="Courier New" w:cs="Courier New" w:eastAsia="Courier New" w:hAnsi="Courier New"/>
          <w:sz w:val="15"/>
          <w:szCs w:val="15"/>
          <w:color w:val="auto"/>
        </w:rPr>
        <w:t>the conversion rate shall again be adjusted to the conversion rate which would then be in effect if such record date had not been fixed.</w:t>
      </w:r>
    </w:p>
    <w:p>
      <w:pPr>
        <w:spacing w:after="0" w:line="173" w:lineRule="exact"/>
        <w:rPr>
          <w:sz w:val="20"/>
          <w:szCs w:val="20"/>
          <w:color w:val="auto"/>
        </w:rPr>
      </w:pPr>
    </w:p>
    <w:p>
      <w:pPr>
        <w:ind w:right="3239" w:firstLine="447"/>
        <w:spacing w:after="0" w:line="254" w:lineRule="auto"/>
        <w:tabs>
          <w:tab w:leader="none" w:pos="787" w:val="left"/>
        </w:tabs>
        <w:numPr>
          <w:ilvl w:val="1"/>
          <w:numId w:val="1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case the Issuer shall, by dividend or otherwise, distribute to all holders of its Capital Stock cash (excluding (x) any quarterly cash dividend on the Capital Stock to the extent the aggregate cash dividend per share of Capital Stock in any fiscal quarter does not exceed the greater of (A) the amount per share of Capital Stock of the next preceding quarterly cash dividend on the Capital Stock to the extent such preceding quarterly dividend did not require any adjustment of the conversion rate pursuant to this Section 13.05(d) (as adjusted to reflect subdivisions or combinations of the Capital Stock), and (B) 3.75% of the current market price of the Capital Stock (determined as provided in Section 13.05(e)) on the date of declaration of such dividend and (y) any dividend or distribution in connection with the liquidation, dissolution or winding up of the Issuer, whether voluntary or involuntary), then, in such case, unless the Issuer elects to reserve such cash for distribution to the holders of the Securities upon the conversion of the Securities so that any such holder converting Securities will receive upon such conversion, in addition to the shares of Capital Stock to which such holder is entitled, the amount of cash which such holder would have received if such holder had, immediately prior to the record date for such distribution of cash, converted its Securities into Capital Stock, the conversion rate shall be adjusted so that the same shall equal the rate determined by multiplying the conversion rate in effect immediately prior to the record date by a fraction of which the denominator shall be the current market price of the Capital Stock (determined as provided in Section 13.05(e)) on the record date less the amount of cash so distributed (and not excluded as provided above) applicable to one share of Capital Stock and the numerator shall be such current market price of the Capital Stock (determined as provided in Section 13.05(e)), such adjusted to be effective immediately prior to the opening of business on the day following the record date; provided, however, that in the event the portion of the cash so distributed applicable to one share of Capital Stock is equal to or greater than the current market price of the Capital Stock (determined as provided in Section 13.05(e)) on the record date, in lieu of the foregoing adjustment, adequate provision shall be made so that each Securityholder shall have the right to receive upon conversion the amount of cash such holder would have received had such holder converted each Security on the record date. If such dividend or distribution is not so paid or made, the conversion rate shall again be adjusted to be the conversion rate which would then be in effect if such dividend or distribution had not been declared.</w:t>
      </w:r>
    </w:p>
    <w:p>
      <w:pPr>
        <w:spacing w:after="0" w:line="200" w:lineRule="exact"/>
        <w:rPr>
          <w:rFonts w:ascii="Courier New" w:cs="Courier New" w:eastAsia="Courier New" w:hAnsi="Courier New"/>
          <w:sz w:val="14"/>
          <w:szCs w:val="14"/>
          <w:color w:val="auto"/>
        </w:rPr>
      </w:pPr>
    </w:p>
    <w:p>
      <w:pPr>
        <w:spacing w:after="0" w:line="316" w:lineRule="exact"/>
        <w:rPr>
          <w:rFonts w:ascii="Courier New" w:cs="Courier New" w:eastAsia="Courier New" w:hAnsi="Courier New"/>
          <w:sz w:val="14"/>
          <w:szCs w:val="14"/>
          <w:color w:val="auto"/>
        </w:rPr>
      </w:pPr>
    </w:p>
    <w:p>
      <w:pPr>
        <w:ind w:right="3319" w:firstLine="10"/>
        <w:spacing w:after="0" w:line="236" w:lineRule="auto"/>
        <w:tabs>
          <w:tab w:leader="none" w:pos="350" w:val="left"/>
        </w:tabs>
        <w:numPr>
          <w:ilvl w:val="0"/>
          <w:numId w:val="1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the purpose of any computation under subsections (b) and (d) above and Section 13.06, the current market price per share of the Capital Stock on any date as of which such price is to be computed shall mean the average of the Closing Prices for the 30 consecutive Business Days commencing 45 Business Days before such date.</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76</w:t>
      </w:r>
    </w:p>
    <w:p>
      <w:pPr>
        <w:sectPr>
          <w:pgSz w:w="11900" w:h="16838" w:orient="portrait"/>
          <w:cols w:equalWidth="0" w:num="1">
            <w:col w:w="10239"/>
          </w:cols>
          <w:pgMar w:left="220" w:top="792" w:right="1440" w:bottom="1440" w:gutter="0" w:footer="0" w:header="0"/>
        </w:sectPr>
      </w:pPr>
    </w:p>
    <w:bookmarkStart w:id="224" w:name="page225"/>
    <w:bookmarkEnd w:id="224"/>
    <w:p>
      <w:pPr>
        <w:ind w:left="-447" w:right="3239" w:firstLine="447"/>
        <w:spacing w:after="0" w:line="254" w:lineRule="auto"/>
        <w:tabs>
          <w:tab w:leader="none" w:pos="340" w:val="left"/>
        </w:tabs>
        <w:numPr>
          <w:ilvl w:val="0"/>
          <w:numId w:val="1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adjustment in the conversion rate shall be required unless such adjustment would require a cumulative increase or decrease of at least 1% in such rate; provided, however, that any adjustments which by reason of this subsection (e) are not required to be made shall be carried forward and taken into account in any subsequent adjustment, and provided, further, that adjustments shall be required and made in accordance with the provisions of this Article 13 (other than this subsection (e)) not later than such time as may be required in order to preserve the tax-free nature of a distribution for United States income tax purposes to the holders of Securities or the class of Capital Stock into which such Securities are convertible. All calculations under this Article 13 shall be made to the nearest cent or to the nearest one-thousandth of a share, as the case may be. Anything in this Section 13.05 to the contrary notwithstanding, the Issuer shall be entitled to make such adjustments in the conversion rate, in addition to those required by this Section 13.05, as it in its discretion shall determine to be advisable in order that any stock dividend, subdivision of shares, distribution of rights to purchase stock or securities, or distribution of securities convertible into or exchangeable for stock hereafter made by the Issuer to its shareholders shall not be taxable for United States income tax purposes.</w:t>
      </w:r>
    </w:p>
    <w:p>
      <w:pPr>
        <w:spacing w:after="0" w:line="342" w:lineRule="exact"/>
        <w:rPr>
          <w:rFonts w:ascii="Courier New" w:cs="Courier New" w:eastAsia="Courier New" w:hAnsi="Courier New"/>
          <w:sz w:val="14"/>
          <w:szCs w:val="14"/>
          <w:color w:val="auto"/>
        </w:rPr>
      </w:pPr>
    </w:p>
    <w:p>
      <w:pPr>
        <w:ind w:left="-447" w:right="3239" w:firstLine="447"/>
        <w:spacing w:after="0" w:line="237" w:lineRule="auto"/>
        <w:tabs>
          <w:tab w:leader="none" w:pos="340" w:val="left"/>
        </w:tabs>
        <w:numPr>
          <w:ilvl w:val="0"/>
          <w:numId w:val="1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Whenever the conversion rate is adjusted, as herein provided, the Issuer shall promptly file with the Trustee and with the office or agency maintained by the Issuer for the conversion of Securities of such series pursuant to Section 3.02, a certificate of a firm of independent public accountants of recognized national standing selected by the Board of Directors (who may be the regular accountants employed by the Issuer) setting forth the conversion rate after such adjustment and setting forth a brief statement of the facts requiring such adjustment and a computation thereof. Such certificate shall be conclusive evidence of the correctness of such adjustment. Neither the Trustee nor any conversion agent shall be under any duty or responsibility with respect to any such certificate or any facts or computations set forth therein, except to exhibit said certificate from time to time to any Securityholder of such series desiring to inspect the same. The Issuer shall promptly cause a notice setting forth the adjusted conversion rate to be mailed to the holders of Securities of such series, as their names and addresses appear upon the register of the Issuer.</w:t>
      </w:r>
    </w:p>
    <w:p>
      <w:pPr>
        <w:spacing w:after="0" w:line="174" w:lineRule="exact"/>
        <w:rPr>
          <w:rFonts w:ascii="Courier New" w:cs="Courier New" w:eastAsia="Courier New" w:hAnsi="Courier New"/>
          <w:sz w:val="15"/>
          <w:szCs w:val="15"/>
          <w:color w:val="auto"/>
        </w:rPr>
      </w:pPr>
    </w:p>
    <w:p>
      <w:pPr>
        <w:ind w:left="-447" w:right="3239" w:firstLine="447"/>
        <w:spacing w:after="0" w:line="255" w:lineRule="auto"/>
        <w:tabs>
          <w:tab w:leader="none" w:pos="340" w:val="left"/>
        </w:tabs>
        <w:numPr>
          <w:ilvl w:val="0"/>
          <w:numId w:val="1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that at any time, as a result of shares of any other class of Capital Stock becoming issuable in exchange or substitution for or in lieu of shares of the class of Capital Stock into which such Securities are convertible or as a result of an adjustment made pursuant to subsection (a) above, the holder of any Security of such series thereafter surrendered for conversion shall become entitled to receive any shares of the Issuer other than shares of the class of Capital Stock into which the Issuer of such series are convertible, thereafter the number of such other shares so receivable upon conversion of any Security shall be subject to adjustment from time to time in a manner and on terms as nearly equivalent as practicable to the provisions with respect to the class of Capital Stock into which the</w:t>
      </w:r>
    </w:p>
    <w:p>
      <w:pPr>
        <w:spacing w:after="0" w:line="326" w:lineRule="exact"/>
        <w:rPr>
          <w:sz w:val="20"/>
          <w:szCs w:val="20"/>
          <w:color w:val="auto"/>
        </w:rPr>
      </w:pPr>
    </w:p>
    <w:p>
      <w:pPr>
        <w:ind w:left="2973"/>
        <w:spacing w:after="0"/>
        <w:rPr>
          <w:sz w:val="20"/>
          <w:szCs w:val="20"/>
          <w:color w:val="auto"/>
        </w:rPr>
      </w:pPr>
      <w:r>
        <w:rPr>
          <w:rFonts w:ascii="Courier New" w:cs="Courier New" w:eastAsia="Courier New" w:hAnsi="Courier New"/>
          <w:sz w:val="15"/>
          <w:szCs w:val="15"/>
          <w:color w:val="auto"/>
        </w:rPr>
        <w:t>77</w:t>
      </w:r>
    </w:p>
    <w:p>
      <w:pPr>
        <w:sectPr>
          <w:pgSz w:w="11900" w:h="16838" w:orient="portrait"/>
          <w:cols w:equalWidth="0" w:num="1">
            <w:col w:w="9792"/>
          </w:cols>
          <w:pgMar w:left="667" w:top="792" w:right="1440" w:bottom="1440" w:gutter="0" w:footer="0" w:header="0"/>
        </w:sectPr>
      </w:pPr>
    </w:p>
    <w:bookmarkStart w:id="225" w:name="page226"/>
    <w:bookmarkEnd w:id="225"/>
    <w:p>
      <w:pPr>
        <w:ind w:right="3319"/>
        <w:spacing w:after="0" w:line="235" w:lineRule="auto"/>
        <w:rPr>
          <w:sz w:val="20"/>
          <w:szCs w:val="20"/>
          <w:color w:val="auto"/>
        </w:rPr>
      </w:pPr>
      <w:r>
        <w:rPr>
          <w:rFonts w:ascii="Courier New" w:cs="Courier New" w:eastAsia="Courier New" w:hAnsi="Courier New"/>
          <w:sz w:val="15"/>
          <w:szCs w:val="15"/>
          <w:color w:val="auto"/>
        </w:rPr>
        <w:t>Securities of such series are convertible contained in subsections (a) to (f), inclusive, above, and the provisions of this Article 13 with respect to the class of Capital Stock into which the Securities of such series are convertible shall apply on like terms to any such other shares.</w:t>
      </w:r>
    </w:p>
    <w:p>
      <w:pPr>
        <w:spacing w:after="0" w:line="175" w:lineRule="exact"/>
        <w:rPr>
          <w:sz w:val="20"/>
          <w:szCs w:val="20"/>
          <w:color w:val="auto"/>
        </w:rPr>
      </w:pPr>
    </w:p>
    <w:p>
      <w:pPr>
        <w:ind w:right="3319" w:firstLine="447"/>
        <w:spacing w:after="0" w:line="235" w:lineRule="auto"/>
        <w:tabs>
          <w:tab w:leader="none" w:pos="787" w:val="left"/>
        </w:tabs>
        <w:numPr>
          <w:ilvl w:val="0"/>
          <w:numId w:val="1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conversion rate with respect to any Securities with original issue discount, the terms of which provide for convertibility, shall not be adjusted during the term of such Original Issue Discount Security for accrued original issue discount.</w:t>
      </w:r>
    </w:p>
    <w:p>
      <w:pPr>
        <w:spacing w:after="0" w:line="175" w:lineRule="exact"/>
        <w:rPr>
          <w:rFonts w:ascii="Courier New" w:cs="Courier New" w:eastAsia="Courier New" w:hAnsi="Courier New"/>
          <w:sz w:val="15"/>
          <w:szCs w:val="15"/>
          <w:color w:val="auto"/>
        </w:rPr>
      </w:pPr>
    </w:p>
    <w:p>
      <w:pPr>
        <w:ind w:right="3239" w:firstLine="447"/>
        <w:spacing w:after="0" w:line="235" w:lineRule="auto"/>
        <w:tabs>
          <w:tab w:leader="none" w:pos="787" w:val="left"/>
        </w:tabs>
        <w:numPr>
          <w:ilvl w:val="0"/>
          <w:numId w:val="1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that the Securities of any series are convertible into more than one class of Capital Stock, the provisions of this Section 13.05 shall apply separately to events affecting each such class.</w:t>
      </w:r>
    </w:p>
    <w:p>
      <w:pPr>
        <w:spacing w:after="0" w:line="174"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SECTION 13.06. No Fractional Shares to Be Issued. No fractional shares of Capital Stock shall be issued upon conversions of Securities. If more than one Security of any series shall be surrendered for conversion at one time by the same holder, the number of full shares which shall be issuable upon conversion thereof shall be computed on the basis of the aggregate principal amount of the Securities of such series (or specified portions thereof to the extent permitted hereby) so surrendered. Instead of a fraction of a share of Capital Stock which would otherwise be issuable upon conversion of any Security or Securities (or specified portions thereof), the Issuer shall pay a cash adjustment in respect of such fraction of a share in an amount equal to the same fractional interest of the current market price (as defined in Section 13.05) per share of Capital Stock on the Business Day next preceding the day of conversion.</w:t>
      </w:r>
    </w:p>
    <w:p>
      <w:pPr>
        <w:spacing w:after="0" w:line="164"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SECTION 13.07. Preservation of Conversion Rights Upon Consolidation, Merger, Sale or Conveyance. In case of any consolidation of the Issuer with, or merger of the Issuer into, any other corporation (other than a consolidation or merger in which the Issuer is the continuing corporation), or in the case of any sale or transfer of all or substantially all of the assets of the Issuer, the corporation formed by such consolidation or the corporation into which the Issuer shall have been merged or the corporation which shall have acquired such assets, as the case may be, shall execute and deliver to the Trustee, a supplemental indenture, subject to the provisions of Articles 7 and 8 as they relate to supplemental indentures, providing that the holder of each Security then Outstanding of a series which was convertible into Capital Stock shall have the right thereafter to convert such Security into the kind and amount of shares of stock and other securities and property, including cash, receivable upon such consolidation, merger, sale or transfer by a holder of the number of shares of Capital Stock of the Issuer into which such Securities might have been converted immediately prior to such consolidation, merger, sale or transfer. Such supplemental indenture shall conform to the provisions of the Trust Indenture Act of 1939 as then in effect and shall provide for adjustments which shall be as nearly equivalent as may be</w:t>
      </w:r>
    </w:p>
    <w:p>
      <w:pPr>
        <w:spacing w:after="0" w:line="200" w:lineRule="exact"/>
        <w:rPr>
          <w:sz w:val="20"/>
          <w:szCs w:val="20"/>
          <w:color w:val="auto"/>
        </w:rPr>
      </w:pPr>
    </w:p>
    <w:p>
      <w:pPr>
        <w:spacing w:after="0" w:line="304"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78</w:t>
      </w:r>
    </w:p>
    <w:p>
      <w:pPr>
        <w:sectPr>
          <w:pgSz w:w="11900" w:h="16838" w:orient="portrait"/>
          <w:cols w:equalWidth="0" w:num="1">
            <w:col w:w="10239"/>
          </w:cols>
          <w:pgMar w:left="220" w:top="792" w:right="1440" w:bottom="1440" w:gutter="0" w:footer="0" w:header="0"/>
        </w:sectPr>
      </w:pPr>
    </w:p>
    <w:bookmarkStart w:id="226" w:name="page227"/>
    <w:bookmarkEnd w:id="226"/>
    <w:p>
      <w:pPr>
        <w:ind w:right="3239"/>
        <w:spacing w:after="0" w:line="255" w:lineRule="auto"/>
        <w:rPr>
          <w:sz w:val="20"/>
          <w:szCs w:val="20"/>
          <w:color w:val="auto"/>
        </w:rPr>
      </w:pPr>
      <w:r>
        <w:rPr>
          <w:rFonts w:ascii="Courier New" w:cs="Courier New" w:eastAsia="Courier New" w:hAnsi="Courier New"/>
          <w:sz w:val="14"/>
          <w:szCs w:val="14"/>
          <w:color w:val="auto"/>
        </w:rPr>
        <w:t>practicable to the adjustments provided for in this Article 13. Neither the Trustee nor any conversion agent shall be under any responsibility to determine the correctness of any provision contained in any such supplemental indenture relating either to the kind or amount of shares of stock or other securities or property receivable by Securityholders upon the conversion of their Securities after any such consolidation, merger, sale or transfer, or to any adjustment to be made with respect there to and, subject to the provisions of Article 5, may accept as conclusive evidence of the correctness of any such provisions, and shall be protected in relying upon, an Opinion of Counsel with respect thereto. If in the case of any such consolidation, merger, sale or transfer, the stock or other securities and property receivable by a holder of the Securities includes stock or other securities and property of a corporation other than the successor or purchasing corporation, then such supplemental indenture shall also be executed by such other corporation and shall contain such additional provisions to protect the interests of the holders of the Securities as the Board of Directors shall reasonably consider necessary. The above provisions of this Section 13.07 shall similarly apply to successive consolidations, mergers, sales or transfers.</w:t>
      </w:r>
    </w:p>
    <w:p>
      <w:pPr>
        <w:spacing w:after="0" w:line="325"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SECTION 13.08. Notice to Security Holders of a Series Prior to Taking</w:t>
      </w:r>
    </w:p>
    <w:p>
      <w:pPr>
        <w:spacing w:after="0" w:line="5"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4"/>
          <w:szCs w:val="14"/>
          <w:color w:val="auto"/>
        </w:rPr>
        <w:t>Certain Types of Action. With respect to the Securities of any series, in case:</w:t>
      </w:r>
    </w:p>
    <w:p>
      <w:pPr>
        <w:spacing w:after="0" w:line="178" w:lineRule="exact"/>
        <w:rPr>
          <w:sz w:val="20"/>
          <w:szCs w:val="20"/>
          <w:color w:val="auto"/>
        </w:rPr>
      </w:pPr>
    </w:p>
    <w:p>
      <w:pPr>
        <w:jc w:val="both"/>
        <w:ind w:right="3319" w:firstLine="447"/>
        <w:spacing w:after="0" w:line="235" w:lineRule="auto"/>
        <w:tabs>
          <w:tab w:leader="none" w:pos="787" w:val="left"/>
        </w:tabs>
        <w:numPr>
          <w:ilvl w:val="0"/>
          <w:numId w:val="1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Issuer shall authorize the issuance to all holders of the class of Capital Stock into which Securities of such series are convertible of rights or warrants to subscribe for or purchase shares of its Capital Stock or of any other right;</w:t>
      </w:r>
    </w:p>
    <w:p>
      <w:pPr>
        <w:spacing w:after="0" w:line="175" w:lineRule="exact"/>
        <w:rPr>
          <w:rFonts w:ascii="Courier New" w:cs="Courier New" w:eastAsia="Courier New" w:hAnsi="Courier New"/>
          <w:sz w:val="15"/>
          <w:szCs w:val="15"/>
          <w:color w:val="auto"/>
        </w:rPr>
      </w:pPr>
    </w:p>
    <w:p>
      <w:pPr>
        <w:ind w:right="3239" w:firstLine="447"/>
        <w:spacing w:after="0" w:line="235" w:lineRule="auto"/>
        <w:tabs>
          <w:tab w:leader="none" w:pos="787" w:val="left"/>
        </w:tabs>
        <w:numPr>
          <w:ilvl w:val="0"/>
          <w:numId w:val="1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Issuer shall authorize the distribution to all holders of the class of Capital Stock into which Securities of such series are convertible of evidences of its indebtedness or assets (except for the exclusions with respect to certain dividends set forth in Section 13.05(c));</w:t>
      </w:r>
    </w:p>
    <w:p>
      <w:pPr>
        <w:spacing w:after="0" w:line="175" w:lineRule="exact"/>
        <w:rPr>
          <w:rFonts w:ascii="Courier New" w:cs="Courier New" w:eastAsia="Courier New" w:hAnsi="Courier New"/>
          <w:sz w:val="15"/>
          <w:szCs w:val="15"/>
          <w:color w:val="auto"/>
        </w:rPr>
      </w:pPr>
    </w:p>
    <w:p>
      <w:pPr>
        <w:jc w:val="both"/>
        <w:ind w:right="3239" w:firstLine="447"/>
        <w:spacing w:after="0" w:line="236" w:lineRule="auto"/>
        <w:tabs>
          <w:tab w:leader="none" w:pos="787" w:val="left"/>
        </w:tabs>
        <w:numPr>
          <w:ilvl w:val="0"/>
          <w:numId w:val="1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of any subdivision, combination or reclassification of the class of Capital Stock into which Securities of such series are convertible or of any consolidation or merger to which the Issuer is a party and for which approval by the shareholders of the Issuer is required, or of the sale or transfer of all or substantially all of the assets of the Issuer; or</w:t>
      </w:r>
    </w:p>
    <w:p>
      <w:pPr>
        <w:spacing w:after="0" w:line="173" w:lineRule="exact"/>
        <w:rPr>
          <w:rFonts w:ascii="Courier New" w:cs="Courier New" w:eastAsia="Courier New" w:hAnsi="Courier New"/>
          <w:sz w:val="15"/>
          <w:szCs w:val="15"/>
          <w:color w:val="auto"/>
        </w:rPr>
      </w:pPr>
    </w:p>
    <w:p>
      <w:pPr>
        <w:ind w:right="3319" w:firstLine="447"/>
        <w:spacing w:after="0" w:line="236" w:lineRule="auto"/>
        <w:tabs>
          <w:tab w:leader="none" w:pos="787" w:val="left"/>
        </w:tabs>
        <w:numPr>
          <w:ilvl w:val="0"/>
          <w:numId w:val="1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of the voluntary or involuntary dissolution, liquidation or winding up of the Issuer; then the Issuer shall cause to be filed with the Trustee and at the office or agency maintained for the purpose of conversion of Securities of such series pursuant to Section 3.02, and shall cause to be mailed to the holders of Securities of such series, at their last addresses as they shall appear upon the register of the Issuer, at least ten days prior to the applicable record date hereinafter specified, a notice stating (i) the date as of which the holders of such class of Capital Stock to be entitled to receive any such rights, warrants or</w:t>
      </w:r>
    </w:p>
    <w:p>
      <w:pPr>
        <w:spacing w:after="0" w:line="34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79</w:t>
      </w:r>
    </w:p>
    <w:p>
      <w:pPr>
        <w:sectPr>
          <w:pgSz w:w="11900" w:h="16838" w:orient="portrait"/>
          <w:cols w:equalWidth="0" w:num="1">
            <w:col w:w="10239"/>
          </w:cols>
          <w:pgMar w:left="220" w:top="792" w:right="1440" w:bottom="1440" w:gutter="0" w:footer="0" w:header="0"/>
        </w:sectPr>
      </w:pPr>
    </w:p>
    <w:bookmarkStart w:id="227" w:name="page228"/>
    <w:bookmarkEnd w:id="227"/>
    <w:p>
      <w:pPr>
        <w:ind w:right="3239"/>
        <w:spacing w:after="0" w:line="237" w:lineRule="auto"/>
        <w:rPr>
          <w:sz w:val="20"/>
          <w:szCs w:val="20"/>
          <w:color w:val="auto"/>
        </w:rPr>
      </w:pPr>
      <w:r>
        <w:rPr>
          <w:rFonts w:ascii="Courier New" w:cs="Courier New" w:eastAsia="Courier New" w:hAnsi="Courier New"/>
          <w:sz w:val="15"/>
          <w:szCs w:val="15"/>
          <w:color w:val="auto"/>
        </w:rPr>
        <w:t>distribution are to be determined, or (ii) the date on which any such subdivision, combination, reclassification, consolidation, merger, sale, transfer, dissolution, liquidation, winding up or other action is expected to become effective, and the date as of which it is expected that holders of record of such class of Capital Stock shall be entitled to exchange their Capital Stock of such class for securities or other property, if any, deliverable upon such subdivision, combination, reclassification, consolidation, merger, sale, transfer, dissolution, liquidation, winding up or other action. The failure to give the notice required by this Section 13.08 or any defect therein shall not affect the legality or validity of any distribution, right, warrant, subdivision, combination, reclassification, consolidation, merger, sale, transfer, dissolution, liquidation, winding up or other action, or the vote upon any of the foregoing. Such notice shall also be published by and at the expense of the Issuer not later than the aforesaid filing date at least once in an Authorized Newspaper.</w:t>
      </w:r>
    </w:p>
    <w:p>
      <w:pPr>
        <w:spacing w:after="0" w:line="174"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SECTION 13.09. Covenant to Reserve Shares for Issuance on Conversion of Securities. The Issuer covenants that at all times it will reserve and keep available out of each class of its authorized Capital Stock, free from preemptive rights, solely for the purpose of issue upon conversion of Securities of any series as herein provided, such number of shares of Capital Stock of such class as shall then be issuable upon the conversion of all Outstanding Securities of such series. The Issuer covenants that an shares of Capital Stock which shall be so issuable shall, when issued or delivered, be duly and validly issued shares of the class of authorized Capital Stock into which Securities of such series are convertible, and shall be fully paid and nonassessable, free of all liens and charges and not subject to preemptive rights and that, upon conversion, the appropriate capital stock accounts of the Issuer will be duly credited.</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SECTION 13.10. Compliance with Governmental Requirements. The Issuer covenants that if any shares of Capital Stock required to be reserved for purposes of conversion of Securities hereunder require registration or listing with or approval of any governmental authority under any Federal or State law, pursuant to the Securities Act of 1933, as amended, or the Securities Exchange Act of 1934, as amended, or any national or regional securities exchange on which such Capital Stock is listed at the time of delivery of any shares of such Capital Stock, before such shares may be issued upon conversion, the Issuer will use its best efforts to cause such shares to be duly registered, listed or approved, as the case may be.</w:t>
      </w:r>
    </w:p>
    <w:p>
      <w:pPr>
        <w:spacing w:after="0" w:line="179"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SECTION 13.11. Payment of Taxes Upon Certificates for Shares Issued Upon Conversion. The issuance of certificates for shares of Capital Stock upon the conversion of Securities shall be made without charge to the converting Securityholders for any tax (including, without limitation, all documentary and stamp taxes) in respect of the issuance and delivery of such certificates, and such certificates shall be issued in the respective names of, or in such names as may be</w:t>
      </w:r>
    </w:p>
    <w:p>
      <w:pPr>
        <w:spacing w:after="0" w:line="33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80</w:t>
      </w:r>
    </w:p>
    <w:p>
      <w:pPr>
        <w:sectPr>
          <w:pgSz w:w="11900" w:h="16838" w:orient="portrait"/>
          <w:cols w:equalWidth="0" w:num="1">
            <w:col w:w="10239"/>
          </w:cols>
          <w:pgMar w:left="220" w:top="792" w:right="1440" w:bottom="1440" w:gutter="0" w:footer="0" w:header="0"/>
        </w:sectPr>
      </w:pPr>
    </w:p>
    <w:bookmarkStart w:id="228" w:name="page229"/>
    <w:bookmarkEnd w:id="228"/>
    <w:p>
      <w:pPr>
        <w:ind w:right="3239"/>
        <w:spacing w:after="0" w:line="236" w:lineRule="auto"/>
        <w:rPr>
          <w:sz w:val="20"/>
          <w:szCs w:val="20"/>
          <w:color w:val="auto"/>
        </w:rPr>
      </w:pPr>
      <w:r>
        <w:rPr>
          <w:rFonts w:ascii="Courier New" w:cs="Courier New" w:eastAsia="Courier New" w:hAnsi="Courier New"/>
          <w:sz w:val="15"/>
          <w:szCs w:val="15"/>
          <w:color w:val="auto"/>
        </w:rPr>
        <w:t>directed by, the holders of the Securities converted; provided, however, that the Issuer shall not be required to pay any tax which may be payable in respect of any transfer involved in the issuance and delivery of any such certificate in a name other than that of the holder of the Security converted, and the Issuer shall not be required to issue or deliver such certificates unless or until the person or persons requesting the issuance thereof shall have paid to the Issuer the amount of such tax or shall have established to the satisfaction of the Issuer that such tax has been paid.</w:t>
      </w:r>
    </w:p>
    <w:p>
      <w:pPr>
        <w:spacing w:after="0" w:line="177"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SECTION 13.12. Trustee's Duties with Respect to Conversion Provisions. The Trustee and any conversion agent shall not at any time be under any duty or responsibility to any Securityholder to determine whether any facts exist which may require any adjustment of the conversion rate or conversion price, or with respect to the nature or extent of any such adjustment when made, or with respect to the method employed, or herein or in any supplemental indenture provided to be employed, in making the same. Neither the Trustee nor any conversion agent shall be accountable with respect to the registration under securities laws, listing, validity or value (or the kind or amount) of any shares of Capital Stock, or of any other securities or property, which may at any time be issued or delivered upon the conversion of any Security; and neither the Trustee nor any conversion agent makes any representation with respect thereto. Neither the Trustee nor any conversion agent shall be responsible for any failure of the Issuer to make any cash payment or to issue, transfer or deliver any shares of stock or stock certificates or other securities or property upon the surrender of any Security for the purpose of conversion; and the Trustee, subject to the provisions of Article 5, and any conversion agent shall not be responsible for any failure of the Issuer to comply with any of the covenants of the Issuer contained in this Article 13.</w:t>
      </w:r>
    </w:p>
    <w:p>
      <w:pPr>
        <w:spacing w:after="0" w:line="200" w:lineRule="exact"/>
        <w:rPr>
          <w:sz w:val="20"/>
          <w:szCs w:val="20"/>
          <w:color w:val="auto"/>
        </w:rPr>
      </w:pPr>
    </w:p>
    <w:p>
      <w:pPr>
        <w:spacing w:after="0" w:line="304"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Article 14</w:t>
      </w:r>
    </w:p>
    <w:p>
      <w:pPr>
        <w:ind w:left="3080"/>
        <w:spacing w:after="0" w:line="237" w:lineRule="auto"/>
        <w:rPr>
          <w:sz w:val="20"/>
          <w:szCs w:val="20"/>
          <w:color w:val="auto"/>
        </w:rPr>
      </w:pPr>
      <w:r>
        <w:rPr>
          <w:rFonts w:ascii="Courier New" w:cs="Courier New" w:eastAsia="Courier New" w:hAnsi="Courier New"/>
          <w:sz w:val="15"/>
          <w:szCs w:val="15"/>
          <w:color w:val="auto"/>
        </w:rPr>
        <w:t>GUARANTEES</w:t>
      </w:r>
    </w:p>
    <w:p>
      <w:pPr>
        <w:spacing w:after="0" w:line="173"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Section 14.01. The Cable Guarantees. Subject to the provisions of this Article, each Cable Guarantor hereby irrevocably, fully and unconditionally guarantees, jointly and severally, on an unsecured subordinated basis, the full and punctual payment (whether at maturity, upon redemption, or otherwise) of the Principal of and interest on, and all other amounts payable under, each Security, and the full and punctual payment of all other amounts payable by the Issuer under the Indenture. Upon failure by the Issuer to pay punctually any such amount, each Cable Guarantor shall forthwith on demand pay the amount not so paid at the place and in the manner specified in the Indenture. The obligations of each Cable Guarantor under its Cable Guarantee are junior and subordinated in right of payment to the Senior Indebtedness of such Cable Guarantor in the same</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81</w:t>
      </w:r>
    </w:p>
    <w:p>
      <w:pPr>
        <w:sectPr>
          <w:pgSz w:w="11900" w:h="16838" w:orient="portrait"/>
          <w:cols w:equalWidth="0" w:num="1">
            <w:col w:w="10239"/>
          </w:cols>
          <w:pgMar w:left="220" w:top="792" w:right="1440" w:bottom="1440" w:gutter="0" w:footer="0" w:header="0"/>
        </w:sectPr>
      </w:pPr>
    </w:p>
    <w:bookmarkStart w:id="229" w:name="page230"/>
    <w:bookmarkEnd w:id="229"/>
    <w:p>
      <w:pPr>
        <w:ind w:right="3399"/>
        <w:spacing w:after="0" w:line="234" w:lineRule="auto"/>
        <w:rPr>
          <w:sz w:val="20"/>
          <w:szCs w:val="20"/>
          <w:color w:val="auto"/>
        </w:rPr>
      </w:pPr>
      <w:r>
        <w:rPr>
          <w:rFonts w:ascii="Courier New" w:cs="Courier New" w:eastAsia="Courier New" w:hAnsi="Courier New"/>
          <w:sz w:val="15"/>
          <w:szCs w:val="15"/>
          <w:color w:val="auto"/>
        </w:rPr>
        <w:t>manner and to the same extent as the Securities are subordinated to the Senior Indebtedness of the Issuer.</w:t>
      </w:r>
    </w:p>
    <w:p>
      <w:pPr>
        <w:spacing w:after="0" w:line="173" w:lineRule="exact"/>
        <w:rPr>
          <w:sz w:val="20"/>
          <w:szCs w:val="20"/>
          <w:color w:val="auto"/>
        </w:rPr>
      </w:pPr>
    </w:p>
    <w:p>
      <w:pPr>
        <w:ind w:right="3579" w:firstLine="437"/>
        <w:spacing w:after="0" w:line="235" w:lineRule="auto"/>
        <w:rPr>
          <w:sz w:val="20"/>
          <w:szCs w:val="20"/>
          <w:color w:val="auto"/>
        </w:rPr>
      </w:pPr>
      <w:r>
        <w:rPr>
          <w:rFonts w:ascii="Courier New" w:cs="Courier New" w:eastAsia="Courier New" w:hAnsi="Courier New"/>
          <w:sz w:val="15"/>
          <w:szCs w:val="15"/>
          <w:color w:val="auto"/>
        </w:rPr>
        <w:t>Section 14.02. Guarantee Unconditional. The obligations of each Cable Guarantor hereunder are unconditional and absolute and, without limiting the generality of the foregoing, will not be released, discharged or otherwise affected by</w:t>
      </w:r>
    </w:p>
    <w:p>
      <w:pPr>
        <w:spacing w:after="0" w:line="175" w:lineRule="exact"/>
        <w:rPr>
          <w:sz w:val="20"/>
          <w:szCs w:val="20"/>
          <w:color w:val="auto"/>
        </w:rPr>
      </w:pPr>
    </w:p>
    <w:p>
      <w:pPr>
        <w:ind w:right="3319" w:firstLine="447"/>
        <w:spacing w:after="0" w:line="235" w:lineRule="auto"/>
        <w:tabs>
          <w:tab w:leader="none" w:pos="787" w:val="left"/>
        </w:tabs>
        <w:numPr>
          <w:ilvl w:val="0"/>
          <w:numId w:val="1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extension, renewal, settlement, compromise, waiver or release in respect of any obligation of the Issuer under the Indenture or any Security, by operation of law or otherwise;</w:t>
      </w:r>
    </w:p>
    <w:p>
      <w:pPr>
        <w:spacing w:after="0" w:line="173" w:lineRule="exact"/>
        <w:rPr>
          <w:rFonts w:ascii="Courier New" w:cs="Courier New" w:eastAsia="Courier New" w:hAnsi="Courier New"/>
          <w:sz w:val="15"/>
          <w:szCs w:val="15"/>
          <w:color w:val="auto"/>
        </w:rPr>
      </w:pPr>
    </w:p>
    <w:p>
      <w:pPr>
        <w:ind w:left="800" w:hanging="353"/>
        <w:spacing w:after="0"/>
        <w:tabs>
          <w:tab w:leader="none" w:pos="800" w:val="left"/>
        </w:tabs>
        <w:numPr>
          <w:ilvl w:val="0"/>
          <w:numId w:val="1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modification or amendment of or supplement to the Indenture or any</w:t>
      </w:r>
    </w:p>
    <w:p>
      <w:pPr>
        <w:spacing w:after="0" w:line="4" w:lineRule="exact"/>
        <w:rPr>
          <w:rFonts w:ascii="Courier New" w:cs="Courier New" w:eastAsia="Courier New" w:hAnsi="Courier New"/>
          <w:sz w:val="14"/>
          <w:szCs w:val="14"/>
          <w:color w:val="auto"/>
        </w:rPr>
      </w:pPr>
    </w:p>
    <w:p>
      <w:pPr>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Security;</w:t>
      </w:r>
    </w:p>
    <w:p>
      <w:pPr>
        <w:spacing w:after="0" w:line="173" w:lineRule="exact"/>
        <w:rPr>
          <w:rFonts w:ascii="Courier New" w:cs="Courier New" w:eastAsia="Courier New" w:hAnsi="Courier New"/>
          <w:sz w:val="14"/>
          <w:szCs w:val="14"/>
          <w:color w:val="auto"/>
        </w:rPr>
      </w:pPr>
    </w:p>
    <w:p>
      <w:pPr>
        <w:ind w:right="3499" w:firstLine="447"/>
        <w:spacing w:after="0" w:line="236" w:lineRule="auto"/>
        <w:tabs>
          <w:tab w:leader="none" w:pos="787" w:val="left"/>
        </w:tabs>
        <w:numPr>
          <w:ilvl w:val="0"/>
          <w:numId w:val="1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change in the corporate existence, structure or ownership of the Issuer, or any insolvency, bankruptcy, reorganization or other similar proceeding affecting the Issuer or its assets or any resulting release or discharge of any obligation of the Issuer contained in the Indenture or any Security;</w:t>
      </w:r>
    </w:p>
    <w:p>
      <w:pPr>
        <w:spacing w:after="0" w:line="173" w:lineRule="exact"/>
        <w:rPr>
          <w:rFonts w:ascii="Courier New" w:cs="Courier New" w:eastAsia="Courier New" w:hAnsi="Courier New"/>
          <w:sz w:val="15"/>
          <w:szCs w:val="15"/>
          <w:color w:val="auto"/>
        </w:rPr>
      </w:pPr>
    </w:p>
    <w:p>
      <w:pPr>
        <w:ind w:right="3319" w:firstLine="447"/>
        <w:spacing w:after="0" w:line="256" w:lineRule="auto"/>
        <w:tabs>
          <w:tab w:leader="none" w:pos="787" w:val="left"/>
        </w:tabs>
        <w:numPr>
          <w:ilvl w:val="0"/>
          <w:numId w:val="1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existence of any claim, set-off or other rights which any Cable Guarantor may have at any time against the Issuer, the Trustee, any other Cable Guarantor or any other Person, whether in connection with the Indenture or an unrelated transactions, provided that nothing herein prevents the assertion of any such claim by separate suit or compulsory counterclaim;</w:t>
      </w:r>
    </w:p>
    <w:p>
      <w:pPr>
        <w:spacing w:after="0" w:line="163" w:lineRule="exact"/>
        <w:rPr>
          <w:rFonts w:ascii="Courier New" w:cs="Courier New" w:eastAsia="Courier New" w:hAnsi="Courier New"/>
          <w:sz w:val="14"/>
          <w:szCs w:val="14"/>
          <w:color w:val="auto"/>
        </w:rPr>
      </w:pPr>
    </w:p>
    <w:p>
      <w:pPr>
        <w:ind w:right="3239" w:firstLine="447"/>
        <w:spacing w:after="0" w:line="236" w:lineRule="auto"/>
        <w:tabs>
          <w:tab w:leader="none" w:pos="787" w:val="left"/>
        </w:tabs>
        <w:numPr>
          <w:ilvl w:val="0"/>
          <w:numId w:val="1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invalidity, irregularity or unenforceability relating to or against the Issuer for any reason of the Indenture or any Security, or any provision of applicable law or regulation purporting to prohibit the payment by the Issuer of the principal of or interest on any Security or any other amount payable by the Issuer under the Indenture; or</w:t>
      </w:r>
    </w:p>
    <w:p>
      <w:pPr>
        <w:spacing w:after="0" w:line="173" w:lineRule="exact"/>
        <w:rPr>
          <w:rFonts w:ascii="Courier New" w:cs="Courier New" w:eastAsia="Courier New" w:hAnsi="Courier New"/>
          <w:sz w:val="15"/>
          <w:szCs w:val="15"/>
          <w:color w:val="auto"/>
        </w:rPr>
      </w:pPr>
    </w:p>
    <w:p>
      <w:pPr>
        <w:ind w:right="3239" w:firstLine="447"/>
        <w:spacing w:after="0" w:line="256" w:lineRule="auto"/>
        <w:tabs>
          <w:tab w:leader="none" w:pos="787" w:val="left"/>
        </w:tabs>
        <w:numPr>
          <w:ilvl w:val="0"/>
          <w:numId w:val="1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other act or omission to act or delay of any kind by the Issuer, the Trustee or any other Person or any other circumstance whatsoever which might, but for the provisions of this paragraph, constitute a legal or equitable discharge of or defense to such Cable Guarantor's obligations hereunder.</w:t>
      </w:r>
    </w:p>
    <w:p>
      <w:pPr>
        <w:spacing w:after="0" w:line="164"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Section 14.03. Discharge; Reinstatement. Each Cable Guarantor's obligations hereunder will remain in full force and effect until the Principal of and interest on the Securities of each series and all other amounts payable by the Issuer under the Indenture have been paid in full. If at any time any payment of the Principal of or interest on any Security or any other amount payable by the Issuer under the Indenture is rescinded or must be otherwise restored or returned upon the insolvency, bankruptcy or reorganization of the Issuer or otherwise, each</w:t>
      </w:r>
    </w:p>
    <w:p>
      <w:pPr>
        <w:spacing w:after="0" w:line="33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82</w:t>
      </w:r>
    </w:p>
    <w:p>
      <w:pPr>
        <w:sectPr>
          <w:pgSz w:w="11900" w:h="16838" w:orient="portrait"/>
          <w:cols w:equalWidth="0" w:num="1">
            <w:col w:w="10239"/>
          </w:cols>
          <w:pgMar w:left="220" w:top="792" w:right="1440" w:bottom="1440" w:gutter="0" w:footer="0" w:header="0"/>
        </w:sectPr>
      </w:pPr>
    </w:p>
    <w:bookmarkStart w:id="230" w:name="page231"/>
    <w:bookmarkEnd w:id="230"/>
    <w:p>
      <w:pPr>
        <w:ind w:right="3579"/>
        <w:spacing w:after="0" w:line="261" w:lineRule="auto"/>
        <w:rPr>
          <w:sz w:val="20"/>
          <w:szCs w:val="20"/>
          <w:color w:val="auto"/>
        </w:rPr>
      </w:pPr>
      <w:r>
        <w:rPr>
          <w:rFonts w:ascii="Courier New" w:cs="Courier New" w:eastAsia="Courier New" w:hAnsi="Courier New"/>
          <w:sz w:val="14"/>
          <w:szCs w:val="14"/>
          <w:color w:val="auto"/>
        </w:rPr>
        <w:t>Cable Guarantor's obligations hereunder with respect to such payment will be reinstated as though such payment had been due but not made at such time.</w:t>
      </w:r>
    </w:p>
    <w:p>
      <w:pPr>
        <w:spacing w:after="0" w:line="160"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Section 14.04. Waiver by the Cable Guarantors. Each Cable Guarantor irrevocably waives acceptance hereof, presentment, demand, protest and any notice not provided for herein, as well as any requirement that at any time any action be taken by any Person against the Company or any other Person.</w:t>
      </w:r>
    </w:p>
    <w:p>
      <w:pPr>
        <w:spacing w:after="0" w:line="175"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Section 14.05. Subrogation and Contribution. Upon making any payment with respect to any obligation of the Issuer under this Article, the Cable Guarantor making such payment will be subrogated to the rights of the payee against the Issuer with respect to such obligation, provided that the Cable Guarantor may not enforce either any right of subrogation, or any right to receive payment in the nature of contribution, or otherwise, from any other Cable Guarantor, with respect to such payment so long as any amount payable by the Issuer hereunder or under the Securities remains unpaid.</w:t>
      </w:r>
    </w:p>
    <w:p>
      <w:pPr>
        <w:spacing w:after="0" w:line="177" w:lineRule="exact"/>
        <w:rPr>
          <w:sz w:val="20"/>
          <w:szCs w:val="20"/>
          <w:color w:val="auto"/>
        </w:rPr>
      </w:pPr>
    </w:p>
    <w:p>
      <w:pPr>
        <w:ind w:right="3499" w:firstLine="437"/>
        <w:spacing w:after="0" w:line="236" w:lineRule="auto"/>
        <w:rPr>
          <w:sz w:val="20"/>
          <w:szCs w:val="20"/>
          <w:color w:val="auto"/>
        </w:rPr>
      </w:pPr>
      <w:r>
        <w:rPr>
          <w:rFonts w:ascii="Courier New" w:cs="Courier New" w:eastAsia="Courier New" w:hAnsi="Courier New"/>
          <w:sz w:val="15"/>
          <w:szCs w:val="15"/>
          <w:color w:val="auto"/>
        </w:rPr>
        <w:t>Section 14.06. Stay of Acceleration. If acceleration of the time for payment of any amount payable by the Issuer under the Indenture or the Securities is stayed upon the insolvency, bankruptcy or reorganization of the Issuer, all such amounts otherwise subject to acceleration under the terms of the Indenture are nonetheless payable by the Cable Guarantors hereunder forthwith on demand by the Trustee or the Holders.</w:t>
      </w:r>
    </w:p>
    <w:p>
      <w:pPr>
        <w:spacing w:after="0" w:line="175"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Section 14.07. Limitation on Amount of Cable Guarantee. Notwithstanding anything to the contrary in this Article, each Cable Guarantor, and by its acceptance of Securities, each Holder, hereby confirms that it is the intention of all such parties that the Cable Guarantee of such Cable Guarantor not constitute a fraudulent conveyance under applicable fraudulent conveyance provisions of the United States Bankruptcy Code or any comparable provision of other U.S. and non-U.S. law. To effectuate that intention, the Trustee, the Holders and the Cable Guarantors hereby irrevocably agree that the obligations of each Cable Guarantor under its Cable Guarantee are limited to the maximum amount that would not render the Cable Guarantor's obligations subject to avoidance under applicable fraudulent conveyance provisions of the United States Bankruptcy Code or any comparable provision of other U.S. and non-U.S. law.</w:t>
      </w:r>
    </w:p>
    <w:p>
      <w:pPr>
        <w:spacing w:after="0" w:line="164"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Section 14.08. Execution and Delivery of Cable Guarantee. The execution by each Cable Guarantor of the Indenture evidences the Cable Guarantee of such Cable Guarantor, whether or not the person signing as an officer of the Cable Guarantor still holds that office at the time of authentication of any Security. The delivery of any Security by the Trustee after authentication constitutes due delivery of the Cable Guarantee set forth in the Indenture on behalf of each Cable Guarantor.</w:t>
      </w:r>
    </w:p>
    <w:p>
      <w:pPr>
        <w:spacing w:after="0" w:line="33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83</w:t>
      </w:r>
    </w:p>
    <w:p>
      <w:pPr>
        <w:sectPr>
          <w:pgSz w:w="11900" w:h="16838" w:orient="portrait"/>
          <w:cols w:equalWidth="0" w:num="1">
            <w:col w:w="10239"/>
          </w:cols>
          <w:pgMar w:left="220" w:top="792" w:right="1440" w:bottom="1440" w:gutter="0" w:footer="0" w:header="0"/>
        </w:sectPr>
      </w:pPr>
    </w:p>
    <w:bookmarkStart w:id="231" w:name="page232"/>
    <w:bookmarkEnd w:id="231"/>
    <w:p>
      <w:pPr>
        <w:ind w:right="3319" w:firstLine="437"/>
        <w:spacing w:after="0" w:line="234" w:lineRule="auto"/>
        <w:rPr>
          <w:sz w:val="20"/>
          <w:szCs w:val="20"/>
          <w:color w:val="auto"/>
        </w:rPr>
      </w:pPr>
      <w:r>
        <w:rPr>
          <w:rFonts w:ascii="Courier New" w:cs="Courier New" w:eastAsia="Courier New" w:hAnsi="Courier New"/>
          <w:sz w:val="15"/>
          <w:szCs w:val="15"/>
          <w:color w:val="auto"/>
        </w:rPr>
        <w:t>Section 14.09. Release of Cable Guarantee. This Cable Guarantee of a Cable Guarantor will terminate upon</w:t>
      </w:r>
    </w:p>
    <w:p>
      <w:pPr>
        <w:spacing w:after="0" w:line="173" w:lineRule="exact"/>
        <w:rPr>
          <w:sz w:val="20"/>
          <w:szCs w:val="20"/>
          <w:color w:val="auto"/>
        </w:rPr>
      </w:pPr>
    </w:p>
    <w:p>
      <w:pPr>
        <w:ind w:right="3319" w:firstLine="447"/>
        <w:spacing w:after="0" w:line="236" w:lineRule="auto"/>
        <w:tabs>
          <w:tab w:leader="none" w:pos="787" w:val="left"/>
        </w:tabs>
        <w:numPr>
          <w:ilvl w:val="0"/>
          <w:numId w:val="1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sale or other disposition (including by way of consolidation or merger) of the Cable Guarantor or the sale or disposition of all or substantially all the assets of the Cable Guarantor (in each case other than to the Issuer or a Cable Guarantor or a Person who, prior to such sale or other disposition, is an affiliate of the Issuer or a Cable Guarantor); or</w:t>
      </w:r>
    </w:p>
    <w:p>
      <w:pPr>
        <w:spacing w:after="0" w:line="173" w:lineRule="exact"/>
        <w:rPr>
          <w:rFonts w:ascii="Courier New" w:cs="Courier New" w:eastAsia="Courier New" w:hAnsi="Courier New"/>
          <w:sz w:val="15"/>
          <w:szCs w:val="15"/>
          <w:color w:val="auto"/>
        </w:rPr>
      </w:pPr>
    </w:p>
    <w:p>
      <w:pPr>
        <w:ind w:left="800" w:hanging="353"/>
        <w:spacing w:after="0"/>
        <w:tabs>
          <w:tab w:leader="none" w:pos="800" w:val="left"/>
        </w:tabs>
        <w:numPr>
          <w:ilvl w:val="0"/>
          <w:numId w:val="1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Defeasance or discharge of the Securities, as provided in Article 9.</w:t>
      </w:r>
    </w:p>
    <w:p>
      <w:pPr>
        <w:spacing w:after="0" w:line="178"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Upon delivery by the Issuer to the Trustee of an Officers' Certificate and an Opinion of Counsel to the foregoing effect, the Trustee will execute any documents reasonably required in order to evidence the release of the Cable Guarantor from its obligations under its Cable Guarantee.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84</w:t>
      </w:r>
    </w:p>
    <w:p>
      <w:pPr>
        <w:sectPr>
          <w:pgSz w:w="11900" w:h="16838" w:orient="portrait"/>
          <w:cols w:equalWidth="0" w:num="1">
            <w:col w:w="10239"/>
          </w:cols>
          <w:pgMar w:left="220" w:top="792" w:right="1440" w:bottom="1440" w:gutter="0" w:footer="0" w:header="0"/>
        </w:sectPr>
      </w:pPr>
    </w:p>
    <w:bookmarkStart w:id="232" w:name="page233"/>
    <w:bookmarkEnd w:id="232"/>
    <w:p>
      <w:pPr>
        <w:ind w:right="3399" w:firstLine="437"/>
        <w:spacing w:after="0" w:line="235" w:lineRule="auto"/>
        <w:rPr>
          <w:sz w:val="20"/>
          <w:szCs w:val="20"/>
          <w:color w:val="auto"/>
        </w:rPr>
      </w:pPr>
      <w:r>
        <w:rPr>
          <w:rFonts w:ascii="Courier New" w:cs="Courier New" w:eastAsia="Courier New" w:hAnsi="Courier New"/>
          <w:sz w:val="15"/>
          <w:szCs w:val="15"/>
          <w:color w:val="auto"/>
        </w:rPr>
        <w:t>IN WITNESS WHEREOF, the parties hereto have caused this Indenture to be duly executed, and their respective corporate seals to be hereunto affixed and attested, all as of the first date written above.</w:t>
      </w:r>
    </w:p>
    <w:p>
      <w:pPr>
        <w:spacing w:after="0" w:line="335" w:lineRule="exact"/>
        <w:rPr>
          <w:sz w:val="20"/>
          <w:szCs w:val="20"/>
          <w:color w:val="auto"/>
        </w:rPr>
      </w:pPr>
    </w:p>
    <w:p>
      <w:pPr>
        <w:ind w:left="3860"/>
        <w:spacing w:after="0"/>
        <w:rPr>
          <w:sz w:val="20"/>
          <w:szCs w:val="20"/>
          <w:color w:val="auto"/>
        </w:rPr>
      </w:pPr>
      <w:r>
        <w:rPr>
          <w:rFonts w:ascii="Courier New" w:cs="Courier New" w:eastAsia="Courier New" w:hAnsi="Courier New"/>
          <w:sz w:val="15"/>
          <w:szCs w:val="15"/>
          <w:color w:val="auto"/>
        </w:rPr>
        <w:t>COMCAST CORPORATION, as Issuer</w:t>
      </w:r>
    </w:p>
    <w:p>
      <w:pPr>
        <w:spacing w:after="0" w:line="166" w:lineRule="exact"/>
        <w:rPr>
          <w:sz w:val="20"/>
          <w:szCs w:val="20"/>
          <w:color w:val="auto"/>
        </w:rPr>
      </w:pPr>
    </w:p>
    <w:p>
      <w:pPr>
        <w:ind w:left="3860"/>
        <w:spacing w:after="0"/>
        <w:rPr>
          <w:sz w:val="20"/>
          <w:szCs w:val="20"/>
          <w:color w:val="auto"/>
        </w:rPr>
      </w:pPr>
      <w:r>
        <w:rPr>
          <w:rFonts w:ascii="Courier New" w:cs="Courier New" w:eastAsia="Courier New" w:hAnsi="Courier New"/>
          <w:sz w:val="15"/>
          <w:szCs w:val="15"/>
          <w:color w:val="auto"/>
        </w:rPr>
        <w:t>By:</w:t>
      </w:r>
    </w:p>
    <w:p>
      <w:pPr>
        <w:spacing w:after="0" w:line="5" w:lineRule="exact"/>
        <w:rPr>
          <w:sz w:val="20"/>
          <w:szCs w:val="20"/>
          <w:color w:val="auto"/>
        </w:rPr>
      </w:pPr>
    </w:p>
    <w:p>
      <w:pPr>
        <w:ind w:left="420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4200"/>
        <w:spacing w:after="0"/>
        <w:rPr>
          <w:sz w:val="20"/>
          <w:szCs w:val="20"/>
          <w:color w:val="auto"/>
        </w:rPr>
      </w:pPr>
      <w:r>
        <w:rPr>
          <w:rFonts w:ascii="Courier New" w:cs="Courier New" w:eastAsia="Courier New" w:hAnsi="Courier New"/>
          <w:sz w:val="15"/>
          <w:szCs w:val="15"/>
          <w:color w:val="auto"/>
        </w:rPr>
        <w:t>Name:</w:t>
      </w:r>
    </w:p>
    <w:p>
      <w:pPr>
        <w:ind w:left="4200"/>
        <w:spacing w:after="0" w:line="237" w:lineRule="auto"/>
        <w:rPr>
          <w:sz w:val="20"/>
          <w:szCs w:val="20"/>
          <w:color w:val="auto"/>
        </w:rPr>
      </w:pPr>
      <w:r>
        <w:rPr>
          <w:rFonts w:ascii="Courier New" w:cs="Courier New" w:eastAsia="Courier New" w:hAnsi="Courier New"/>
          <w:sz w:val="15"/>
          <w:szCs w:val="15"/>
          <w:color w:val="auto"/>
        </w:rPr>
        <w:t>Title:</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[CORPORATE SEAL]</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Attest:</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w:t>
      </w:r>
    </w:p>
    <w:p>
      <w:pPr>
        <w:ind w:left="360"/>
        <w:spacing w:after="0" w:line="237" w:lineRule="auto"/>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85</w:t>
      </w:r>
    </w:p>
    <w:p>
      <w:pPr>
        <w:sectPr>
          <w:pgSz w:w="11900" w:h="16838" w:orient="portrait"/>
          <w:cols w:equalWidth="0" w:num="1">
            <w:col w:w="10239"/>
          </w:cols>
          <w:pgMar w:left="220" w:top="792" w:right="1440" w:bottom="1440" w:gutter="0" w:footer="0" w:header="0"/>
        </w:sectPr>
      </w:pPr>
    </w:p>
    <w:bookmarkStart w:id="233" w:name="page234"/>
    <w:bookmarkEnd w:id="233"/>
    <w:p>
      <w:pPr>
        <w:ind w:left="3860"/>
        <w:spacing w:after="0"/>
        <w:rPr>
          <w:sz w:val="20"/>
          <w:szCs w:val="20"/>
          <w:color w:val="auto"/>
        </w:rPr>
      </w:pPr>
      <w:r>
        <w:rPr>
          <w:rFonts w:ascii="Courier New" w:cs="Courier New" w:eastAsia="Courier New" w:hAnsi="Courier New"/>
          <w:sz w:val="15"/>
          <w:szCs w:val="15"/>
          <w:color w:val="auto"/>
        </w:rPr>
        <w:t>THE BANK OF NEW YORK, as Trustee</w:t>
      </w:r>
    </w:p>
    <w:p>
      <w:pPr>
        <w:spacing w:after="0" w:line="166" w:lineRule="exact"/>
        <w:rPr>
          <w:sz w:val="20"/>
          <w:szCs w:val="20"/>
          <w:color w:val="auto"/>
        </w:rPr>
      </w:pPr>
    </w:p>
    <w:p>
      <w:pPr>
        <w:ind w:left="3860"/>
        <w:spacing w:after="0"/>
        <w:rPr>
          <w:sz w:val="20"/>
          <w:szCs w:val="20"/>
          <w:color w:val="auto"/>
        </w:rPr>
      </w:pPr>
      <w:r>
        <w:rPr>
          <w:rFonts w:ascii="Courier New" w:cs="Courier New" w:eastAsia="Courier New" w:hAnsi="Courier New"/>
          <w:sz w:val="15"/>
          <w:szCs w:val="15"/>
          <w:color w:val="auto"/>
        </w:rPr>
        <w:t>By:</w:t>
      </w:r>
    </w:p>
    <w:p>
      <w:pPr>
        <w:spacing w:after="0" w:line="5" w:lineRule="exact"/>
        <w:rPr>
          <w:sz w:val="20"/>
          <w:szCs w:val="20"/>
          <w:color w:val="auto"/>
        </w:rPr>
      </w:pPr>
    </w:p>
    <w:p>
      <w:pPr>
        <w:ind w:left="420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4200"/>
        <w:spacing w:after="0"/>
        <w:rPr>
          <w:sz w:val="20"/>
          <w:szCs w:val="20"/>
          <w:color w:val="auto"/>
        </w:rPr>
      </w:pPr>
      <w:r>
        <w:rPr>
          <w:rFonts w:ascii="Courier New" w:cs="Courier New" w:eastAsia="Courier New" w:hAnsi="Courier New"/>
          <w:sz w:val="15"/>
          <w:szCs w:val="15"/>
          <w:color w:val="auto"/>
        </w:rPr>
        <w:t>Name:</w:t>
      </w:r>
    </w:p>
    <w:p>
      <w:pPr>
        <w:ind w:left="4200"/>
        <w:spacing w:after="0" w:line="237" w:lineRule="auto"/>
        <w:rPr>
          <w:sz w:val="20"/>
          <w:szCs w:val="20"/>
          <w:color w:val="auto"/>
        </w:rPr>
      </w:pPr>
      <w:r>
        <w:rPr>
          <w:rFonts w:ascii="Courier New" w:cs="Courier New" w:eastAsia="Courier New" w:hAnsi="Courier New"/>
          <w:sz w:val="15"/>
          <w:szCs w:val="15"/>
          <w:color w:val="auto"/>
        </w:rPr>
        <w:t>Title:</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[CORPORATE SEAL]</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Attest:</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w:t>
      </w:r>
    </w:p>
    <w:p>
      <w:pPr>
        <w:ind w:left="360"/>
        <w:spacing w:after="0" w:line="237" w:lineRule="auto"/>
        <w:rPr>
          <w:sz w:val="20"/>
          <w:szCs w:val="20"/>
          <w:color w:val="auto"/>
        </w:rPr>
      </w:pPr>
      <w:r>
        <w:rPr>
          <w:rFonts w:ascii="Courier New" w:cs="Courier New" w:eastAsia="Courier New" w:hAnsi="Courier New"/>
          <w:sz w:val="15"/>
          <w:szCs w:val="15"/>
          <w:color w:val="auto"/>
        </w:rPr>
        <w:t>--------------------------------</w:t>
      </w:r>
    </w:p>
    <w:p>
      <w:pPr>
        <w:spacing w:after="0" w:line="167" w:lineRule="exact"/>
        <w:rPr>
          <w:sz w:val="20"/>
          <w:szCs w:val="20"/>
          <w:color w:val="auto"/>
        </w:rPr>
      </w:pPr>
    </w:p>
    <w:p>
      <w:pPr>
        <w:ind w:left="3860"/>
        <w:spacing w:after="0"/>
        <w:rPr>
          <w:sz w:val="20"/>
          <w:szCs w:val="20"/>
          <w:color w:val="auto"/>
        </w:rPr>
      </w:pPr>
      <w:r>
        <w:rPr>
          <w:rFonts w:ascii="Courier New" w:cs="Courier New" w:eastAsia="Courier New" w:hAnsi="Courier New"/>
          <w:sz w:val="15"/>
          <w:szCs w:val="15"/>
          <w:color w:val="auto"/>
        </w:rPr>
        <w:t>COMCAST CABLE COMMUNICATIONS, INC.</w:t>
      </w:r>
    </w:p>
    <w:p>
      <w:pPr>
        <w:spacing w:after="0" w:line="166" w:lineRule="exact"/>
        <w:rPr>
          <w:sz w:val="20"/>
          <w:szCs w:val="20"/>
          <w:color w:val="auto"/>
        </w:rPr>
      </w:pPr>
    </w:p>
    <w:p>
      <w:pPr>
        <w:ind w:left="3860"/>
        <w:spacing w:after="0"/>
        <w:rPr>
          <w:sz w:val="20"/>
          <w:szCs w:val="20"/>
          <w:color w:val="auto"/>
        </w:rPr>
      </w:pPr>
      <w:r>
        <w:rPr>
          <w:rFonts w:ascii="Courier New" w:cs="Courier New" w:eastAsia="Courier New" w:hAnsi="Courier New"/>
          <w:sz w:val="15"/>
          <w:szCs w:val="15"/>
          <w:color w:val="auto"/>
        </w:rPr>
        <w:t>By:</w:t>
      </w:r>
    </w:p>
    <w:p>
      <w:pPr>
        <w:spacing w:after="0" w:line="5" w:lineRule="exact"/>
        <w:rPr>
          <w:sz w:val="20"/>
          <w:szCs w:val="20"/>
          <w:color w:val="auto"/>
        </w:rPr>
      </w:pPr>
    </w:p>
    <w:p>
      <w:pPr>
        <w:ind w:left="420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4200"/>
        <w:spacing w:after="0"/>
        <w:rPr>
          <w:sz w:val="20"/>
          <w:szCs w:val="20"/>
          <w:color w:val="auto"/>
        </w:rPr>
      </w:pPr>
      <w:r>
        <w:rPr>
          <w:rFonts w:ascii="Courier New" w:cs="Courier New" w:eastAsia="Courier New" w:hAnsi="Courier New"/>
          <w:sz w:val="15"/>
          <w:szCs w:val="15"/>
          <w:color w:val="auto"/>
        </w:rPr>
        <w:t>Name:</w:t>
      </w:r>
    </w:p>
    <w:p>
      <w:pPr>
        <w:ind w:left="4200"/>
        <w:spacing w:after="0" w:line="237" w:lineRule="auto"/>
        <w:rPr>
          <w:sz w:val="20"/>
          <w:szCs w:val="20"/>
          <w:color w:val="auto"/>
        </w:rPr>
      </w:pPr>
      <w:r>
        <w:rPr>
          <w:rFonts w:ascii="Courier New" w:cs="Courier New" w:eastAsia="Courier New" w:hAnsi="Courier New"/>
          <w:sz w:val="15"/>
          <w:szCs w:val="15"/>
          <w:color w:val="auto"/>
        </w:rPr>
        <w:t>Title:</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[CORPORATE SEAL]</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Attest:</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w:t>
      </w:r>
    </w:p>
    <w:p>
      <w:pPr>
        <w:ind w:left="360"/>
        <w:spacing w:after="0" w:line="237" w:lineRule="auto"/>
        <w:rPr>
          <w:sz w:val="20"/>
          <w:szCs w:val="20"/>
          <w:color w:val="auto"/>
        </w:rPr>
      </w:pPr>
      <w:r>
        <w:rPr>
          <w:rFonts w:ascii="Courier New" w:cs="Courier New" w:eastAsia="Courier New" w:hAnsi="Courier New"/>
          <w:sz w:val="15"/>
          <w:szCs w:val="15"/>
          <w:color w:val="auto"/>
        </w:rPr>
        <w:t>--------------------------------</w:t>
      </w:r>
    </w:p>
    <w:p>
      <w:pPr>
        <w:spacing w:after="0" w:line="167" w:lineRule="exact"/>
        <w:rPr>
          <w:sz w:val="20"/>
          <w:szCs w:val="20"/>
          <w:color w:val="auto"/>
        </w:rPr>
      </w:pPr>
    </w:p>
    <w:p>
      <w:pPr>
        <w:ind w:left="3860"/>
        <w:spacing w:after="0"/>
        <w:rPr>
          <w:sz w:val="20"/>
          <w:szCs w:val="20"/>
          <w:color w:val="auto"/>
        </w:rPr>
      </w:pPr>
      <w:r>
        <w:rPr>
          <w:rFonts w:ascii="Courier New" w:cs="Courier New" w:eastAsia="Courier New" w:hAnsi="Courier New"/>
          <w:sz w:val="15"/>
          <w:szCs w:val="15"/>
          <w:color w:val="auto"/>
        </w:rPr>
        <w:t>COMCAST CABLE</w:t>
      </w:r>
    </w:p>
    <w:p>
      <w:pPr>
        <w:ind w:left="3860"/>
        <w:spacing w:after="0" w:line="237" w:lineRule="auto"/>
        <w:rPr>
          <w:sz w:val="20"/>
          <w:szCs w:val="20"/>
          <w:color w:val="auto"/>
        </w:rPr>
      </w:pPr>
      <w:r>
        <w:rPr>
          <w:rFonts w:ascii="Courier New" w:cs="Courier New" w:eastAsia="Courier New" w:hAnsi="Courier New"/>
          <w:sz w:val="15"/>
          <w:szCs w:val="15"/>
          <w:color w:val="auto"/>
        </w:rPr>
        <w:t>COMMUNICATIONS, HOLDINGS, INC.</w:t>
      </w:r>
    </w:p>
    <w:p>
      <w:pPr>
        <w:spacing w:after="0" w:line="167" w:lineRule="exact"/>
        <w:rPr>
          <w:sz w:val="20"/>
          <w:szCs w:val="20"/>
          <w:color w:val="auto"/>
        </w:rPr>
      </w:pPr>
    </w:p>
    <w:p>
      <w:pPr>
        <w:ind w:left="3860"/>
        <w:spacing w:after="0"/>
        <w:rPr>
          <w:sz w:val="20"/>
          <w:szCs w:val="20"/>
          <w:color w:val="auto"/>
        </w:rPr>
      </w:pPr>
      <w:r>
        <w:rPr>
          <w:rFonts w:ascii="Courier New" w:cs="Courier New" w:eastAsia="Courier New" w:hAnsi="Courier New"/>
          <w:sz w:val="15"/>
          <w:szCs w:val="15"/>
          <w:color w:val="auto"/>
        </w:rPr>
        <w:t>By:</w:t>
      </w:r>
    </w:p>
    <w:p>
      <w:pPr>
        <w:spacing w:after="0" w:line="5" w:lineRule="exact"/>
        <w:rPr>
          <w:sz w:val="20"/>
          <w:szCs w:val="20"/>
          <w:color w:val="auto"/>
        </w:rPr>
      </w:pPr>
    </w:p>
    <w:p>
      <w:pPr>
        <w:ind w:left="420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4200"/>
        <w:spacing w:after="0"/>
        <w:rPr>
          <w:sz w:val="20"/>
          <w:szCs w:val="20"/>
          <w:color w:val="auto"/>
        </w:rPr>
      </w:pPr>
      <w:r>
        <w:rPr>
          <w:rFonts w:ascii="Courier New" w:cs="Courier New" w:eastAsia="Courier New" w:hAnsi="Courier New"/>
          <w:sz w:val="15"/>
          <w:szCs w:val="15"/>
          <w:color w:val="auto"/>
        </w:rPr>
        <w:t>Name:</w:t>
      </w:r>
    </w:p>
    <w:p>
      <w:pPr>
        <w:ind w:left="4200"/>
        <w:spacing w:after="0" w:line="237" w:lineRule="auto"/>
        <w:rPr>
          <w:sz w:val="20"/>
          <w:szCs w:val="20"/>
          <w:color w:val="auto"/>
        </w:rPr>
      </w:pPr>
      <w:r>
        <w:rPr>
          <w:rFonts w:ascii="Courier New" w:cs="Courier New" w:eastAsia="Courier New" w:hAnsi="Courier New"/>
          <w:sz w:val="15"/>
          <w:szCs w:val="15"/>
          <w:color w:val="auto"/>
        </w:rPr>
        <w:t>Title:</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[CORPORATE SEAL]</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Attest:</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w:t>
      </w:r>
    </w:p>
    <w:p>
      <w:pPr>
        <w:ind w:left="360"/>
        <w:spacing w:after="0" w:line="237" w:lineRule="auto"/>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30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86</w:t>
      </w:r>
    </w:p>
    <w:p>
      <w:pPr>
        <w:sectPr>
          <w:pgSz w:w="11900" w:h="16838" w:orient="portrait"/>
          <w:cols w:equalWidth="0" w:num="1">
            <w:col w:w="10239"/>
          </w:cols>
          <w:pgMar w:left="220" w:top="785" w:right="1440" w:bottom="1440" w:gutter="0" w:footer="0" w:header="0"/>
        </w:sectPr>
      </w:pPr>
    </w:p>
    <w:bookmarkStart w:id="234" w:name="page235"/>
    <w:bookmarkEnd w:id="234"/>
    <w:p>
      <w:pPr>
        <w:ind w:left="3860"/>
        <w:spacing w:after="0"/>
        <w:rPr>
          <w:sz w:val="20"/>
          <w:szCs w:val="20"/>
          <w:color w:val="auto"/>
        </w:rPr>
      </w:pPr>
      <w:r>
        <w:rPr>
          <w:rFonts w:ascii="Courier New" w:cs="Courier New" w:eastAsia="Courier New" w:hAnsi="Courier New"/>
          <w:sz w:val="15"/>
          <w:szCs w:val="15"/>
          <w:color w:val="auto"/>
        </w:rPr>
        <w:t>COMCAST CABLE HOLDINGS, LLC</w:t>
      </w:r>
    </w:p>
    <w:p>
      <w:pPr>
        <w:spacing w:after="0" w:line="166" w:lineRule="exact"/>
        <w:rPr>
          <w:sz w:val="20"/>
          <w:szCs w:val="20"/>
          <w:color w:val="auto"/>
        </w:rPr>
      </w:pPr>
    </w:p>
    <w:p>
      <w:pPr>
        <w:ind w:left="3860"/>
        <w:spacing w:after="0"/>
        <w:rPr>
          <w:sz w:val="20"/>
          <w:szCs w:val="20"/>
          <w:color w:val="auto"/>
        </w:rPr>
      </w:pPr>
      <w:r>
        <w:rPr>
          <w:rFonts w:ascii="Courier New" w:cs="Courier New" w:eastAsia="Courier New" w:hAnsi="Courier New"/>
          <w:sz w:val="15"/>
          <w:szCs w:val="15"/>
          <w:color w:val="auto"/>
        </w:rPr>
        <w:t>By:</w:t>
      </w:r>
    </w:p>
    <w:p>
      <w:pPr>
        <w:spacing w:after="0" w:line="5" w:lineRule="exact"/>
        <w:rPr>
          <w:sz w:val="20"/>
          <w:szCs w:val="20"/>
          <w:color w:val="auto"/>
        </w:rPr>
      </w:pPr>
    </w:p>
    <w:p>
      <w:pPr>
        <w:ind w:left="420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4200"/>
        <w:spacing w:after="0"/>
        <w:rPr>
          <w:sz w:val="20"/>
          <w:szCs w:val="20"/>
          <w:color w:val="auto"/>
        </w:rPr>
      </w:pPr>
      <w:r>
        <w:rPr>
          <w:rFonts w:ascii="Courier New" w:cs="Courier New" w:eastAsia="Courier New" w:hAnsi="Courier New"/>
          <w:sz w:val="15"/>
          <w:szCs w:val="15"/>
          <w:color w:val="auto"/>
        </w:rPr>
        <w:t>Name:</w:t>
      </w:r>
    </w:p>
    <w:p>
      <w:pPr>
        <w:ind w:left="4200"/>
        <w:spacing w:after="0" w:line="237" w:lineRule="auto"/>
        <w:rPr>
          <w:sz w:val="20"/>
          <w:szCs w:val="20"/>
          <w:color w:val="auto"/>
        </w:rPr>
      </w:pPr>
      <w:r>
        <w:rPr>
          <w:rFonts w:ascii="Courier New" w:cs="Courier New" w:eastAsia="Courier New" w:hAnsi="Courier New"/>
          <w:sz w:val="15"/>
          <w:szCs w:val="15"/>
          <w:color w:val="auto"/>
        </w:rPr>
        <w:t>Title:</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[CORPORATE SEAL]</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Attest:</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w:t>
      </w:r>
    </w:p>
    <w:p>
      <w:pPr>
        <w:ind w:left="360"/>
        <w:spacing w:after="0" w:line="237" w:lineRule="auto"/>
        <w:rPr>
          <w:sz w:val="20"/>
          <w:szCs w:val="20"/>
          <w:color w:val="auto"/>
        </w:rPr>
      </w:pPr>
      <w:r>
        <w:rPr>
          <w:rFonts w:ascii="Courier New" w:cs="Courier New" w:eastAsia="Courier New" w:hAnsi="Courier New"/>
          <w:sz w:val="15"/>
          <w:szCs w:val="15"/>
          <w:color w:val="auto"/>
        </w:rPr>
        <w:t>--------------------------------</w:t>
      </w:r>
    </w:p>
    <w:p>
      <w:pPr>
        <w:spacing w:after="0" w:line="167" w:lineRule="exact"/>
        <w:rPr>
          <w:sz w:val="20"/>
          <w:szCs w:val="20"/>
          <w:color w:val="auto"/>
        </w:rPr>
      </w:pPr>
    </w:p>
    <w:p>
      <w:pPr>
        <w:ind w:left="3860"/>
        <w:spacing w:after="0"/>
        <w:rPr>
          <w:sz w:val="20"/>
          <w:szCs w:val="20"/>
          <w:color w:val="auto"/>
        </w:rPr>
      </w:pPr>
      <w:r>
        <w:rPr>
          <w:rFonts w:ascii="Courier New" w:cs="Courier New" w:eastAsia="Courier New" w:hAnsi="Courier New"/>
          <w:sz w:val="15"/>
          <w:szCs w:val="15"/>
          <w:color w:val="auto"/>
        </w:rPr>
        <w:t>COMCAST MO GROUP, INC.</w:t>
      </w:r>
    </w:p>
    <w:p>
      <w:pPr>
        <w:spacing w:after="0" w:line="166" w:lineRule="exact"/>
        <w:rPr>
          <w:sz w:val="20"/>
          <w:szCs w:val="20"/>
          <w:color w:val="auto"/>
        </w:rPr>
      </w:pPr>
    </w:p>
    <w:p>
      <w:pPr>
        <w:ind w:left="3860"/>
        <w:spacing w:after="0"/>
        <w:rPr>
          <w:sz w:val="20"/>
          <w:szCs w:val="20"/>
          <w:color w:val="auto"/>
        </w:rPr>
      </w:pPr>
      <w:r>
        <w:rPr>
          <w:rFonts w:ascii="Courier New" w:cs="Courier New" w:eastAsia="Courier New" w:hAnsi="Courier New"/>
          <w:sz w:val="15"/>
          <w:szCs w:val="15"/>
          <w:color w:val="auto"/>
        </w:rPr>
        <w:t>By:</w:t>
      </w:r>
    </w:p>
    <w:p>
      <w:pPr>
        <w:spacing w:after="0" w:line="5" w:lineRule="exact"/>
        <w:rPr>
          <w:sz w:val="20"/>
          <w:szCs w:val="20"/>
          <w:color w:val="auto"/>
        </w:rPr>
      </w:pPr>
    </w:p>
    <w:p>
      <w:pPr>
        <w:ind w:left="420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4200"/>
        <w:spacing w:after="0"/>
        <w:rPr>
          <w:sz w:val="20"/>
          <w:szCs w:val="20"/>
          <w:color w:val="auto"/>
        </w:rPr>
      </w:pPr>
      <w:r>
        <w:rPr>
          <w:rFonts w:ascii="Courier New" w:cs="Courier New" w:eastAsia="Courier New" w:hAnsi="Courier New"/>
          <w:sz w:val="15"/>
          <w:szCs w:val="15"/>
          <w:color w:val="auto"/>
        </w:rPr>
        <w:t>Name:</w:t>
      </w:r>
    </w:p>
    <w:p>
      <w:pPr>
        <w:ind w:left="4200"/>
        <w:spacing w:after="0" w:line="237" w:lineRule="auto"/>
        <w:rPr>
          <w:sz w:val="20"/>
          <w:szCs w:val="20"/>
          <w:color w:val="auto"/>
        </w:rPr>
      </w:pPr>
      <w:r>
        <w:rPr>
          <w:rFonts w:ascii="Courier New" w:cs="Courier New" w:eastAsia="Courier New" w:hAnsi="Courier New"/>
          <w:sz w:val="15"/>
          <w:szCs w:val="15"/>
          <w:color w:val="auto"/>
        </w:rPr>
        <w:t>Title:</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[CORPORATE SEAL]</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Attest:</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w:t>
      </w:r>
    </w:p>
    <w:p>
      <w:pPr>
        <w:ind w:left="360"/>
        <w:spacing w:after="0" w:line="237" w:lineRule="auto"/>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87</w:t>
      </w:r>
    </w:p>
    <w:p>
      <w:pPr>
        <w:sectPr>
          <w:pgSz w:w="11900" w:h="16838" w:orient="portrait"/>
          <w:cols w:equalWidth="0" w:num="1">
            <w:col w:w="10239"/>
          </w:cols>
          <w:pgMar w:left="220" w:top="785" w:right="1440" w:bottom="1440" w:gutter="0" w:footer="0" w:header="0"/>
        </w:sectPr>
      </w:pPr>
    </w:p>
    <w:bookmarkStart w:id="235" w:name="page236"/>
    <w:bookmarkEnd w:id="235"/>
    <w:p>
      <w:pPr>
        <w:jc w:val="right"/>
        <w:ind w:right="3239"/>
        <w:spacing w:after="0"/>
        <w:rPr>
          <w:sz w:val="20"/>
          <w:szCs w:val="20"/>
          <w:color w:val="auto"/>
        </w:rPr>
      </w:pPr>
      <w:r>
        <w:rPr>
          <w:rFonts w:ascii="Courier New" w:cs="Courier New" w:eastAsia="Courier New" w:hAnsi="Courier New"/>
          <w:sz w:val="15"/>
          <w:szCs w:val="15"/>
          <w:color w:val="auto"/>
        </w:rPr>
        <w:t>EXHIBIT 4.7</w:t>
      </w:r>
    </w:p>
    <w:p>
      <w:pPr>
        <w:spacing w:after="0" w:line="341" w:lineRule="exact"/>
        <w:rPr>
          <w:sz w:val="20"/>
          <w:szCs w:val="20"/>
          <w:color w:val="auto"/>
        </w:rPr>
      </w:pPr>
    </w:p>
    <w:p>
      <w:pPr>
        <w:ind w:right="3239"/>
        <w:spacing w:after="0" w:line="237" w:lineRule="auto"/>
        <w:rPr>
          <w:sz w:val="20"/>
          <w:szCs w:val="20"/>
          <w:color w:val="auto"/>
        </w:rPr>
      </w:pPr>
      <w:r>
        <w:rPr>
          <w:rFonts w:ascii="Courier New" w:cs="Courier New" w:eastAsia="Courier New" w:hAnsi="Courier New"/>
          <w:sz w:val="15"/>
          <w:szCs w:val="15"/>
          <w:color w:val="auto"/>
        </w:rPr>
        <w:t>UNLESS AND UNTIL IT IS EXCHANGED IN WHOLE OR IN PART FOR SECURITIES IN DEFINITIVE REGISTERED FORM, THIS SECURITY MAY NOT BE TRANSFERRED EXCEPT AS A WHOLE BY THE DEPOSITARY TO A NOMINEE OF THE DEPOSITARY OR BY A NOMINEE OF THE DEPOSITARY TO THE DEPOSITARY OR ANOTHER NOMINEE OF THE DEPOSITARY OR BY THE DEPOSITARY OR ANY SUCH NOMINEE TO A SUCCESSOR DEPOSITORY OR A NOMINEE OF SUCH SUCCESSOR DEPOSITARY. UNLESS THIS SECURITY IS PRESENTED BY AN AUTHORIZED REPRESENTATIVE OF THE DEPOSITORY TRUST COMPANY, A NEW YORK CORPORATION ("DTC"), TO THE COMPANY OR ITS AGENT FOR REGISTRATION OF TRANSFER, EXCHANGE OR PAYMENT, AND ANY SECURITY ISSUED IS REGISTERED IN THE NAME OF CEDE &amp; CO. OR IN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COMCAST CORPORATION</w:t>
      </w:r>
    </w:p>
    <w:p>
      <w:pPr>
        <w:jc w:val="center"/>
        <w:ind w:right="3139"/>
        <w:spacing w:after="0" w:line="237" w:lineRule="auto"/>
        <w:rPr>
          <w:sz w:val="20"/>
          <w:szCs w:val="20"/>
          <w:color w:val="auto"/>
        </w:rPr>
      </w:pPr>
      <w:r>
        <w:rPr>
          <w:rFonts w:ascii="Courier New" w:cs="Courier New" w:eastAsia="Courier New" w:hAnsi="Courier New"/>
          <w:sz w:val="15"/>
          <w:szCs w:val="15"/>
          <w:color w:val="auto"/>
        </w:rPr>
        <w:t>[ ]% Note Due [ ]</w:t>
      </w:r>
    </w:p>
    <w:p>
      <w:pPr>
        <w:sectPr>
          <w:pgSz w:w="11900" w:h="16838" w:orient="portrait"/>
          <w:cols w:equalWidth="0" w:num="1">
            <w:col w:w="10239"/>
          </w:cols>
          <w:pgMar w:left="220" w:top="303" w:right="1440" w:bottom="1440" w:gutter="0" w:footer="0" w:header="0"/>
        </w:sectPr>
      </w:pP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 [</w:t>
      </w:r>
    </w:p>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CUSIP No.:</w:t>
      </w:r>
    </w:p>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jc w:val="right"/>
        <w:spacing w:after="0"/>
        <w:rPr>
          <w:sz w:val="20"/>
          <w:szCs w:val="20"/>
          <w:color w:val="auto"/>
        </w:rPr>
      </w:pPr>
      <w:r>
        <w:rPr>
          <w:rFonts w:ascii="Courier New" w:cs="Courier New" w:eastAsia="Courier New" w:hAnsi="Courier New"/>
          <w:sz w:val="15"/>
          <w:szCs w:val="15"/>
          <w:color w:val="auto"/>
        </w:rPr>
        <w:t>[</w:t>
      </w:r>
    </w:p>
    <w:p>
      <w:pPr>
        <w:jc w:val="right"/>
        <w:spacing w:after="0" w:line="237" w:lineRule="auto"/>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w:t>
      </w:r>
    </w:p>
    <w:p>
      <w:pPr>
        <w:spacing w:after="0" w:line="32"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w:t>
      </w:r>
    </w:p>
    <w:p>
      <w:pPr>
        <w:spacing w:after="0" w:line="227" w:lineRule="exact"/>
        <w:rPr>
          <w:sz w:val="20"/>
          <w:szCs w:val="20"/>
          <w:color w:val="auto"/>
        </w:rPr>
      </w:pPr>
    </w:p>
    <w:p>
      <w:pPr>
        <w:sectPr>
          <w:pgSz w:w="11900" w:h="16838" w:orient="portrait"/>
          <w:cols w:equalWidth="0" w:num="5">
            <w:col w:w="440" w:space="260"/>
            <w:col w:w="4100" w:space="720"/>
            <w:col w:w="880" w:space="80"/>
            <w:col w:w="180" w:space="260"/>
            <w:col w:w="3319"/>
          </w:cols>
          <w:pgMar w:left="220" w:top="303" w:right="1440" w:bottom="1440" w:gutter="0" w:footer="0" w:header="0"/>
          <w:type w:val="continuous"/>
        </w:sectPr>
      </w:pPr>
    </w:p>
    <w:p>
      <w:pPr>
        <w:spacing w:after="0" w:line="142" w:lineRule="exact"/>
        <w:rPr>
          <w:sz w:val="20"/>
          <w:szCs w:val="20"/>
          <w:color w:val="auto"/>
        </w:rPr>
      </w:pPr>
    </w:p>
    <w:p>
      <w:pPr>
        <w:jc w:val="both"/>
        <w:ind w:right="3319" w:firstLine="437"/>
        <w:spacing w:after="0" w:line="235" w:lineRule="auto"/>
        <w:rPr>
          <w:sz w:val="20"/>
          <w:szCs w:val="20"/>
          <w:color w:val="auto"/>
        </w:rPr>
      </w:pPr>
      <w:r>
        <w:rPr>
          <w:rFonts w:ascii="Courier New" w:cs="Courier New" w:eastAsia="Courier New" w:hAnsi="Courier New"/>
          <w:sz w:val="15"/>
          <w:szCs w:val="15"/>
          <w:color w:val="auto"/>
        </w:rPr>
        <w:t>COMCAST CORPORATION, a Delaware corporation ("Issuer", which term includes any successor corporation), for value received promises to pay to CEDE &amp; CO. or registered assigns, the principal sum of [ ] on [ ].</w:t>
      </w:r>
    </w:p>
    <w:p>
      <w:pPr>
        <w:spacing w:after="0" w:line="174" w:lineRule="exact"/>
        <w:rPr>
          <w:sz w:val="20"/>
          <w:szCs w:val="20"/>
          <w:color w:val="auto"/>
        </w:rPr>
      </w:pPr>
    </w:p>
    <w:p>
      <w:pPr>
        <w:ind w:right="3579" w:firstLine="437"/>
        <w:spacing w:after="0" w:line="234" w:lineRule="auto"/>
        <w:rPr>
          <w:sz w:val="20"/>
          <w:szCs w:val="20"/>
          <w:color w:val="auto"/>
        </w:rPr>
      </w:pPr>
      <w:r>
        <w:rPr>
          <w:rFonts w:ascii="Courier New" w:cs="Courier New" w:eastAsia="Courier New" w:hAnsi="Courier New"/>
          <w:sz w:val="15"/>
          <w:szCs w:val="15"/>
          <w:color w:val="auto"/>
        </w:rPr>
        <w:t>Interest Payment Dates: [ ] and [ ] (each, an "Interest Payment Date"), commencing on [ ].</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Interest Record Dates: [ ] and [ ] (each, an "Interest Record Date").</w:t>
      </w:r>
    </w:p>
    <w:p>
      <w:pPr>
        <w:spacing w:after="0" w:line="173"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Reference is made to the further provisions of this Security contained herein, which will for all purposes have the same effect as if set forth at this place.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39"/>
          </w:cols>
          <w:pgMar w:left="220" w:top="303" w:right="1440" w:bottom="1440" w:gutter="0" w:footer="0" w:header="0"/>
          <w:type w:val="continuous"/>
        </w:sectPr>
      </w:pPr>
    </w:p>
    <w:bookmarkStart w:id="236" w:name="page237"/>
    <w:bookmarkEnd w:id="236"/>
    <w:p>
      <w:pPr>
        <w:ind w:right="3679" w:firstLine="437"/>
        <w:spacing w:after="0" w:line="235" w:lineRule="auto"/>
        <w:rPr>
          <w:sz w:val="20"/>
          <w:szCs w:val="20"/>
          <w:color w:val="auto"/>
        </w:rPr>
      </w:pPr>
      <w:r>
        <w:rPr>
          <w:rFonts w:ascii="Courier New" w:cs="Courier New" w:eastAsia="Courier New" w:hAnsi="Courier New"/>
          <w:sz w:val="15"/>
          <w:szCs w:val="15"/>
          <w:color w:val="auto"/>
        </w:rPr>
        <w:t>IN WITNESS WHEREOF, the Issuer has caused this Security to be signed manually or by facsimile by its duly authorized officer under its corporate seal.</w:t>
      </w:r>
    </w:p>
    <w:p>
      <w:pPr>
        <w:spacing w:after="0" w:line="335" w:lineRule="exact"/>
        <w:rPr>
          <w:sz w:val="20"/>
          <w:szCs w:val="20"/>
          <w:color w:val="auto"/>
        </w:rPr>
      </w:pPr>
    </w:p>
    <w:p>
      <w:pPr>
        <w:ind w:left="3860"/>
        <w:spacing w:after="0"/>
        <w:rPr>
          <w:sz w:val="20"/>
          <w:szCs w:val="20"/>
          <w:color w:val="auto"/>
        </w:rPr>
      </w:pPr>
      <w:r>
        <w:rPr>
          <w:rFonts w:ascii="Courier New" w:cs="Courier New" w:eastAsia="Courier New" w:hAnsi="Courier New"/>
          <w:sz w:val="15"/>
          <w:szCs w:val="15"/>
          <w:color w:val="auto"/>
        </w:rPr>
        <w:t>COMCAST CORPORATION</w:t>
      </w:r>
    </w:p>
    <w:p>
      <w:pPr>
        <w:spacing w:after="0" w:line="166" w:lineRule="exact"/>
        <w:rPr>
          <w:sz w:val="20"/>
          <w:szCs w:val="20"/>
          <w:color w:val="auto"/>
        </w:rPr>
      </w:pPr>
    </w:p>
    <w:p>
      <w:pPr>
        <w:ind w:left="3860"/>
        <w:spacing w:after="0"/>
        <w:rPr>
          <w:sz w:val="20"/>
          <w:szCs w:val="20"/>
          <w:color w:val="auto"/>
        </w:rPr>
      </w:pPr>
      <w:r>
        <w:rPr>
          <w:rFonts w:ascii="Courier New" w:cs="Courier New" w:eastAsia="Courier New" w:hAnsi="Courier New"/>
          <w:sz w:val="15"/>
          <w:szCs w:val="15"/>
          <w:color w:val="auto"/>
        </w:rPr>
        <w:t>By:</w:t>
      </w:r>
    </w:p>
    <w:p>
      <w:pPr>
        <w:spacing w:after="0" w:line="5" w:lineRule="exact"/>
        <w:rPr>
          <w:sz w:val="20"/>
          <w:szCs w:val="20"/>
          <w:color w:val="auto"/>
        </w:rPr>
      </w:pPr>
    </w:p>
    <w:p>
      <w:pPr>
        <w:ind w:left="420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4200"/>
        <w:spacing w:after="0"/>
        <w:rPr>
          <w:sz w:val="20"/>
          <w:szCs w:val="20"/>
          <w:color w:val="auto"/>
        </w:rPr>
      </w:pPr>
      <w:r>
        <w:rPr>
          <w:rFonts w:ascii="Courier New" w:cs="Courier New" w:eastAsia="Courier New" w:hAnsi="Courier New"/>
          <w:sz w:val="15"/>
          <w:szCs w:val="15"/>
          <w:color w:val="auto"/>
        </w:rPr>
        <w:t>Name:</w:t>
      </w:r>
    </w:p>
    <w:p>
      <w:pPr>
        <w:ind w:left="4200"/>
        <w:spacing w:after="0" w:line="237" w:lineRule="auto"/>
        <w:rPr>
          <w:sz w:val="20"/>
          <w:szCs w:val="20"/>
          <w:color w:val="auto"/>
        </w:rPr>
      </w:pPr>
      <w:r>
        <w:rPr>
          <w:rFonts w:ascii="Courier New" w:cs="Courier New" w:eastAsia="Courier New" w:hAnsi="Courier New"/>
          <w:sz w:val="15"/>
          <w:szCs w:val="15"/>
          <w:color w:val="auto"/>
        </w:rPr>
        <w:t>Title:</w:t>
      </w:r>
    </w:p>
    <w:p>
      <w:pPr>
        <w:spacing w:after="0" w:line="238" w:lineRule="auto"/>
        <w:rPr>
          <w:sz w:val="20"/>
          <w:szCs w:val="20"/>
          <w:color w:val="auto"/>
        </w:rPr>
      </w:pPr>
      <w:r>
        <w:rPr>
          <w:rFonts w:ascii="Courier New" w:cs="Courier New" w:eastAsia="Courier New" w:hAnsi="Courier New"/>
          <w:sz w:val="15"/>
          <w:szCs w:val="15"/>
          <w:color w:val="auto"/>
        </w:rPr>
        <w:t>Attest:</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w:t>
      </w:r>
    </w:p>
    <w:p>
      <w:pPr>
        <w:ind w:left="360"/>
        <w:spacing w:after="0" w:line="237" w:lineRule="auto"/>
        <w:rPr>
          <w:sz w:val="20"/>
          <w:szCs w:val="20"/>
          <w:color w:val="auto"/>
        </w:rPr>
      </w:pPr>
      <w:r>
        <w:rPr>
          <w:rFonts w:ascii="Courier New" w:cs="Courier New" w:eastAsia="Courier New" w:hAnsi="Courier New"/>
          <w:sz w:val="15"/>
          <w:szCs w:val="15"/>
          <w:color w:val="auto"/>
        </w:rPr>
        <w:t>--------------------------------</w:t>
      </w:r>
    </w:p>
    <w:p>
      <w:pPr>
        <w:ind w:left="360"/>
        <w:spacing w:after="0" w:line="238" w:lineRule="auto"/>
        <w:rPr>
          <w:sz w:val="20"/>
          <w:szCs w:val="20"/>
          <w:color w:val="auto"/>
        </w:rPr>
      </w:pPr>
      <w:r>
        <w:rPr>
          <w:rFonts w:ascii="Courier New" w:cs="Courier New" w:eastAsia="Courier New" w:hAnsi="Courier New"/>
          <w:sz w:val="15"/>
          <w:szCs w:val="15"/>
          <w:color w:val="auto"/>
        </w:rPr>
        <w:t>Name:</w:t>
      </w:r>
    </w:p>
    <w:p>
      <w:pPr>
        <w:ind w:left="360"/>
        <w:spacing w:after="0" w:line="237" w:lineRule="auto"/>
        <w:rPr>
          <w:sz w:val="20"/>
          <w:szCs w:val="20"/>
          <w:color w:val="auto"/>
        </w:rPr>
      </w:pPr>
      <w:r>
        <w:rPr>
          <w:rFonts w:ascii="Courier New" w:cs="Courier New" w:eastAsia="Courier New" w:hAnsi="Courier New"/>
          <w:sz w:val="15"/>
          <w:szCs w:val="15"/>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39"/>
          </w:cols>
          <w:pgMar w:left="220" w:top="792" w:right="1440" w:bottom="1440" w:gutter="0" w:footer="0" w:header="0"/>
        </w:sectPr>
      </w:pPr>
    </w:p>
    <w:bookmarkStart w:id="237" w:name="page238"/>
    <w:bookmarkEnd w:id="237"/>
    <w:p>
      <w:pPr>
        <w:ind w:right="4019" w:firstLine="437"/>
        <w:spacing w:after="0" w:line="234" w:lineRule="auto"/>
        <w:rPr>
          <w:sz w:val="20"/>
          <w:szCs w:val="20"/>
          <w:color w:val="auto"/>
        </w:rPr>
      </w:pPr>
      <w:r>
        <w:rPr>
          <w:rFonts w:ascii="Courier New" w:cs="Courier New" w:eastAsia="Courier New" w:hAnsi="Courier New"/>
          <w:sz w:val="15"/>
          <w:szCs w:val="15"/>
          <w:color w:val="auto"/>
        </w:rPr>
        <w:t>This is one of the series designated herein and referred to in the within-mentioned Indenture.</w:t>
      </w:r>
    </w:p>
    <w:p>
      <w:pPr>
        <w:sectPr>
          <w:pgSz w:w="11900" w:h="16838" w:orient="portrait"/>
          <w:cols w:equalWidth="0" w:num="1">
            <w:col w:w="10239"/>
          </w:cols>
          <w:pgMar w:left="220" w:top="792" w:right="1440" w:bottom="1440" w:gutter="0" w:footer="0" w:header="0"/>
        </w:sectPr>
      </w:pP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Dated:</w:t>
      </w:r>
    </w:p>
    <w:p>
      <w:pPr>
        <w:spacing w:after="0" w:line="20" w:lineRule="exact"/>
        <w:rPr>
          <w:sz w:val="20"/>
          <w:szCs w:val="20"/>
          <w:color w:val="auto"/>
        </w:rPr>
      </w:pPr>
      <w:r>
        <w:rPr>
          <w:sz w:val="20"/>
          <w:szCs w:val="20"/>
          <w:color w:val="auto"/>
        </w:rPr>
        <w:br w:type="column"/>
      </w:r>
    </w:p>
    <w:p>
      <w:pPr>
        <w:spacing w:after="0" w:line="31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321"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w:t>
      </w:r>
    </w:p>
    <w:p>
      <w:pPr>
        <w:spacing w:after="0" w:line="20" w:lineRule="exact"/>
        <w:rPr>
          <w:sz w:val="20"/>
          <w:szCs w:val="20"/>
          <w:color w:val="auto"/>
        </w:rPr>
      </w:pPr>
      <w:r>
        <w:rPr>
          <w:sz w:val="20"/>
          <w:szCs w:val="20"/>
          <w:color w:val="auto"/>
        </w:rPr>
        <w:br w:type="column"/>
      </w:r>
    </w:p>
    <w:p>
      <w:pPr>
        <w:spacing w:after="0" w:line="32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BANK OF NEW YORK,</w:t>
      </w:r>
    </w:p>
    <w:p>
      <w:pPr>
        <w:spacing w:after="0" w:line="3"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as Trustee</w:t>
      </w:r>
    </w:p>
    <w:p>
      <w:pPr>
        <w:spacing w:after="0" w:line="200" w:lineRule="exact"/>
        <w:rPr>
          <w:sz w:val="20"/>
          <w:szCs w:val="20"/>
          <w:color w:val="auto"/>
        </w:rPr>
      </w:pPr>
    </w:p>
    <w:p>
      <w:pPr>
        <w:sectPr>
          <w:pgSz w:w="11900" w:h="16838" w:orient="portrait"/>
          <w:cols w:equalWidth="0" w:num="4">
            <w:col w:w="540" w:space="160"/>
            <w:col w:w="100" w:space="260"/>
            <w:col w:w="2080" w:space="720"/>
            <w:col w:w="6379"/>
          </w:cols>
          <w:pgMar w:left="220" w:top="792" w:right="1440" w:bottom="1440" w:gutter="0" w:footer="0" w:header="0"/>
          <w:type w:val="continuous"/>
        </w:sectPr>
      </w:pPr>
    </w:p>
    <w:p>
      <w:pPr>
        <w:spacing w:after="0" w:line="135" w:lineRule="exact"/>
        <w:rPr>
          <w:sz w:val="20"/>
          <w:szCs w:val="20"/>
          <w:color w:val="auto"/>
        </w:rPr>
      </w:pPr>
    </w:p>
    <w:p>
      <w:pPr>
        <w:ind w:left="3860"/>
        <w:spacing w:after="0"/>
        <w:rPr>
          <w:sz w:val="20"/>
          <w:szCs w:val="20"/>
          <w:color w:val="auto"/>
        </w:rPr>
      </w:pPr>
      <w:r>
        <w:rPr>
          <w:rFonts w:ascii="Courier New" w:cs="Courier New" w:eastAsia="Courier New" w:hAnsi="Courier New"/>
          <w:sz w:val="15"/>
          <w:szCs w:val="15"/>
          <w:color w:val="auto"/>
        </w:rPr>
        <w:t>By:</w:t>
      </w:r>
    </w:p>
    <w:p>
      <w:pPr>
        <w:spacing w:after="0" w:line="5" w:lineRule="exact"/>
        <w:rPr>
          <w:sz w:val="20"/>
          <w:szCs w:val="20"/>
          <w:color w:val="auto"/>
        </w:rPr>
      </w:pPr>
    </w:p>
    <w:p>
      <w:pPr>
        <w:ind w:left="420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4200"/>
        <w:spacing w:after="0"/>
        <w:rPr>
          <w:sz w:val="20"/>
          <w:szCs w:val="20"/>
          <w:color w:val="auto"/>
        </w:rPr>
      </w:pPr>
      <w:r>
        <w:rPr>
          <w:rFonts w:ascii="Courier New" w:cs="Courier New" w:eastAsia="Courier New" w:hAnsi="Courier New"/>
          <w:sz w:val="15"/>
          <w:szCs w:val="15"/>
          <w:color w:val="auto"/>
        </w:rPr>
        <w:t>Authorized Signatory</w:t>
      </w:r>
    </w:p>
    <w:p>
      <w:pPr>
        <w:sectPr>
          <w:pgSz w:w="11900" w:h="16838" w:orient="portrait"/>
          <w:cols w:equalWidth="0" w:num="1">
            <w:col w:w="10239"/>
          </w:cols>
          <w:pgMar w:left="220" w:top="792"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3420"/>
        <w:spacing w:after="0"/>
        <w:rPr>
          <w:sz w:val="20"/>
          <w:szCs w:val="20"/>
          <w:color w:val="auto"/>
        </w:rPr>
      </w:pPr>
      <w:r>
        <w:rPr>
          <w:rFonts w:ascii="Courier New" w:cs="Courier New" w:eastAsia="Courier New" w:hAnsi="Courier New"/>
          <w:sz w:val="12"/>
          <w:szCs w:val="12"/>
          <w:color w:val="auto"/>
        </w:rPr>
        <w:t>4</w:t>
      </w:r>
    </w:p>
    <w:p>
      <w:pPr>
        <w:sectPr>
          <w:pgSz w:w="11900" w:h="16838" w:orient="portrait"/>
          <w:cols w:equalWidth="0" w:num="1">
            <w:col w:w="10239"/>
          </w:cols>
          <w:pgMar w:left="220" w:top="792" w:right="1440" w:bottom="1440" w:gutter="0" w:footer="0" w:header="0"/>
          <w:type w:val="continuous"/>
        </w:sectPr>
      </w:pPr>
    </w:p>
    <w:bookmarkStart w:id="238" w:name="page239"/>
    <w:bookmarkEnd w:id="238"/>
    <w:p>
      <w:pPr>
        <w:jc w:val="center"/>
        <w:ind w:right="3139"/>
        <w:spacing w:after="0"/>
        <w:rPr>
          <w:sz w:val="20"/>
          <w:szCs w:val="20"/>
          <w:color w:val="auto"/>
        </w:rPr>
      </w:pPr>
      <w:r>
        <w:rPr>
          <w:rFonts w:ascii="Courier New" w:cs="Courier New" w:eastAsia="Courier New" w:hAnsi="Courier New"/>
          <w:sz w:val="15"/>
          <w:szCs w:val="15"/>
          <w:color w:val="auto"/>
        </w:rPr>
        <w:t>(REVERSE OF SECURITY)</w:t>
      </w:r>
    </w:p>
    <w:p>
      <w:pPr>
        <w:spacing w:after="0" w:line="166"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COMCAST CORPORATION</w:t>
      </w:r>
    </w:p>
    <w:p>
      <w:pPr>
        <w:spacing w:after="0" w:line="166"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 ]% Note Due [ ]</w:t>
      </w:r>
    </w:p>
    <w:p>
      <w:pPr>
        <w:spacing w:after="0" w:line="335"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1. Interest.</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COMCAST CORPORATION, a Delaware corporation (the "Issuer"), promises to pay interest on the principal amount of this Security at the rate per annum shown above. Cash interest on the Securities will accrue from the most recent date to which interest has been paid or, if no interest has been paid, from [ ]. The Issuer will pay interest semi-annually in arrears on each Interest Payment Date, commencing [ ]. Interest will be computed on the basis of a 360-day year of twelve 30-day months.</w:t>
      </w:r>
    </w:p>
    <w:p>
      <w:pPr>
        <w:spacing w:after="0" w:line="176" w:lineRule="exact"/>
        <w:rPr>
          <w:sz w:val="20"/>
          <w:szCs w:val="20"/>
          <w:color w:val="auto"/>
        </w:rPr>
      </w:pPr>
    </w:p>
    <w:p>
      <w:pPr>
        <w:ind w:right="3319" w:firstLine="437"/>
        <w:spacing w:after="0" w:line="258" w:lineRule="auto"/>
        <w:rPr>
          <w:sz w:val="20"/>
          <w:szCs w:val="20"/>
          <w:color w:val="auto"/>
        </w:rPr>
      </w:pPr>
      <w:r>
        <w:rPr>
          <w:rFonts w:ascii="Courier New" w:cs="Courier New" w:eastAsia="Courier New" w:hAnsi="Courier New"/>
          <w:sz w:val="14"/>
          <w:szCs w:val="14"/>
          <w:color w:val="auto"/>
        </w:rPr>
        <w:t>The Issuer shall pay interest on overdue principal from time to time on demand at the rate borne by the Securities and on overdue installments of interest (without regard to any applicable grace periods) to the extent lawful.</w:t>
      </w:r>
    </w:p>
    <w:p>
      <w:pPr>
        <w:spacing w:after="0" w:line="155"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2. Method of Payment.</w:t>
      </w:r>
    </w:p>
    <w:p>
      <w:pPr>
        <w:spacing w:after="0" w:line="173"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The Issuer shall pay interest on the Securities (except defaulted interest) to the persons who are the registered Holders at the close of business on the Interest Record Date immediately preceding the Interest Payment Date notwithstanding any transfer or exchange of such Security subsequent to such Interest Record Date and prior to such Interest Payment Date. Holders must surrender Securities to the Trustee to collect principal payments. The Issuer shall pay Principal and interest in money of the United States that at the time of payment is legal tender for payment of public and private debts ("U.S. Legal Tender"). However, the payments of interest, and any portion of the Principal (other than interest payable at maturity or on any redemption or repayment date or the final payment of Principal) shall be made by the Paying Agent, upon receipt from the Issuer of immediately available funds by 11:00 a.m., New York City time (or such other time as may be agreed to between the Issuer and the Paying Agent or the Issuer), directly to a Holder (by Federal funds wire transfer or otherwise) if the Holder has delivered written instructions to the Trustee 15 days prior to such payment date requesting that such payment will be so made and designating the bank account to which such payments shall be so made and in the case of payments of Principal surrenders the same to the Trustee in exchange for a Security or Securities aggregating the same principal amount as the unredeemed principal amount of the Securities surrendered.</w:t>
      </w:r>
    </w:p>
    <w:p>
      <w:pPr>
        <w:spacing w:after="0" w:line="200" w:lineRule="exact"/>
        <w:rPr>
          <w:sz w:val="20"/>
          <w:szCs w:val="20"/>
          <w:color w:val="auto"/>
        </w:rPr>
      </w:pPr>
    </w:p>
    <w:p>
      <w:pPr>
        <w:spacing w:after="0" w:line="30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39"/>
          </w:cols>
          <w:pgMar w:left="220" w:top="785" w:right="1440" w:bottom="1440" w:gutter="0" w:footer="0" w:header="0"/>
        </w:sectPr>
      </w:pPr>
    </w:p>
    <w:bookmarkStart w:id="239" w:name="page240"/>
    <w:bookmarkEnd w:id="239"/>
    <w:p>
      <w:pPr>
        <w:ind w:left="440"/>
        <w:spacing w:after="0"/>
        <w:rPr>
          <w:sz w:val="20"/>
          <w:szCs w:val="20"/>
          <w:color w:val="auto"/>
        </w:rPr>
      </w:pPr>
      <w:r>
        <w:rPr>
          <w:rFonts w:ascii="Courier New" w:cs="Courier New" w:eastAsia="Courier New" w:hAnsi="Courier New"/>
          <w:sz w:val="15"/>
          <w:szCs w:val="15"/>
          <w:color w:val="auto"/>
        </w:rPr>
        <w:t>3. Paying Agent.</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Initially, The Bank of New York (the "Trustee") will act as Paying Agent.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Issuer may change any Paying Agent without notice to the Holders.</w:t>
      </w:r>
    </w:p>
    <w:p>
      <w:pPr>
        <w:spacing w:after="0" w:line="16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4. Indenture.</w:t>
      </w:r>
    </w:p>
    <w:p>
      <w:pPr>
        <w:spacing w:after="0" w:line="173"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The Issuer issued the Securities under an Indenture, dated as of December [__], 2002 (the "Indenture"), among the Issuer, the Cable Guarantors party thereto and the Trustee. Capitalized terms herein are used as defined in the Indenture unless otherwise defined herein. The terms of the Securities include those stated in the Indenture and those made part of the Indenture by reference to the Trust Indenture Act of 1939 (15 U.S.C. Sections 77aaa-77bbbb) (the "TIA"), as in effect on the date of the Indenture until such time as the Indenture is qualified under the TIA, and thereafter as in effect on the date on which the Indenture is qualified under the TIA. Notwithstanding anything to the contrary herein, the Securities are subject to all such terms, and holders of Securities are referred to the Indenture and the TIA for a statement of them. To the extent the terms of the Indenture and this Security are inconsistent, the terms of the Indenture shall govern.</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5. Cable Guarantees.</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Each Cable Guarantor has irrevocably, fully and unconditionally guaranteed, jointly and severally, on an unsecured basis, the full and punctual payment (whether at maturity, upon redemption or otherwise) of the Principal of and interest on, and all other amounts payable under, the Securities, and the full and punctual payment of all other amounts payable by the Issuer under the Indenture, subject to certain terms and conditions set forth in the Indenture.</w:t>
      </w:r>
    </w:p>
    <w:p>
      <w:pPr>
        <w:spacing w:after="0" w:line="160"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6. Denominations; Transfer; Exchange.</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Securities are in registered form, without coupons, in denominations of $1,000 and multiples of $1,000. A Holder shall register the transfer of or exchange Securities in accordance with the Indenture. The Issuer may require a Holder, among other things, to furnish appropriate endorsements and transfer documents and to pay certain transfer taxes or similar governmental charges payable in connection therewith as permitted by the Indenture. The Issuer need not issue, authenticate, register the transfer of or exchange any Securities or portions thereof for a period of fifteen (15) days before such series is selected for redemption, nor need the Issuer register the transfer or exchange of any security selected for redemption in whole or in part.</w:t>
      </w:r>
    </w:p>
    <w:p>
      <w:pPr>
        <w:spacing w:after="0" w:line="34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39"/>
          </w:cols>
          <w:pgMar w:left="220" w:top="785" w:right="1440" w:bottom="1440" w:gutter="0" w:footer="0" w:header="0"/>
        </w:sectPr>
      </w:pPr>
    </w:p>
    <w:bookmarkStart w:id="240" w:name="page241"/>
    <w:bookmarkEnd w:id="240"/>
    <w:p>
      <w:pPr>
        <w:ind w:left="440"/>
        <w:spacing w:after="0"/>
        <w:rPr>
          <w:sz w:val="20"/>
          <w:szCs w:val="20"/>
          <w:color w:val="auto"/>
        </w:rPr>
      </w:pPr>
      <w:r>
        <w:rPr>
          <w:rFonts w:ascii="Courier New" w:cs="Courier New" w:eastAsia="Courier New" w:hAnsi="Courier New"/>
          <w:sz w:val="15"/>
          <w:szCs w:val="15"/>
          <w:color w:val="auto"/>
        </w:rPr>
        <w:t>7. Persons Deemed Owners.</w:t>
      </w:r>
    </w:p>
    <w:p>
      <w:pPr>
        <w:spacing w:after="0" w:line="173" w:lineRule="exact"/>
        <w:rPr>
          <w:sz w:val="20"/>
          <w:szCs w:val="20"/>
          <w:color w:val="auto"/>
        </w:rPr>
      </w:pPr>
    </w:p>
    <w:p>
      <w:pPr>
        <w:ind w:right="3239" w:firstLine="437"/>
        <w:spacing w:after="0" w:line="234" w:lineRule="auto"/>
        <w:rPr>
          <w:sz w:val="20"/>
          <w:szCs w:val="20"/>
          <w:color w:val="auto"/>
        </w:rPr>
      </w:pPr>
      <w:r>
        <w:rPr>
          <w:rFonts w:ascii="Courier New" w:cs="Courier New" w:eastAsia="Courier New" w:hAnsi="Courier New"/>
          <w:sz w:val="15"/>
          <w:szCs w:val="15"/>
          <w:color w:val="auto"/>
        </w:rPr>
        <w:t>The registered Holder of a Security shall be treated as the owner of it for all purposes.</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8. Unclaimed Funds.</w:t>
      </w:r>
    </w:p>
    <w:p>
      <w:pPr>
        <w:spacing w:after="0" w:line="173"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If funds for the payment of principal or interest remain unclaimed for two years, the Trustee and the Paying Agent will repay the funds to the Issuer at its written request. After that, all liability of the Trustee and such Paying Agent with respect to such funds shall cease.</w:t>
      </w:r>
    </w:p>
    <w:p>
      <w:pPr>
        <w:spacing w:after="0" w:line="16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9. Legal Defeasance and Covenant Defeasance.</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Issuer and the Cable Guarantors may be discharged from their respective obligations under the Securities and under the Indenture with respect to the Securities except for certain provisions thereof, and may be discharged from obligations to comply with certain covenants contained in the Securities and in the Indenture with respect to the Securities, in each case upon satisfaction of certain conditions specified in the Indenture.</w:t>
      </w:r>
    </w:p>
    <w:p>
      <w:pPr>
        <w:spacing w:after="0" w:line="168"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10. Amendment; Supplement; Waiver.</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Subject to certain exceptions, the Securities and the provisions of the Indenture relating to the Securities may be amended or supplemented with the written consent of the Holders of at least a majority in aggregate principal amount of the Securities then outstanding, and any existing Default or Event of Default or compliance with certain provisions may be waived with the consent of the Holders of a majority in aggregate principal amount of the Securities then outstanding. Without notice to or consent of any Holder, the parties thereto may amend or supplement the Indenture and the Securities to, among other things, cure any ambiguity, defect or inconsistency, provide for uncertificated Securities in addition to or in place of certificated Securities or comply with any requirements of the Commission in connection with the qualification of the Indenture under the Trust Indenture Act, or make any other change that does not adversely affect the rights of any Holder of a Security.</w:t>
      </w:r>
    </w:p>
    <w:p>
      <w:pPr>
        <w:spacing w:after="0" w:line="158"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11. Restrictive Covenants.</w:t>
      </w:r>
    </w:p>
    <w:p>
      <w:pPr>
        <w:spacing w:after="0" w:line="173"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The Indenture contains certain covenants that, among other things, limit the ability of the Issuer and the Cable Guarantors to incur liens securing indebtedness, or to enter sale and leaseback transactions and of the Issuer to merge or sell all or substantially all of its assets. The limitations are subject to a number of important qualifications and exceptions. The Issuer must annually report to the Trustee on compliance with such limitations.</w:t>
      </w:r>
    </w:p>
    <w:p>
      <w:pPr>
        <w:spacing w:after="0" w:line="33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39"/>
          </w:cols>
          <w:pgMar w:left="220" w:top="785" w:right="1440" w:bottom="1440" w:gutter="0" w:footer="0" w:header="0"/>
        </w:sectPr>
      </w:pPr>
    </w:p>
    <w:bookmarkStart w:id="241" w:name="page242"/>
    <w:bookmarkEnd w:id="241"/>
    <w:p>
      <w:pPr>
        <w:ind w:left="440"/>
        <w:spacing w:after="0"/>
        <w:rPr>
          <w:sz w:val="20"/>
          <w:szCs w:val="20"/>
          <w:color w:val="auto"/>
        </w:rPr>
      </w:pPr>
      <w:r>
        <w:rPr>
          <w:rFonts w:ascii="Courier New" w:cs="Courier New" w:eastAsia="Courier New" w:hAnsi="Courier New"/>
          <w:sz w:val="15"/>
          <w:szCs w:val="15"/>
          <w:color w:val="auto"/>
        </w:rPr>
        <w:t>12. Defaults and Remedies.</w:t>
      </w:r>
    </w:p>
    <w:p>
      <w:pPr>
        <w:spacing w:after="0" w:line="173"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If an Event of Default (other than certain bankruptcy Events of Default with respect to the Issuer or any of the Cable Guarantors) occurs and is continuing, the Trustee or the Holders of at least 25% in aggregate principal amount of Securities then outstanding may declare all of the Securities to be due and payable immediately in the manner and with the effect provided in the Indenture. If a bankruptcy Event of Default with respect to the Issuer or any of the Cable Guarantors occurs and is continuing, all the Securities shall be immediately due and payable immediately in the manner and with the effect provided in the Indenture without any notice or other action on the part of the Trustee or any Holder. Holders of Securities may not enforce the Indenture, the Securities or the Cable Guarantees except as provided in the Indenture. The Trustee is not obligated to enforce the Indenture, the Securities or the Cable Guarantees unless it has received indemnity satisfactory to it. The Indenture permits, subject to certain limitations therein provided, Holders of a majority in aggregate principal amount of the Securities then outstanding to direct the Trustee in its exercise of any trust or power. The Trustee may withhold from Holders of Securities notice of certain continuing Defaults or Events of Default if it determines that withholding notice is in their interest.</w:t>
      </w:r>
    </w:p>
    <w:p>
      <w:pPr>
        <w:spacing w:after="0" w:line="168"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13. [Conversion.</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Reference is made to the Indenture, including, without limitation, provisions giving the holder of this Security the right to convert this Security into Capital Stock of the Issuer on the terms and subject to the limitations as more fully specified in the Indenture. The initial conversion rate for this Security is [ ]. This conversion rate is subject to modification as provided in the Indenture. Such further provisions shall for all purposes have the same effect as though fully set forth at this place]</w:t>
      </w:r>
    </w:p>
    <w:p>
      <w:pPr>
        <w:spacing w:after="0" w:line="16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14. Trustee Dealings with Issuer.</w:t>
      </w:r>
    </w:p>
    <w:p>
      <w:pPr>
        <w:spacing w:after="0" w:line="173" w:lineRule="exact"/>
        <w:rPr>
          <w:sz w:val="20"/>
          <w:szCs w:val="20"/>
          <w:color w:val="auto"/>
        </w:rPr>
      </w:pPr>
    </w:p>
    <w:p>
      <w:pPr>
        <w:jc w:val="both"/>
        <w:ind w:right="3399" w:firstLine="437"/>
        <w:spacing w:after="0" w:line="235" w:lineRule="auto"/>
        <w:rPr>
          <w:sz w:val="20"/>
          <w:szCs w:val="20"/>
          <w:color w:val="auto"/>
        </w:rPr>
      </w:pPr>
      <w:r>
        <w:rPr>
          <w:rFonts w:ascii="Courier New" w:cs="Courier New" w:eastAsia="Courier New" w:hAnsi="Courier New"/>
          <w:sz w:val="15"/>
          <w:szCs w:val="15"/>
          <w:color w:val="auto"/>
        </w:rPr>
        <w:t>The Trustee under the Indenture, in its individual or any other capacity, may become the owner or pledgee of Securities and may otherwise deal with the Issuer as if it were not the Trustee.</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15. No Recourse Against Others.</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No stockholder, director, officer, employee or incorporator, as such, of the Issuer, any Cable Guarantor or any successor Person thereof shall have any liability for any obligation under the Securities, the Cable Guarantees or the Indenture or for any claim based on, in respect of or by reason of, such obligations or their creation. Each Holder of a Security by accepting a Security waives and releases all such liability. The waiver and release are part of the consideration for the issuance of the Securities.</w:t>
      </w:r>
    </w:p>
    <w:p>
      <w:pPr>
        <w:spacing w:after="0" w:line="33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39"/>
          </w:cols>
          <w:pgMar w:left="220" w:top="785" w:right="1440" w:bottom="1440" w:gutter="0" w:footer="0" w:header="0"/>
        </w:sectPr>
      </w:pPr>
    </w:p>
    <w:bookmarkStart w:id="242" w:name="page243"/>
    <w:bookmarkEnd w:id="242"/>
    <w:p>
      <w:pPr>
        <w:ind w:left="440"/>
        <w:spacing w:after="0"/>
        <w:rPr>
          <w:sz w:val="20"/>
          <w:szCs w:val="20"/>
          <w:color w:val="auto"/>
        </w:rPr>
      </w:pPr>
      <w:r>
        <w:rPr>
          <w:rFonts w:ascii="Courier New" w:cs="Courier New" w:eastAsia="Courier New" w:hAnsi="Courier New"/>
          <w:sz w:val="15"/>
          <w:szCs w:val="15"/>
          <w:color w:val="auto"/>
        </w:rPr>
        <w:t>16. Authentication.</w:t>
      </w:r>
    </w:p>
    <w:p>
      <w:pPr>
        <w:spacing w:after="0" w:line="173" w:lineRule="exact"/>
        <w:rPr>
          <w:sz w:val="20"/>
          <w:szCs w:val="20"/>
          <w:color w:val="auto"/>
        </w:rPr>
      </w:pPr>
    </w:p>
    <w:p>
      <w:pPr>
        <w:ind w:right="3759" w:firstLine="437"/>
        <w:spacing w:after="0" w:line="234" w:lineRule="auto"/>
        <w:rPr>
          <w:sz w:val="20"/>
          <w:szCs w:val="20"/>
          <w:color w:val="auto"/>
        </w:rPr>
      </w:pPr>
      <w:r>
        <w:rPr>
          <w:rFonts w:ascii="Courier New" w:cs="Courier New" w:eastAsia="Courier New" w:hAnsi="Courier New"/>
          <w:sz w:val="15"/>
          <w:szCs w:val="15"/>
          <w:color w:val="auto"/>
        </w:rPr>
        <w:t>This Security shall not be valid until the Trustee manually signs the certificate of authentication on this Security.</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17. Abbreviations and Defined Terms.</w:t>
      </w:r>
    </w:p>
    <w:p>
      <w:pPr>
        <w:spacing w:after="0" w:line="173" w:lineRule="exact"/>
        <w:rPr>
          <w:sz w:val="20"/>
          <w:szCs w:val="20"/>
          <w:color w:val="auto"/>
        </w:rPr>
      </w:pPr>
    </w:p>
    <w:p>
      <w:pPr>
        <w:jc w:val="both"/>
        <w:ind w:right="3399" w:firstLine="437"/>
        <w:spacing w:after="0" w:line="236" w:lineRule="auto"/>
        <w:rPr>
          <w:sz w:val="20"/>
          <w:szCs w:val="20"/>
          <w:color w:val="auto"/>
        </w:rPr>
      </w:pPr>
      <w:r>
        <w:rPr>
          <w:rFonts w:ascii="Courier New" w:cs="Courier New" w:eastAsia="Courier New" w:hAnsi="Courier New"/>
          <w:sz w:val="15"/>
          <w:szCs w:val="15"/>
          <w:color w:val="auto"/>
        </w:rPr>
        <w:t>Customary abbreviations may be used in the name of a Holder of a Security or an assignee, such as: TEN COM (= tenants in common), TEN ENT (= tenants by the entireties), JT TEN (= joint tenants with right of survivorship and not as tenants in common), CUST (= Custodian), and U/G/M/A (= Uniform Gifts to Minors Act).</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18. CUSIP Numbers.</w:t>
      </w:r>
    </w:p>
    <w:p>
      <w:pPr>
        <w:spacing w:after="0" w:line="173"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Pursuant to a recommendation promulgated by the Committee on Uniform Security Identification Procedures, the Issuer has caused CUSIP numbers to be printed on the Securities as a convenience to the Holders of the Securities. No representation is made as to the accuracy of such numbers as printed on the Securities and reliance may be placed only on the other identification numbers printed hereon.</w:t>
      </w:r>
    </w:p>
    <w:p>
      <w:pPr>
        <w:spacing w:after="0" w:line="168"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19. Governing Law.</w:t>
      </w:r>
    </w:p>
    <w:p>
      <w:pPr>
        <w:spacing w:after="0" w:line="173" w:lineRule="exact"/>
        <w:rPr>
          <w:sz w:val="20"/>
          <w:szCs w:val="20"/>
          <w:color w:val="auto"/>
        </w:rPr>
      </w:pPr>
    </w:p>
    <w:p>
      <w:pPr>
        <w:ind w:right="3759" w:firstLine="437"/>
        <w:spacing w:after="0" w:line="234" w:lineRule="auto"/>
        <w:rPr>
          <w:sz w:val="20"/>
          <w:szCs w:val="20"/>
          <w:color w:val="auto"/>
        </w:rPr>
      </w:pPr>
      <w:r>
        <w:rPr>
          <w:rFonts w:ascii="Courier New" w:cs="Courier New" w:eastAsia="Courier New" w:hAnsi="Courier New"/>
          <w:sz w:val="15"/>
          <w:szCs w:val="15"/>
          <w:color w:val="auto"/>
        </w:rPr>
        <w:t>The laws of the State of New York shall govern the Indenture and this Security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39"/>
          </w:cols>
          <w:pgMar w:left="220" w:top="785" w:right="1440" w:bottom="1440" w:gutter="0" w:footer="0" w:header="0"/>
        </w:sectPr>
      </w:pPr>
    </w:p>
    <w:bookmarkStart w:id="243" w:name="page244"/>
    <w:bookmarkEnd w:id="243"/>
    <w:p>
      <w:pPr>
        <w:ind w:left="2900"/>
        <w:spacing w:after="0"/>
        <w:rPr>
          <w:sz w:val="20"/>
          <w:szCs w:val="20"/>
          <w:color w:val="auto"/>
        </w:rPr>
      </w:pPr>
      <w:r>
        <w:rPr>
          <w:rFonts w:ascii="Courier New" w:cs="Courier New" w:eastAsia="Courier New" w:hAnsi="Courier New"/>
          <w:sz w:val="15"/>
          <w:szCs w:val="15"/>
          <w:color w:val="auto"/>
        </w:rPr>
        <w:t>ASSIGNMENT FORM</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 or we assign and transfer this Security to</w:t>
      </w:r>
    </w:p>
    <w:p>
      <w:pPr>
        <w:spacing w:after="0" w:line="341" w:lineRule="exact"/>
        <w:rPr>
          <w:sz w:val="20"/>
          <w:szCs w:val="20"/>
          <w:color w:val="auto"/>
        </w:rPr>
      </w:pPr>
    </w:p>
    <w:p>
      <w:pPr>
        <w:ind w:left="180" w:hanging="170"/>
        <w:spacing w:after="0"/>
        <w:tabs>
          <w:tab w:leader="none" w:pos="180" w:val="left"/>
        </w:tabs>
        <w:numPr>
          <w:ilvl w:val="0"/>
          <w:numId w:val="1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rFonts w:ascii="Courier New" w:cs="Courier New" w:eastAsia="Courier New" w:hAnsi="Courier New"/>
          <w:sz w:val="14"/>
          <w:szCs w:val="14"/>
          <w:color w:val="auto"/>
        </w:rPr>
      </w:pPr>
    </w:p>
    <w:p>
      <w:pPr>
        <w:ind w:left="54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(Print or type name, address and zip code of assignee or transferee)</w:t>
      </w:r>
    </w:p>
    <w:p>
      <w:pPr>
        <w:spacing w:after="0" w:line="341" w:lineRule="exact"/>
        <w:rPr>
          <w:rFonts w:ascii="Courier New" w:cs="Courier New" w:eastAsia="Courier New" w:hAnsi="Courier New"/>
          <w:sz w:val="14"/>
          <w:szCs w:val="14"/>
          <w:color w:val="auto"/>
        </w:rPr>
      </w:pPr>
    </w:p>
    <w:p>
      <w:pPr>
        <w:ind w:left="180" w:hanging="170"/>
        <w:spacing w:after="0"/>
        <w:tabs>
          <w:tab w:leader="none" w:pos="180" w:val="left"/>
        </w:tabs>
        <w:numPr>
          <w:ilvl w:val="0"/>
          <w:numId w:val="1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rFonts w:ascii="Courier New" w:cs="Courier New" w:eastAsia="Courier New" w:hAnsi="Courier New"/>
          <w:sz w:val="14"/>
          <w:szCs w:val="14"/>
          <w:color w:val="auto"/>
        </w:rPr>
      </w:pPr>
    </w:p>
    <w:p>
      <w:pPr>
        <w:ind w:left="10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(Insert Social Security or other identifying number of assignee or transferee)</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and irrevocably appoint___________________________________________________ agent</w:t>
      </w:r>
    </w:p>
    <w:p>
      <w:pPr>
        <w:spacing w:after="0" w:line="10" w:lineRule="exact"/>
        <w:rPr>
          <w:sz w:val="20"/>
          <w:szCs w:val="20"/>
          <w:color w:val="auto"/>
        </w:rPr>
      </w:pPr>
    </w:p>
    <w:p>
      <w:pPr>
        <w:ind w:right="3319"/>
        <w:spacing w:after="0" w:line="234" w:lineRule="auto"/>
        <w:rPr>
          <w:sz w:val="20"/>
          <w:szCs w:val="20"/>
          <w:color w:val="auto"/>
        </w:rPr>
      </w:pPr>
      <w:r>
        <w:rPr>
          <w:rFonts w:ascii="Courier New" w:cs="Courier New" w:eastAsia="Courier New" w:hAnsi="Courier New"/>
          <w:sz w:val="15"/>
          <w:szCs w:val="15"/>
          <w:color w:val="auto"/>
        </w:rPr>
        <w:t>to transfer this Security on the books of the Issuer. The agent may substitute another to act for him.</w:t>
      </w:r>
    </w:p>
    <w:p>
      <w:pPr>
        <w:sectPr>
          <w:pgSz w:w="11900" w:h="16838" w:orient="portrait"/>
          <w:cols w:equalWidth="0" w:num="1">
            <w:col w:w="10239"/>
          </w:cols>
          <w:pgMar w:left="220" w:top="785" w:right="1440" w:bottom="1440" w:gutter="0" w:footer="0" w:header="0"/>
        </w:sectPr>
      </w:pPr>
    </w:p>
    <w:p>
      <w:pPr>
        <w:spacing w:after="0" w:line="34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Dated: _______________________</w:t>
      </w:r>
    </w:p>
    <w:p>
      <w:pPr>
        <w:spacing w:after="0" w:line="20" w:lineRule="exact"/>
        <w:rPr>
          <w:sz w:val="20"/>
          <w:szCs w:val="20"/>
          <w:color w:val="auto"/>
        </w:rPr>
      </w:pPr>
      <w:r>
        <w:rPr>
          <w:sz w:val="20"/>
          <w:szCs w:val="20"/>
          <w:color w:val="auto"/>
        </w:rPr>
        <w:br w:type="column"/>
      </w:r>
    </w:p>
    <w:p>
      <w:pPr>
        <w:spacing w:after="0" w:line="32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Signed:</w:t>
      </w:r>
    </w:p>
    <w:p>
      <w:pPr>
        <w:spacing w:after="0" w:line="10" w:lineRule="exact"/>
        <w:rPr>
          <w:sz w:val="20"/>
          <w:szCs w:val="20"/>
          <w:color w:val="auto"/>
        </w:rPr>
      </w:pPr>
    </w:p>
    <w:p>
      <w:pPr>
        <w:sectPr>
          <w:pgSz w:w="11900" w:h="16838" w:orient="portrait"/>
          <w:cols w:equalWidth="0" w:num="2">
            <w:col w:w="2640" w:space="520"/>
            <w:col w:w="7079"/>
          </w:cols>
          <w:pgMar w:left="220" w:top="785" w:right="1440" w:bottom="1440" w:gutter="0" w:footer="0" w:header="0"/>
          <w:type w:val="continuous"/>
        </w:sectPr>
      </w:pPr>
    </w:p>
    <w:p>
      <w:pPr>
        <w:ind w:left="386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3940"/>
        <w:spacing w:after="0"/>
        <w:rPr>
          <w:sz w:val="20"/>
          <w:szCs w:val="20"/>
          <w:color w:val="auto"/>
        </w:rPr>
      </w:pPr>
      <w:r>
        <w:rPr>
          <w:rFonts w:ascii="Courier New" w:cs="Courier New" w:eastAsia="Courier New" w:hAnsi="Courier New"/>
          <w:sz w:val="15"/>
          <w:szCs w:val="15"/>
          <w:color w:val="auto"/>
        </w:rPr>
        <w:t>(Signed exactly as name appears</w:t>
      </w:r>
    </w:p>
    <w:p>
      <w:pPr>
        <w:spacing w:after="0" w:line="5" w:lineRule="exact"/>
        <w:rPr>
          <w:sz w:val="20"/>
          <w:szCs w:val="20"/>
          <w:color w:val="auto"/>
        </w:rPr>
      </w:pPr>
    </w:p>
    <w:p>
      <w:pPr>
        <w:ind w:left="3940"/>
        <w:spacing w:after="0"/>
        <w:rPr>
          <w:sz w:val="20"/>
          <w:szCs w:val="20"/>
          <w:color w:val="auto"/>
        </w:rPr>
      </w:pPr>
      <w:r>
        <w:rPr>
          <w:rFonts w:ascii="Courier New" w:cs="Courier New" w:eastAsia="Courier New" w:hAnsi="Courier New"/>
          <w:sz w:val="14"/>
          <w:szCs w:val="14"/>
          <w:color w:val="auto"/>
        </w:rPr>
        <w:t>on the other side of this Security)</w:t>
      </w:r>
    </w:p>
    <w:p>
      <w:pPr>
        <w:spacing w:after="0" w:line="3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Signature Guarantee:</w:t>
      </w:r>
    </w:p>
    <w:p>
      <w:pPr>
        <w:spacing w:after="0" w:line="5" w:lineRule="exact"/>
        <w:rPr>
          <w:sz w:val="20"/>
          <w:szCs w:val="20"/>
          <w:color w:val="auto"/>
        </w:rPr>
      </w:pPr>
    </w:p>
    <w:p>
      <w:pPr>
        <w:ind w:left="316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Participant in a recognized Signature</w:t>
      </w:r>
    </w:p>
    <w:p>
      <w:pPr>
        <w:ind w:left="3160"/>
        <w:spacing w:after="0" w:line="237" w:lineRule="auto"/>
        <w:rPr>
          <w:sz w:val="20"/>
          <w:szCs w:val="20"/>
          <w:color w:val="auto"/>
        </w:rPr>
      </w:pPr>
      <w:r>
        <w:rPr>
          <w:rFonts w:ascii="Courier New" w:cs="Courier New" w:eastAsia="Courier New" w:hAnsi="Courier New"/>
          <w:sz w:val="15"/>
          <w:szCs w:val="15"/>
          <w:color w:val="auto"/>
        </w:rPr>
        <w:t>Guarantee Medallion Program (or other</w:t>
      </w:r>
    </w:p>
    <w:p>
      <w:pPr>
        <w:ind w:left="3160"/>
        <w:spacing w:after="0" w:line="238" w:lineRule="auto"/>
        <w:rPr>
          <w:sz w:val="20"/>
          <w:szCs w:val="20"/>
          <w:color w:val="auto"/>
        </w:rPr>
      </w:pPr>
      <w:r>
        <w:rPr>
          <w:rFonts w:ascii="Courier New" w:cs="Courier New" w:eastAsia="Courier New" w:hAnsi="Courier New"/>
          <w:sz w:val="15"/>
          <w:szCs w:val="15"/>
          <w:color w:val="auto"/>
        </w:rPr>
        <w:t>signature guarantor program reasonably</w:t>
      </w:r>
    </w:p>
    <w:p>
      <w:pPr>
        <w:ind w:left="3160"/>
        <w:spacing w:after="0" w:line="237" w:lineRule="auto"/>
        <w:rPr>
          <w:sz w:val="20"/>
          <w:szCs w:val="20"/>
          <w:color w:val="auto"/>
        </w:rPr>
      </w:pPr>
      <w:r>
        <w:rPr>
          <w:rFonts w:ascii="Courier New" w:cs="Courier New" w:eastAsia="Courier New" w:hAnsi="Courier New"/>
          <w:sz w:val="15"/>
          <w:szCs w:val="15"/>
          <w:color w:val="auto"/>
        </w:rPr>
        <w:t>acceptable to the Trustee)</w:t>
      </w:r>
    </w:p>
    <w:p>
      <w:pPr>
        <w:sectPr>
          <w:pgSz w:w="11900" w:h="16838" w:orient="portrait"/>
          <w:cols w:equalWidth="0" w:num="1">
            <w:col w:w="10239"/>
          </w:cols>
          <w:pgMar w:left="220" w:top="785"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39"/>
          </w:cols>
          <w:pgMar w:left="220" w:top="785" w:right="1440" w:bottom="1440" w:gutter="0" w:footer="0" w:header="0"/>
          <w:type w:val="continuous"/>
        </w:sectPr>
      </w:pPr>
    </w:p>
    <w:bookmarkStart w:id="244" w:name="page245"/>
    <w:bookmarkEnd w:id="244"/>
    <w:p>
      <w:pPr>
        <w:jc w:val="right"/>
        <w:ind w:right="3239"/>
        <w:spacing w:after="0"/>
        <w:rPr>
          <w:sz w:val="20"/>
          <w:szCs w:val="20"/>
          <w:color w:val="auto"/>
        </w:rPr>
      </w:pPr>
      <w:r>
        <w:rPr>
          <w:rFonts w:ascii="Courier New" w:cs="Courier New" w:eastAsia="Courier New" w:hAnsi="Courier New"/>
          <w:sz w:val="15"/>
          <w:szCs w:val="15"/>
          <w:color w:val="auto"/>
        </w:rPr>
        <w:t>EXHIBIT 4.8</w:t>
      </w:r>
    </w:p>
    <w:p>
      <w:pPr>
        <w:spacing w:after="0" w:line="341" w:lineRule="exact"/>
        <w:rPr>
          <w:sz w:val="20"/>
          <w:szCs w:val="20"/>
          <w:color w:val="auto"/>
        </w:rPr>
      </w:pPr>
    </w:p>
    <w:p>
      <w:pPr>
        <w:ind w:right="3239"/>
        <w:spacing w:after="0" w:line="237" w:lineRule="auto"/>
        <w:rPr>
          <w:sz w:val="20"/>
          <w:szCs w:val="20"/>
          <w:color w:val="auto"/>
        </w:rPr>
      </w:pPr>
      <w:r>
        <w:rPr>
          <w:rFonts w:ascii="Courier New" w:cs="Courier New" w:eastAsia="Courier New" w:hAnsi="Courier New"/>
          <w:sz w:val="15"/>
          <w:szCs w:val="15"/>
          <w:color w:val="auto"/>
        </w:rPr>
        <w:t>UNLESS AND UNTIL IT IS EXCHANGED IN WHOLE OR IN PART FOR SECURITIES IN DEFINITIVE REGISTERED FORM, THIS SECURITY MAY NOT BE TRANSFERRED EXCEPT AS A WHOLE BY THE DEPOSITARY TO A NOMINEE OF THE DEPOSITARY OR BY A NOMINEE OF THE DEPOSITARY TO THE DEPOSITARY OR ANOTHER NOMINEE OF THE DEPOSITARY OR BY THE DEPOSITARY OR ANY SUCH NOMINEE TO A SUCCESSOR DEPOSITORY OR A NOMINEE OF SUCH SUCCESSOR DEPOSITARY. UNLESS THIS SECURITY IS PRESENTED BY AN AUTHORIZED REPRESENTATIVE OF THE DEPOSITORY TRUST COMPANY, A NEW YORK CORPORATION ("DTC"), TO THE COMPANY OR ITS AGENT FOR REGISTRATION OF TRANSFER, EXCHANGE OR PAYMENT, AND ANY SECURITY ISSUED IS REGISTERED IN THE NAME OF CEDE &amp; CO. OR IN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COMCAST CORPORATION</w:t>
      </w:r>
    </w:p>
    <w:p>
      <w:pPr>
        <w:jc w:val="center"/>
        <w:ind w:right="3139"/>
        <w:spacing w:after="0" w:line="237" w:lineRule="auto"/>
        <w:rPr>
          <w:sz w:val="20"/>
          <w:szCs w:val="20"/>
          <w:color w:val="auto"/>
        </w:rPr>
      </w:pPr>
      <w:r>
        <w:rPr>
          <w:rFonts w:ascii="Courier New" w:cs="Courier New" w:eastAsia="Courier New" w:hAnsi="Courier New"/>
          <w:sz w:val="15"/>
          <w:szCs w:val="15"/>
          <w:color w:val="auto"/>
        </w:rPr>
        <w:t>[ ]% Note Due [ ]</w:t>
      </w:r>
    </w:p>
    <w:p>
      <w:pPr>
        <w:sectPr>
          <w:pgSz w:w="11900" w:h="16838" w:orient="portrait"/>
          <w:cols w:equalWidth="0" w:num="1">
            <w:col w:w="10239"/>
          </w:cols>
          <w:pgMar w:left="220" w:top="135" w:right="1440" w:bottom="1440" w:gutter="0" w:footer="0" w:header="0"/>
        </w:sectPr>
      </w:pP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 [</w:t>
      </w:r>
    </w:p>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CUSIP No.:</w:t>
      </w:r>
    </w:p>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jc w:val="right"/>
        <w:spacing w:after="0"/>
        <w:rPr>
          <w:sz w:val="20"/>
          <w:szCs w:val="20"/>
          <w:color w:val="auto"/>
        </w:rPr>
      </w:pPr>
      <w:r>
        <w:rPr>
          <w:rFonts w:ascii="Courier New" w:cs="Courier New" w:eastAsia="Courier New" w:hAnsi="Courier New"/>
          <w:sz w:val="15"/>
          <w:szCs w:val="15"/>
          <w:color w:val="auto"/>
        </w:rPr>
        <w:t>[</w:t>
      </w:r>
    </w:p>
    <w:p>
      <w:pPr>
        <w:jc w:val="right"/>
        <w:spacing w:after="0" w:line="237" w:lineRule="auto"/>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w:t>
      </w:r>
    </w:p>
    <w:p>
      <w:pPr>
        <w:spacing w:after="0" w:line="32"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w:t>
      </w:r>
    </w:p>
    <w:p>
      <w:pPr>
        <w:spacing w:after="0" w:line="227" w:lineRule="exact"/>
        <w:rPr>
          <w:sz w:val="20"/>
          <w:szCs w:val="20"/>
          <w:color w:val="auto"/>
        </w:rPr>
      </w:pPr>
    </w:p>
    <w:p>
      <w:pPr>
        <w:sectPr>
          <w:pgSz w:w="11900" w:h="16838" w:orient="portrait"/>
          <w:cols w:equalWidth="0" w:num="5">
            <w:col w:w="440" w:space="260"/>
            <w:col w:w="4100" w:space="720"/>
            <w:col w:w="880" w:space="80"/>
            <w:col w:w="180" w:space="260"/>
            <w:col w:w="3319"/>
          </w:cols>
          <w:pgMar w:left="220" w:top="135" w:right="1440" w:bottom="1440" w:gutter="0" w:footer="0" w:header="0"/>
          <w:type w:val="continuous"/>
        </w:sectPr>
      </w:pPr>
    </w:p>
    <w:p>
      <w:pPr>
        <w:spacing w:after="0" w:line="142" w:lineRule="exact"/>
        <w:rPr>
          <w:sz w:val="20"/>
          <w:szCs w:val="20"/>
          <w:color w:val="auto"/>
        </w:rPr>
      </w:pPr>
    </w:p>
    <w:p>
      <w:pPr>
        <w:jc w:val="both"/>
        <w:ind w:right="3319" w:firstLine="437"/>
        <w:spacing w:after="0" w:line="235" w:lineRule="auto"/>
        <w:rPr>
          <w:sz w:val="20"/>
          <w:szCs w:val="20"/>
          <w:color w:val="auto"/>
        </w:rPr>
      </w:pPr>
      <w:r>
        <w:rPr>
          <w:rFonts w:ascii="Courier New" w:cs="Courier New" w:eastAsia="Courier New" w:hAnsi="Courier New"/>
          <w:sz w:val="15"/>
          <w:szCs w:val="15"/>
          <w:color w:val="auto"/>
        </w:rPr>
        <w:t>COMCAST CORPORATION, a Delaware corporation ("Issuer", which term includes any successor corporation), for value received promises to pay to CEDE &amp; CO. or registered assigns, the principal sum of [ ] on [ ].</w:t>
      </w:r>
    </w:p>
    <w:p>
      <w:pPr>
        <w:spacing w:after="0" w:line="174" w:lineRule="exact"/>
        <w:rPr>
          <w:sz w:val="20"/>
          <w:szCs w:val="20"/>
          <w:color w:val="auto"/>
        </w:rPr>
      </w:pPr>
    </w:p>
    <w:p>
      <w:pPr>
        <w:ind w:right="3579" w:firstLine="437"/>
        <w:spacing w:after="0" w:line="234" w:lineRule="auto"/>
        <w:rPr>
          <w:sz w:val="20"/>
          <w:szCs w:val="20"/>
          <w:color w:val="auto"/>
        </w:rPr>
      </w:pPr>
      <w:r>
        <w:rPr>
          <w:rFonts w:ascii="Courier New" w:cs="Courier New" w:eastAsia="Courier New" w:hAnsi="Courier New"/>
          <w:sz w:val="15"/>
          <w:szCs w:val="15"/>
          <w:color w:val="auto"/>
        </w:rPr>
        <w:t>Interest Payment Dates: [ ] and [ ] (each, an "Interest Payment Date"), commencing on [ ].</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Interest Record Dates: [ ] and [ ] (each, an "Interest Record Date").</w:t>
      </w:r>
    </w:p>
    <w:p>
      <w:pPr>
        <w:spacing w:after="0" w:line="173"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Reference is made to the further provisions of this Security contained herein, which will for all purposes have the same effect as if set forth at this place.</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39"/>
          </w:cols>
          <w:pgMar w:left="220" w:top="135" w:right="1440" w:bottom="1440" w:gutter="0" w:footer="0" w:header="0"/>
          <w:type w:val="continuous"/>
        </w:sectPr>
      </w:pPr>
    </w:p>
    <w:bookmarkStart w:id="245" w:name="page246"/>
    <w:bookmarkEnd w:id="245"/>
    <w:p>
      <w:pPr>
        <w:ind w:right="3679" w:firstLine="437"/>
        <w:spacing w:after="0" w:line="235" w:lineRule="auto"/>
        <w:rPr>
          <w:sz w:val="20"/>
          <w:szCs w:val="20"/>
          <w:color w:val="auto"/>
        </w:rPr>
      </w:pPr>
      <w:r>
        <w:rPr>
          <w:rFonts w:ascii="Courier New" w:cs="Courier New" w:eastAsia="Courier New" w:hAnsi="Courier New"/>
          <w:sz w:val="15"/>
          <w:szCs w:val="15"/>
          <w:color w:val="auto"/>
        </w:rPr>
        <w:t>IN WITNESS WHEREOF, the Issuer has caused this Security to be signed manually or by facsimile by its duly authorized officer under its corporate seal.</w:t>
      </w:r>
    </w:p>
    <w:p>
      <w:pPr>
        <w:spacing w:after="0" w:line="167" w:lineRule="exact"/>
        <w:rPr>
          <w:sz w:val="20"/>
          <w:szCs w:val="20"/>
          <w:color w:val="auto"/>
        </w:rPr>
      </w:pPr>
    </w:p>
    <w:p>
      <w:pPr>
        <w:ind w:left="3860"/>
        <w:spacing w:after="0"/>
        <w:rPr>
          <w:sz w:val="20"/>
          <w:szCs w:val="20"/>
          <w:color w:val="auto"/>
        </w:rPr>
      </w:pPr>
      <w:r>
        <w:rPr>
          <w:rFonts w:ascii="Courier New" w:cs="Courier New" w:eastAsia="Courier New" w:hAnsi="Courier New"/>
          <w:sz w:val="15"/>
          <w:szCs w:val="15"/>
          <w:color w:val="auto"/>
        </w:rPr>
        <w:t>COMCAST CORPORATION</w:t>
      </w:r>
    </w:p>
    <w:p>
      <w:pPr>
        <w:spacing w:after="0" w:line="166" w:lineRule="exact"/>
        <w:rPr>
          <w:sz w:val="20"/>
          <w:szCs w:val="20"/>
          <w:color w:val="auto"/>
        </w:rPr>
      </w:pPr>
    </w:p>
    <w:p>
      <w:pPr>
        <w:ind w:left="3860"/>
        <w:spacing w:after="0"/>
        <w:rPr>
          <w:sz w:val="20"/>
          <w:szCs w:val="20"/>
          <w:color w:val="auto"/>
        </w:rPr>
      </w:pPr>
      <w:r>
        <w:rPr>
          <w:rFonts w:ascii="Courier New" w:cs="Courier New" w:eastAsia="Courier New" w:hAnsi="Courier New"/>
          <w:sz w:val="15"/>
          <w:szCs w:val="15"/>
          <w:color w:val="auto"/>
        </w:rPr>
        <w:t>By:</w:t>
      </w:r>
    </w:p>
    <w:p>
      <w:pPr>
        <w:spacing w:after="0" w:line="5" w:lineRule="exact"/>
        <w:rPr>
          <w:sz w:val="20"/>
          <w:szCs w:val="20"/>
          <w:color w:val="auto"/>
        </w:rPr>
      </w:pPr>
    </w:p>
    <w:p>
      <w:pPr>
        <w:ind w:left="420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4200"/>
        <w:spacing w:after="0"/>
        <w:rPr>
          <w:sz w:val="20"/>
          <w:szCs w:val="20"/>
          <w:color w:val="auto"/>
        </w:rPr>
      </w:pPr>
      <w:r>
        <w:rPr>
          <w:rFonts w:ascii="Courier New" w:cs="Courier New" w:eastAsia="Courier New" w:hAnsi="Courier New"/>
          <w:sz w:val="15"/>
          <w:szCs w:val="15"/>
          <w:color w:val="auto"/>
        </w:rPr>
        <w:t>Name:</w:t>
      </w:r>
    </w:p>
    <w:p>
      <w:pPr>
        <w:ind w:left="4200"/>
        <w:spacing w:after="0" w:line="237" w:lineRule="auto"/>
        <w:rPr>
          <w:sz w:val="20"/>
          <w:szCs w:val="20"/>
          <w:color w:val="auto"/>
        </w:rPr>
      </w:pPr>
      <w:r>
        <w:rPr>
          <w:rFonts w:ascii="Courier New" w:cs="Courier New" w:eastAsia="Courier New" w:hAnsi="Courier New"/>
          <w:sz w:val="15"/>
          <w:szCs w:val="15"/>
          <w:color w:val="auto"/>
        </w:rPr>
        <w:t>Title:</w:t>
      </w:r>
    </w:p>
    <w:p>
      <w:pPr>
        <w:spacing w:after="0" w:line="238" w:lineRule="auto"/>
        <w:rPr>
          <w:sz w:val="20"/>
          <w:szCs w:val="20"/>
          <w:color w:val="auto"/>
        </w:rPr>
      </w:pPr>
      <w:r>
        <w:rPr>
          <w:rFonts w:ascii="Courier New" w:cs="Courier New" w:eastAsia="Courier New" w:hAnsi="Courier New"/>
          <w:sz w:val="15"/>
          <w:szCs w:val="15"/>
          <w:color w:val="auto"/>
        </w:rPr>
        <w:t>Attest:</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w:t>
      </w:r>
    </w:p>
    <w:p>
      <w:pPr>
        <w:ind w:left="360"/>
        <w:spacing w:after="0" w:line="237" w:lineRule="auto"/>
        <w:rPr>
          <w:sz w:val="20"/>
          <w:szCs w:val="20"/>
          <w:color w:val="auto"/>
        </w:rPr>
      </w:pPr>
      <w:r>
        <w:rPr>
          <w:rFonts w:ascii="Courier New" w:cs="Courier New" w:eastAsia="Courier New" w:hAnsi="Courier New"/>
          <w:sz w:val="15"/>
          <w:szCs w:val="15"/>
          <w:color w:val="auto"/>
        </w:rPr>
        <w:t>--------------------------------</w:t>
      </w:r>
    </w:p>
    <w:p>
      <w:pPr>
        <w:ind w:left="360"/>
        <w:spacing w:after="0" w:line="238" w:lineRule="auto"/>
        <w:rPr>
          <w:sz w:val="20"/>
          <w:szCs w:val="20"/>
          <w:color w:val="auto"/>
        </w:rPr>
      </w:pPr>
      <w:r>
        <w:rPr>
          <w:rFonts w:ascii="Courier New" w:cs="Courier New" w:eastAsia="Courier New" w:hAnsi="Courier New"/>
          <w:sz w:val="15"/>
          <w:szCs w:val="15"/>
          <w:color w:val="auto"/>
        </w:rPr>
        <w:t>Name:</w:t>
      </w:r>
    </w:p>
    <w:p>
      <w:pPr>
        <w:ind w:left="360"/>
        <w:spacing w:after="0" w:line="237" w:lineRule="auto"/>
        <w:rPr>
          <w:sz w:val="20"/>
          <w:szCs w:val="20"/>
          <w:color w:val="auto"/>
        </w:rPr>
      </w:pPr>
      <w:r>
        <w:rPr>
          <w:rFonts w:ascii="Courier New" w:cs="Courier New" w:eastAsia="Courier New" w:hAnsi="Courier New"/>
          <w:sz w:val="15"/>
          <w:szCs w:val="15"/>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39"/>
          </w:cols>
          <w:pgMar w:left="220" w:top="792" w:right="1440" w:bottom="1440" w:gutter="0" w:footer="0" w:header="0"/>
        </w:sectPr>
      </w:pPr>
    </w:p>
    <w:bookmarkStart w:id="246" w:name="page247"/>
    <w:bookmarkEnd w:id="246"/>
    <w:p>
      <w:pPr>
        <w:ind w:right="4019" w:firstLine="437"/>
        <w:spacing w:after="0" w:line="234" w:lineRule="auto"/>
        <w:rPr>
          <w:sz w:val="20"/>
          <w:szCs w:val="20"/>
          <w:color w:val="auto"/>
        </w:rPr>
      </w:pPr>
      <w:r>
        <w:rPr>
          <w:rFonts w:ascii="Courier New" w:cs="Courier New" w:eastAsia="Courier New" w:hAnsi="Courier New"/>
          <w:sz w:val="15"/>
          <w:szCs w:val="15"/>
          <w:color w:val="auto"/>
        </w:rPr>
        <w:t>This is one of the series designated herein and referred to in the within-mentioned Indenture.</w:t>
      </w:r>
    </w:p>
    <w:p>
      <w:pPr>
        <w:sectPr>
          <w:pgSz w:w="11900" w:h="16838" w:orient="portrait"/>
          <w:cols w:equalWidth="0" w:num="1">
            <w:col w:w="10239"/>
          </w:cols>
          <w:pgMar w:left="220" w:top="792" w:right="1440" w:bottom="1440" w:gutter="0" w:footer="0" w:header="0"/>
        </w:sectPr>
      </w:pP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Dated:</w:t>
      </w:r>
    </w:p>
    <w:p>
      <w:pPr>
        <w:spacing w:after="0" w:line="20" w:lineRule="exact"/>
        <w:rPr>
          <w:sz w:val="20"/>
          <w:szCs w:val="20"/>
          <w:color w:val="auto"/>
        </w:rPr>
      </w:pPr>
      <w:r>
        <w:rPr>
          <w:sz w:val="20"/>
          <w:szCs w:val="20"/>
          <w:color w:val="auto"/>
        </w:rPr>
        <w:br w:type="column"/>
      </w:r>
    </w:p>
    <w:p>
      <w:pPr>
        <w:spacing w:after="0" w:line="31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321"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w:t>
      </w:r>
    </w:p>
    <w:p>
      <w:pPr>
        <w:spacing w:after="0" w:line="20" w:lineRule="exact"/>
        <w:rPr>
          <w:sz w:val="20"/>
          <w:szCs w:val="20"/>
          <w:color w:val="auto"/>
        </w:rPr>
      </w:pPr>
      <w:r>
        <w:rPr>
          <w:sz w:val="20"/>
          <w:szCs w:val="20"/>
          <w:color w:val="auto"/>
        </w:rPr>
        <w:br w:type="column"/>
      </w:r>
    </w:p>
    <w:p>
      <w:pPr>
        <w:spacing w:after="0" w:line="32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BANK OF NEW YORK,</w:t>
      </w:r>
    </w:p>
    <w:p>
      <w:pPr>
        <w:spacing w:after="0" w:line="3"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as Trustee</w:t>
      </w:r>
    </w:p>
    <w:p>
      <w:pPr>
        <w:spacing w:after="0" w:line="200" w:lineRule="exact"/>
        <w:rPr>
          <w:sz w:val="20"/>
          <w:szCs w:val="20"/>
          <w:color w:val="auto"/>
        </w:rPr>
      </w:pPr>
    </w:p>
    <w:p>
      <w:pPr>
        <w:sectPr>
          <w:pgSz w:w="11900" w:h="16838" w:orient="portrait"/>
          <w:cols w:equalWidth="0" w:num="4">
            <w:col w:w="540" w:space="160"/>
            <w:col w:w="100" w:space="260"/>
            <w:col w:w="2080" w:space="720"/>
            <w:col w:w="6379"/>
          </w:cols>
          <w:pgMar w:left="220" w:top="792" w:right="1440" w:bottom="1440" w:gutter="0" w:footer="0" w:header="0"/>
          <w:type w:val="continuous"/>
        </w:sectPr>
      </w:pPr>
    </w:p>
    <w:p>
      <w:pPr>
        <w:spacing w:after="0" w:line="135" w:lineRule="exact"/>
        <w:rPr>
          <w:sz w:val="20"/>
          <w:szCs w:val="20"/>
          <w:color w:val="auto"/>
        </w:rPr>
      </w:pPr>
    </w:p>
    <w:p>
      <w:pPr>
        <w:ind w:left="3860"/>
        <w:spacing w:after="0"/>
        <w:rPr>
          <w:sz w:val="20"/>
          <w:szCs w:val="20"/>
          <w:color w:val="auto"/>
        </w:rPr>
      </w:pPr>
      <w:r>
        <w:rPr>
          <w:rFonts w:ascii="Courier New" w:cs="Courier New" w:eastAsia="Courier New" w:hAnsi="Courier New"/>
          <w:sz w:val="15"/>
          <w:szCs w:val="15"/>
          <w:color w:val="auto"/>
        </w:rPr>
        <w:t>By:</w:t>
      </w:r>
    </w:p>
    <w:p>
      <w:pPr>
        <w:spacing w:after="0" w:line="5" w:lineRule="exact"/>
        <w:rPr>
          <w:sz w:val="20"/>
          <w:szCs w:val="20"/>
          <w:color w:val="auto"/>
        </w:rPr>
      </w:pPr>
    </w:p>
    <w:p>
      <w:pPr>
        <w:ind w:left="420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4200"/>
        <w:spacing w:after="0"/>
        <w:rPr>
          <w:sz w:val="20"/>
          <w:szCs w:val="20"/>
          <w:color w:val="auto"/>
        </w:rPr>
      </w:pPr>
      <w:r>
        <w:rPr>
          <w:rFonts w:ascii="Courier New" w:cs="Courier New" w:eastAsia="Courier New" w:hAnsi="Courier New"/>
          <w:sz w:val="15"/>
          <w:szCs w:val="15"/>
          <w:color w:val="auto"/>
        </w:rPr>
        <w:t>Authorized Signatory</w:t>
      </w:r>
    </w:p>
    <w:p>
      <w:pPr>
        <w:sectPr>
          <w:pgSz w:w="11900" w:h="16838" w:orient="portrait"/>
          <w:cols w:equalWidth="0" w:num="1">
            <w:col w:w="10239"/>
          </w:cols>
          <w:pgMar w:left="220" w:top="792"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3420"/>
        <w:spacing w:after="0"/>
        <w:rPr>
          <w:sz w:val="20"/>
          <w:szCs w:val="20"/>
          <w:color w:val="auto"/>
        </w:rPr>
      </w:pPr>
      <w:r>
        <w:rPr>
          <w:rFonts w:ascii="Courier New" w:cs="Courier New" w:eastAsia="Courier New" w:hAnsi="Courier New"/>
          <w:sz w:val="12"/>
          <w:szCs w:val="12"/>
          <w:color w:val="auto"/>
        </w:rPr>
        <w:t>4</w:t>
      </w:r>
    </w:p>
    <w:p>
      <w:pPr>
        <w:sectPr>
          <w:pgSz w:w="11900" w:h="16838" w:orient="portrait"/>
          <w:cols w:equalWidth="0" w:num="1">
            <w:col w:w="10239"/>
          </w:cols>
          <w:pgMar w:left="220" w:top="792" w:right="1440" w:bottom="1440" w:gutter="0" w:footer="0" w:header="0"/>
          <w:type w:val="continuous"/>
        </w:sectPr>
      </w:pPr>
    </w:p>
    <w:bookmarkStart w:id="247" w:name="page248"/>
    <w:bookmarkEnd w:id="247"/>
    <w:p>
      <w:pPr>
        <w:jc w:val="center"/>
        <w:ind w:right="3139"/>
        <w:spacing w:after="0"/>
        <w:rPr>
          <w:sz w:val="20"/>
          <w:szCs w:val="20"/>
          <w:color w:val="auto"/>
        </w:rPr>
      </w:pPr>
      <w:r>
        <w:rPr>
          <w:rFonts w:ascii="Courier New" w:cs="Courier New" w:eastAsia="Courier New" w:hAnsi="Courier New"/>
          <w:sz w:val="15"/>
          <w:szCs w:val="15"/>
          <w:color w:val="auto"/>
        </w:rPr>
        <w:t>(REVERSE OF SECURITY)</w:t>
      </w:r>
    </w:p>
    <w:p>
      <w:pPr>
        <w:spacing w:after="0" w:line="166"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COMCAST CORPORATION</w:t>
      </w:r>
    </w:p>
    <w:p>
      <w:pPr>
        <w:spacing w:after="0" w:line="166"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 ]% Note Due [ ]</w:t>
      </w:r>
    </w:p>
    <w:p>
      <w:pPr>
        <w:spacing w:after="0" w:line="335"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1. Interest.</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COMCAST CORPORATION, a Delaware corporation (the "Issuer"), promises to pay interest on the principal amount of this Security at the rate per annum shown above. Cash interest on the Securities will accrue from the most recent date to which interest has been paid or, if no interest has been paid, from [ ]. The Issuer will pay interest semi-annually in arrears on each Interest Payment Date, commencing [ ]. Interest will be computed on the basis of a 360-day year of twelve 30-day months.</w:t>
      </w:r>
    </w:p>
    <w:p>
      <w:pPr>
        <w:spacing w:after="0" w:line="176" w:lineRule="exact"/>
        <w:rPr>
          <w:sz w:val="20"/>
          <w:szCs w:val="20"/>
          <w:color w:val="auto"/>
        </w:rPr>
      </w:pPr>
    </w:p>
    <w:p>
      <w:pPr>
        <w:ind w:right="3319" w:firstLine="437"/>
        <w:spacing w:after="0" w:line="258" w:lineRule="auto"/>
        <w:rPr>
          <w:sz w:val="20"/>
          <w:szCs w:val="20"/>
          <w:color w:val="auto"/>
        </w:rPr>
      </w:pPr>
      <w:r>
        <w:rPr>
          <w:rFonts w:ascii="Courier New" w:cs="Courier New" w:eastAsia="Courier New" w:hAnsi="Courier New"/>
          <w:sz w:val="14"/>
          <w:szCs w:val="14"/>
          <w:color w:val="auto"/>
        </w:rPr>
        <w:t>The Issuer shall pay interest on overdue principal from time to time on demand at the rate borne by the Securities and on overdue installments of interest (without regard to any applicable grace periods) to the extent lawful.</w:t>
      </w:r>
    </w:p>
    <w:p>
      <w:pPr>
        <w:spacing w:after="0" w:line="155"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2. Method of Payment.</w:t>
      </w:r>
    </w:p>
    <w:p>
      <w:pPr>
        <w:spacing w:after="0" w:line="173"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The Issuer shall pay interest on the Securities (except defaulted interest) to the persons who are the registered Holders at the close of business on the Interest Record Date immediately preceding the Interest Payment Date notwithstanding any transfer or exchange of such Security subsequent to such Interest Record Date and prior to such Interest Payment Date. Holders must surrender Securities to the Trustee to collect principal payments. The Issuer shall pay Principal and interest in money of the United States that at the time of payment is legal tender for payment of public and private debts ("U.S. Legal Tender"). However, the payments of interest, and any portion of the Principal (other than interest payable at maturity or on any redemption or repayment date or the final payment of Principal) shall be made by the Paying Agent, upon receipt from the Issuer of immediately available funds by 11:00 a.m., New York City time (or such other time as may be agreed to between the Issuer and the Paying Agent or the Issuer), directly to a Holder (by Federal funds wire transfer or otherwise) if the Holder has delivered written instructions to the Trustee 15 days prior to such payment date requesting that such payment will be so made and designating the bank account to which such payments shall be so made and in the case of payments of Principal surrenders the same to the Trustee in exchange for a Security or Securities aggregating the same principal amount as the unredeemed principal amount of the Securities surrendered.</w:t>
      </w:r>
    </w:p>
    <w:p>
      <w:pPr>
        <w:spacing w:after="0" w:line="200" w:lineRule="exact"/>
        <w:rPr>
          <w:sz w:val="20"/>
          <w:szCs w:val="20"/>
          <w:color w:val="auto"/>
        </w:rPr>
      </w:pPr>
    </w:p>
    <w:p>
      <w:pPr>
        <w:spacing w:after="0" w:line="30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39"/>
          </w:cols>
          <w:pgMar w:left="220" w:top="785" w:right="1440" w:bottom="1440" w:gutter="0" w:footer="0" w:header="0"/>
        </w:sectPr>
      </w:pPr>
    </w:p>
    <w:bookmarkStart w:id="248" w:name="page249"/>
    <w:bookmarkEnd w:id="248"/>
    <w:p>
      <w:pPr>
        <w:ind w:left="440"/>
        <w:spacing w:after="0"/>
        <w:rPr>
          <w:sz w:val="20"/>
          <w:szCs w:val="20"/>
          <w:color w:val="auto"/>
        </w:rPr>
      </w:pPr>
      <w:r>
        <w:rPr>
          <w:rFonts w:ascii="Courier New" w:cs="Courier New" w:eastAsia="Courier New" w:hAnsi="Courier New"/>
          <w:sz w:val="15"/>
          <w:szCs w:val="15"/>
          <w:color w:val="auto"/>
        </w:rPr>
        <w:t>3. Paying Agent.</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Initially, The Bank of New York (the "Trustee") will act as Paying Agent.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Issuer may change any Paying Agent without notice to the Holders.</w:t>
      </w:r>
    </w:p>
    <w:p>
      <w:pPr>
        <w:spacing w:after="0" w:line="16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4. Indenture.</w:t>
      </w:r>
    </w:p>
    <w:p>
      <w:pPr>
        <w:spacing w:after="0" w:line="173"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The Issuer issued the Securities under an Indenture, dated as of December [__], 2002 (the "Indenture"), among the Issuer, the Cable Guarantors party thereto and the Trustee. Capitalized terms herein are used as defined in the Indenture unless otherwise defined herein. The terms of the Securities include those stated in the Indenture and those made part of the Indenture by reference to the Trust Indenture Act of 1939 (15 U.S.C. Sections 77aaa-77bbbb) (the "TIA"), as in effect on the date of the Indenture until such time as the Indenture is qualified under the TIA, and thereafter as in effect on the date on which the Indenture is qualified under the TIA. Notwithstanding anything to the contrary herein, the Securities are subject to all such terms, and holders of Securities are referred to the Indenture and the TIA for a statement of them. To the extent the terms of the Indenture and this Security are inconsistent, the terms of the Indenture shall govern.</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5. Cable Guarantees.</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Each Cable Guarantor has irrevocably, fully and unconditionally guaranteed, jointly and severally, on an unsecured basis, the full and punctual payment (whether at maturity, upon redemption or otherwise) of the Principal of and interest on, and all other amounts payable under, the Securities, and the full and punctual payment of all other amounts payable by the Issuer under the Indenture, subject to certain terms and conditions set forth in the Indenture.</w:t>
      </w:r>
    </w:p>
    <w:p>
      <w:pPr>
        <w:spacing w:after="0" w:line="160"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6. Denominations; Transfer; Exchange.</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Securities are in registered form, without coupons, in denominations of $1,000 and multiples of $1,000. A Holder shall register the transfer of or exchange Securities in accordance with the Indenture. The Issuer may require a Holder, among other things, to furnish appropriate endorsements and transfer documents and to pay certain transfer taxes or similar governmental charges payable in connection therewith as permitted by the Indenture. The Issuer need not issue, authenticate, register the transfer of or exchange any Securities or portions thereof for a period of fifteen (15) days before such series is selected for redemption, nor need the Issuer register the transfer or exchange of any security selected for redemption in whole or in part.</w:t>
      </w:r>
    </w:p>
    <w:p>
      <w:pPr>
        <w:spacing w:after="0" w:line="34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39"/>
          </w:cols>
          <w:pgMar w:left="220" w:top="785" w:right="1440" w:bottom="1440" w:gutter="0" w:footer="0" w:header="0"/>
        </w:sectPr>
      </w:pPr>
    </w:p>
    <w:bookmarkStart w:id="249" w:name="page250"/>
    <w:bookmarkEnd w:id="249"/>
    <w:p>
      <w:pPr>
        <w:ind w:left="440"/>
        <w:spacing w:after="0"/>
        <w:rPr>
          <w:sz w:val="20"/>
          <w:szCs w:val="20"/>
          <w:color w:val="auto"/>
        </w:rPr>
      </w:pPr>
      <w:r>
        <w:rPr>
          <w:rFonts w:ascii="Courier New" w:cs="Courier New" w:eastAsia="Courier New" w:hAnsi="Courier New"/>
          <w:sz w:val="15"/>
          <w:szCs w:val="15"/>
          <w:color w:val="auto"/>
        </w:rPr>
        <w:t>7. Persons Deemed Owners.</w:t>
      </w:r>
    </w:p>
    <w:p>
      <w:pPr>
        <w:spacing w:after="0" w:line="173" w:lineRule="exact"/>
        <w:rPr>
          <w:sz w:val="20"/>
          <w:szCs w:val="20"/>
          <w:color w:val="auto"/>
        </w:rPr>
      </w:pPr>
    </w:p>
    <w:p>
      <w:pPr>
        <w:ind w:right="3239" w:firstLine="437"/>
        <w:spacing w:after="0" w:line="234" w:lineRule="auto"/>
        <w:rPr>
          <w:sz w:val="20"/>
          <w:szCs w:val="20"/>
          <w:color w:val="auto"/>
        </w:rPr>
      </w:pPr>
      <w:r>
        <w:rPr>
          <w:rFonts w:ascii="Courier New" w:cs="Courier New" w:eastAsia="Courier New" w:hAnsi="Courier New"/>
          <w:sz w:val="15"/>
          <w:szCs w:val="15"/>
          <w:color w:val="auto"/>
        </w:rPr>
        <w:t>The registered Holder of a Security shall be treated as the owner of it for all purposes.</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8. Unclaimed Funds.</w:t>
      </w:r>
    </w:p>
    <w:p>
      <w:pPr>
        <w:spacing w:after="0" w:line="173"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If funds for the payment of principal or interest remain unclaimed for two years, the Trustee and the Paying Agent will repay the funds to the Issuer at its written request. After that, all liability of the Trustee and such Paying Agent with respect to such funds shall cease.</w:t>
      </w:r>
    </w:p>
    <w:p>
      <w:pPr>
        <w:spacing w:after="0" w:line="16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9. Legal Defeasance and Covenant Defeasance.</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Issuer and the Cable Guarantors may be discharged from their respective obligations under the Securities and under the Indenture with respect to the Securities except for certain provisions thereof, and may be discharged from obligations to comply with certain covenants contained in the Securities and in the Indenture with respect to the Securities, in each case upon satisfaction of certain conditions specified in the Indenture.</w:t>
      </w:r>
    </w:p>
    <w:p>
      <w:pPr>
        <w:spacing w:after="0" w:line="168"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10. Amendment; Supplement; Waiver.</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Subject to certain exceptions, the Securities and the provisions of the Indenture relating to the Securities may be amended or supplemented with the written consent of the Holders of at least a majority in aggregate principal amount of the Securities then outstanding, and any existing Default or Event of Default or compliance with certain provisions may be waived with the consent of the Holders of a majority in aggregate principal amount of the Securities then outstanding. Without notice to or consent of any Holder, the parties thereto may amend or supplement the Indenture and the Securities to, among other things, cure any ambiguity, defect or inconsistency, provide for uncertificated Securities in addition to or in place of certificated Securities or comply with any requirements of the Commission in connection with the qualification of the Indenture under the Trust Indenture Act, or make any other change that does not adversely affect the rights of any Holder of a Security.</w:t>
      </w:r>
    </w:p>
    <w:p>
      <w:pPr>
        <w:spacing w:after="0" w:line="158"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11. Restrictive Covenants.</w:t>
      </w:r>
    </w:p>
    <w:p>
      <w:pPr>
        <w:spacing w:after="0" w:line="173"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The Indenture contains certain covenants that, among other things, limit the ability of the Issuer and the Cable Guarantors to incur liens securing indebtedness, or to enter sale and leaseback transactions and of the Issuer to merge or sell all or substantially all of its assets. The limitations are subject to a number of important qualifications and exceptions. The Issuer must annually report to the Trustee on compliance with such limitations.</w:t>
      </w:r>
    </w:p>
    <w:p>
      <w:pPr>
        <w:spacing w:after="0" w:line="33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39"/>
          </w:cols>
          <w:pgMar w:left="220" w:top="785" w:right="1440" w:bottom="1440" w:gutter="0" w:footer="0" w:header="0"/>
        </w:sectPr>
      </w:pPr>
    </w:p>
    <w:bookmarkStart w:id="250" w:name="page251"/>
    <w:bookmarkEnd w:id="250"/>
    <w:p>
      <w:pPr>
        <w:ind w:left="440"/>
        <w:spacing w:after="0"/>
        <w:rPr>
          <w:sz w:val="20"/>
          <w:szCs w:val="20"/>
          <w:color w:val="auto"/>
        </w:rPr>
      </w:pPr>
      <w:r>
        <w:rPr>
          <w:rFonts w:ascii="Courier New" w:cs="Courier New" w:eastAsia="Courier New" w:hAnsi="Courier New"/>
          <w:sz w:val="15"/>
          <w:szCs w:val="15"/>
          <w:color w:val="auto"/>
        </w:rPr>
        <w:t>12. Defaults and Remedies.</w:t>
      </w:r>
    </w:p>
    <w:p>
      <w:pPr>
        <w:spacing w:after="0" w:line="173"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If an Event of Default (other than certain bankruptcy Events of Default with respect to the Issuer or any of the Cable Guarantors) occurs and is continuing, the Trustee or the Holders of at least 25% in aggregate principal amount of Securities then outstanding may declare all of the Securities to be due and payable immediately in the manner and with the effect provided in the Indenture. If a bankruptcy Event of Default with respect to the Issuer or any of the Cable Guarantors occurs and is continuing, all the Securities shall be immediately due and payable immediately in the manner and with the effect provided in the Indenture without any notice or other action on the part of the Trustee or any Holder. Holders of Securities may not enforce the Indenture, the Securities or the Cable Guarantees except as provided in the Indenture. The Trustee is not obligated to enforce the Indenture, the Securities or the Cable Guarantees unless it has received indemnity satisfactory to it. The Indenture permits, subject to certain limitations therein provided, Holders of a majority in aggregate principal amount of the Securities then outstanding to direct the Trustee in its exercise of any trust or power. The Trustee may withhold from Holders of Securities notice of certain continuing Defaults or Events of Default if it determines that withholding notice is in their interest.</w:t>
      </w:r>
    </w:p>
    <w:p>
      <w:pPr>
        <w:spacing w:after="0" w:line="168"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13. Subordination [and Conversion].</w:t>
      </w:r>
    </w:p>
    <w:p>
      <w:pPr>
        <w:spacing w:after="0" w:line="173" w:lineRule="exact"/>
        <w:rPr>
          <w:sz w:val="20"/>
          <w:szCs w:val="20"/>
          <w:color w:val="auto"/>
        </w:rPr>
      </w:pPr>
    </w:p>
    <w:p>
      <w:pPr>
        <w:ind w:right="3399" w:firstLine="437"/>
        <w:spacing w:after="0" w:line="236" w:lineRule="auto"/>
        <w:rPr>
          <w:sz w:val="20"/>
          <w:szCs w:val="20"/>
          <w:color w:val="auto"/>
        </w:rPr>
      </w:pPr>
      <w:r>
        <w:rPr>
          <w:rFonts w:ascii="Courier New" w:cs="Courier New" w:eastAsia="Courier New" w:hAnsi="Courier New"/>
          <w:sz w:val="15"/>
          <w:szCs w:val="15"/>
          <w:color w:val="auto"/>
        </w:rPr>
        <w:t>Reference is made to the Indenture, including, without limitation, provisions subordinating the payment of principal of and premium, if any, and interest on the Securities to the prior payment in full of all Senior Indebtedness as defined in the Indenture [and provisions giving the holder of this Security the right to convert this Security into Capital Stock of the Issuer on the terms and subject to the limitations as more fully specified in the Indenture. The initial conversion rate for this Security is [ ]. This conversion rate is subject to modification as provided in the Indenture.] Such further provisions shall for all purposes have the same effect as though fully set forth at this place.</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14. Trustee Dealings with Issuer.</w:t>
      </w:r>
    </w:p>
    <w:p>
      <w:pPr>
        <w:spacing w:after="0" w:line="173" w:lineRule="exact"/>
        <w:rPr>
          <w:sz w:val="20"/>
          <w:szCs w:val="20"/>
          <w:color w:val="auto"/>
        </w:rPr>
      </w:pPr>
    </w:p>
    <w:p>
      <w:pPr>
        <w:jc w:val="both"/>
        <w:ind w:right="3399" w:firstLine="437"/>
        <w:spacing w:after="0" w:line="235" w:lineRule="auto"/>
        <w:rPr>
          <w:sz w:val="20"/>
          <w:szCs w:val="20"/>
          <w:color w:val="auto"/>
        </w:rPr>
      </w:pPr>
      <w:r>
        <w:rPr>
          <w:rFonts w:ascii="Courier New" w:cs="Courier New" w:eastAsia="Courier New" w:hAnsi="Courier New"/>
          <w:sz w:val="15"/>
          <w:szCs w:val="15"/>
          <w:color w:val="auto"/>
        </w:rPr>
        <w:t>The Trustee under the Indenture, in its individual or any other capacity, may become the owner or pledgee of Securities and may otherwise deal with the Issuer as if it were not the Trustee.</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15. No Recourse Against Others.</w:t>
      </w:r>
    </w:p>
    <w:p>
      <w:pPr>
        <w:spacing w:after="0" w:line="173" w:lineRule="exact"/>
        <w:rPr>
          <w:sz w:val="20"/>
          <w:szCs w:val="20"/>
          <w:color w:val="auto"/>
        </w:rPr>
      </w:pPr>
    </w:p>
    <w:p>
      <w:pPr>
        <w:jc w:val="both"/>
        <w:ind w:right="3399" w:firstLine="437"/>
        <w:spacing w:after="0" w:line="256" w:lineRule="auto"/>
        <w:rPr>
          <w:sz w:val="20"/>
          <w:szCs w:val="20"/>
          <w:color w:val="auto"/>
        </w:rPr>
      </w:pPr>
      <w:r>
        <w:rPr>
          <w:rFonts w:ascii="Courier New" w:cs="Courier New" w:eastAsia="Courier New" w:hAnsi="Courier New"/>
          <w:sz w:val="14"/>
          <w:szCs w:val="14"/>
          <w:color w:val="auto"/>
        </w:rPr>
        <w:t>No stockholder, director, officer, employee or incorporator, as such, of the Issuer, any Cable Guarantor or any successor Person thereof shall have any liability for any obligation under the Securities, the Cable Guarantees or the Indenture or for any claim based on, in respect of or by reason of, such</w:t>
      </w:r>
    </w:p>
    <w:p>
      <w:pPr>
        <w:spacing w:after="0" w:line="32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39"/>
          </w:cols>
          <w:pgMar w:left="220" w:top="785" w:right="1440" w:bottom="1440" w:gutter="0" w:footer="0" w:header="0"/>
        </w:sectPr>
      </w:pPr>
    </w:p>
    <w:bookmarkStart w:id="251" w:name="page252"/>
    <w:bookmarkEnd w:id="251"/>
    <w:p>
      <w:pPr>
        <w:ind w:right="3239"/>
        <w:spacing w:after="0" w:line="235" w:lineRule="auto"/>
        <w:rPr>
          <w:sz w:val="20"/>
          <w:szCs w:val="20"/>
          <w:color w:val="auto"/>
        </w:rPr>
      </w:pPr>
      <w:r>
        <w:rPr>
          <w:rFonts w:ascii="Courier New" w:cs="Courier New" w:eastAsia="Courier New" w:hAnsi="Courier New"/>
          <w:sz w:val="15"/>
          <w:szCs w:val="15"/>
          <w:color w:val="auto"/>
        </w:rPr>
        <w:t>obligations or their creation. Each Holder of a Security by accepting a Security waives and releases all such liability. The waiver and release are part of the consideration for the issuance of the Securities.</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16. Authentication.</w:t>
      </w:r>
    </w:p>
    <w:p>
      <w:pPr>
        <w:spacing w:after="0" w:line="173" w:lineRule="exact"/>
        <w:rPr>
          <w:sz w:val="20"/>
          <w:szCs w:val="20"/>
          <w:color w:val="auto"/>
        </w:rPr>
      </w:pPr>
    </w:p>
    <w:p>
      <w:pPr>
        <w:ind w:right="3759" w:firstLine="437"/>
        <w:spacing w:after="0" w:line="234" w:lineRule="auto"/>
        <w:rPr>
          <w:sz w:val="20"/>
          <w:szCs w:val="20"/>
          <w:color w:val="auto"/>
        </w:rPr>
      </w:pPr>
      <w:r>
        <w:rPr>
          <w:rFonts w:ascii="Courier New" w:cs="Courier New" w:eastAsia="Courier New" w:hAnsi="Courier New"/>
          <w:sz w:val="15"/>
          <w:szCs w:val="15"/>
          <w:color w:val="auto"/>
        </w:rPr>
        <w:t>This Security shall not be valid until the Trustee manually signs the certificate of authentication on this Security.</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17. Abbreviations and Defined Terms.</w:t>
      </w:r>
    </w:p>
    <w:p>
      <w:pPr>
        <w:spacing w:after="0" w:line="173" w:lineRule="exact"/>
        <w:rPr>
          <w:sz w:val="20"/>
          <w:szCs w:val="20"/>
          <w:color w:val="auto"/>
        </w:rPr>
      </w:pPr>
    </w:p>
    <w:p>
      <w:pPr>
        <w:jc w:val="both"/>
        <w:ind w:right="3399" w:firstLine="437"/>
        <w:spacing w:after="0" w:line="236" w:lineRule="auto"/>
        <w:rPr>
          <w:sz w:val="20"/>
          <w:szCs w:val="20"/>
          <w:color w:val="auto"/>
        </w:rPr>
      </w:pPr>
      <w:r>
        <w:rPr>
          <w:rFonts w:ascii="Courier New" w:cs="Courier New" w:eastAsia="Courier New" w:hAnsi="Courier New"/>
          <w:sz w:val="15"/>
          <w:szCs w:val="15"/>
          <w:color w:val="auto"/>
        </w:rPr>
        <w:t>Customary abbreviations may be used in the name of a Holder of a Security or an assignee, such as: TEN COM (= tenants in common), TEN ENT (= tenants by the entireties), JT TEN (= joint tenants with right of survivorship and not as tenants in common), CUST (= Custodian), and U/G/M/A (= Uniform Gifts to Minors Act).</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18. CUSIP Numbers.</w:t>
      </w:r>
    </w:p>
    <w:p>
      <w:pPr>
        <w:spacing w:after="0" w:line="173"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Pursuant to a recommendation promulgated by the Committee on Uniform Security Identification Procedures, the Issuer has caused CUSIP numbers to be printed on the Securities as a convenience to the Holders of the Securities. No representation is made as to the accuracy of such numbers as printed on the Securities and reliance may be placed only on the other identification numbers printed hereon.</w:t>
      </w:r>
    </w:p>
    <w:p>
      <w:pPr>
        <w:spacing w:after="0" w:line="168"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19. Governing Law.</w:t>
      </w:r>
    </w:p>
    <w:p>
      <w:pPr>
        <w:spacing w:after="0" w:line="173" w:lineRule="exact"/>
        <w:rPr>
          <w:sz w:val="20"/>
          <w:szCs w:val="20"/>
          <w:color w:val="auto"/>
        </w:rPr>
      </w:pPr>
    </w:p>
    <w:p>
      <w:pPr>
        <w:ind w:right="3759" w:firstLine="437"/>
        <w:spacing w:after="0" w:line="234" w:lineRule="auto"/>
        <w:rPr>
          <w:sz w:val="20"/>
          <w:szCs w:val="20"/>
          <w:color w:val="auto"/>
        </w:rPr>
      </w:pPr>
      <w:r>
        <w:rPr>
          <w:rFonts w:ascii="Courier New" w:cs="Courier New" w:eastAsia="Courier New" w:hAnsi="Courier New"/>
          <w:sz w:val="15"/>
          <w:szCs w:val="15"/>
          <w:color w:val="auto"/>
        </w:rPr>
        <w:t>The laws of the State of New York shall govern the Indenture and this Security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39"/>
          </w:cols>
          <w:pgMar w:left="220" w:top="792" w:right="1440" w:bottom="1440" w:gutter="0" w:footer="0" w:header="0"/>
        </w:sectPr>
      </w:pPr>
    </w:p>
    <w:bookmarkStart w:id="252" w:name="page253"/>
    <w:bookmarkEnd w:id="252"/>
    <w:p>
      <w:pPr>
        <w:ind w:left="2900"/>
        <w:spacing w:after="0"/>
        <w:rPr>
          <w:sz w:val="20"/>
          <w:szCs w:val="20"/>
          <w:color w:val="auto"/>
        </w:rPr>
      </w:pPr>
      <w:r>
        <w:rPr>
          <w:rFonts w:ascii="Courier New" w:cs="Courier New" w:eastAsia="Courier New" w:hAnsi="Courier New"/>
          <w:sz w:val="15"/>
          <w:szCs w:val="15"/>
          <w:color w:val="auto"/>
        </w:rPr>
        <w:t>ASSIGNMENT FORM</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 or we assign and transfer this Security to</w:t>
      </w:r>
    </w:p>
    <w:p>
      <w:pPr>
        <w:spacing w:after="0" w:line="341" w:lineRule="exact"/>
        <w:rPr>
          <w:sz w:val="20"/>
          <w:szCs w:val="20"/>
          <w:color w:val="auto"/>
        </w:rPr>
      </w:pPr>
    </w:p>
    <w:p>
      <w:pPr>
        <w:ind w:left="180" w:hanging="170"/>
        <w:spacing w:after="0"/>
        <w:tabs>
          <w:tab w:leader="none" w:pos="180" w:val="left"/>
        </w:tabs>
        <w:numPr>
          <w:ilvl w:val="0"/>
          <w:numId w:val="1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rFonts w:ascii="Courier New" w:cs="Courier New" w:eastAsia="Courier New" w:hAnsi="Courier New"/>
          <w:sz w:val="14"/>
          <w:szCs w:val="14"/>
          <w:color w:val="auto"/>
        </w:rPr>
      </w:pPr>
    </w:p>
    <w:p>
      <w:pPr>
        <w:ind w:left="54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(Print or type name, address and zip code of assignee or transferee)</w:t>
      </w:r>
    </w:p>
    <w:p>
      <w:pPr>
        <w:spacing w:after="0" w:line="341" w:lineRule="exact"/>
        <w:rPr>
          <w:rFonts w:ascii="Courier New" w:cs="Courier New" w:eastAsia="Courier New" w:hAnsi="Courier New"/>
          <w:sz w:val="14"/>
          <w:szCs w:val="14"/>
          <w:color w:val="auto"/>
        </w:rPr>
      </w:pPr>
    </w:p>
    <w:p>
      <w:pPr>
        <w:ind w:left="180" w:hanging="170"/>
        <w:spacing w:after="0"/>
        <w:tabs>
          <w:tab w:leader="none" w:pos="180" w:val="left"/>
        </w:tabs>
        <w:numPr>
          <w:ilvl w:val="0"/>
          <w:numId w:val="1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rFonts w:ascii="Courier New" w:cs="Courier New" w:eastAsia="Courier New" w:hAnsi="Courier New"/>
          <w:sz w:val="14"/>
          <w:szCs w:val="14"/>
          <w:color w:val="auto"/>
        </w:rPr>
      </w:pPr>
    </w:p>
    <w:p>
      <w:pPr>
        <w:ind w:left="10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(Insert Social Security or other identifying number of assignee or transferee)</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and irrevocably appoint_________________________________________________ agent</w:t>
      </w:r>
    </w:p>
    <w:p>
      <w:pPr>
        <w:spacing w:after="0" w:line="5" w:lineRule="exact"/>
        <w:rPr>
          <w:sz w:val="20"/>
          <w:szCs w:val="20"/>
          <w:color w:val="auto"/>
        </w:rPr>
      </w:pPr>
    </w:p>
    <w:p>
      <w:pPr>
        <w:ind w:right="3319"/>
        <w:spacing w:after="0" w:line="234" w:lineRule="auto"/>
        <w:rPr>
          <w:sz w:val="20"/>
          <w:szCs w:val="20"/>
          <w:color w:val="auto"/>
        </w:rPr>
      </w:pPr>
      <w:r>
        <w:rPr>
          <w:rFonts w:ascii="Courier New" w:cs="Courier New" w:eastAsia="Courier New" w:hAnsi="Courier New"/>
          <w:sz w:val="15"/>
          <w:szCs w:val="15"/>
          <w:color w:val="auto"/>
        </w:rPr>
        <w:t>to transfer this Security on the books of the Issuer. The agent may substitute another to act for him.</w:t>
      </w:r>
    </w:p>
    <w:p>
      <w:pPr>
        <w:sectPr>
          <w:pgSz w:w="11900" w:h="16838" w:orient="portrait"/>
          <w:cols w:equalWidth="0" w:num="1">
            <w:col w:w="10239"/>
          </w:cols>
          <w:pgMar w:left="220" w:top="785" w:right="1440" w:bottom="1440" w:gutter="0" w:footer="0" w:header="0"/>
        </w:sectPr>
      </w:pPr>
    </w:p>
    <w:p>
      <w:pPr>
        <w:spacing w:after="0" w:line="34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Dated: _______________________</w:t>
      </w:r>
    </w:p>
    <w:p>
      <w:pPr>
        <w:spacing w:after="0" w:line="20" w:lineRule="exact"/>
        <w:rPr>
          <w:sz w:val="20"/>
          <w:szCs w:val="20"/>
          <w:color w:val="auto"/>
        </w:rPr>
      </w:pPr>
      <w:r>
        <w:rPr>
          <w:sz w:val="20"/>
          <w:szCs w:val="20"/>
          <w:color w:val="auto"/>
        </w:rPr>
        <w:br w:type="column"/>
      </w:r>
    </w:p>
    <w:p>
      <w:pPr>
        <w:spacing w:after="0" w:line="32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Signed:</w:t>
      </w:r>
    </w:p>
    <w:p>
      <w:pPr>
        <w:spacing w:after="0" w:line="10" w:lineRule="exact"/>
        <w:rPr>
          <w:sz w:val="20"/>
          <w:szCs w:val="20"/>
          <w:color w:val="auto"/>
        </w:rPr>
      </w:pPr>
    </w:p>
    <w:p>
      <w:pPr>
        <w:sectPr>
          <w:pgSz w:w="11900" w:h="16838" w:orient="portrait"/>
          <w:cols w:equalWidth="0" w:num="2">
            <w:col w:w="2640" w:space="520"/>
            <w:col w:w="7079"/>
          </w:cols>
          <w:pgMar w:left="220" w:top="785" w:right="1440" w:bottom="1440" w:gutter="0" w:footer="0" w:header="0"/>
          <w:type w:val="continuous"/>
        </w:sectPr>
      </w:pPr>
    </w:p>
    <w:p>
      <w:pPr>
        <w:ind w:left="386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3860"/>
        <w:spacing w:after="0"/>
        <w:rPr>
          <w:sz w:val="20"/>
          <w:szCs w:val="20"/>
          <w:color w:val="auto"/>
        </w:rPr>
      </w:pPr>
      <w:r>
        <w:rPr>
          <w:rFonts w:ascii="Courier New" w:cs="Courier New" w:eastAsia="Courier New" w:hAnsi="Courier New"/>
          <w:sz w:val="15"/>
          <w:szCs w:val="15"/>
          <w:color w:val="auto"/>
        </w:rPr>
        <w:t>(Signed exactly as name appears</w:t>
      </w:r>
    </w:p>
    <w:p>
      <w:pPr>
        <w:spacing w:after="0" w:line="5" w:lineRule="exact"/>
        <w:rPr>
          <w:sz w:val="20"/>
          <w:szCs w:val="20"/>
          <w:color w:val="auto"/>
        </w:rPr>
      </w:pPr>
    </w:p>
    <w:p>
      <w:pPr>
        <w:ind w:left="3860"/>
        <w:spacing w:after="0"/>
        <w:rPr>
          <w:sz w:val="20"/>
          <w:szCs w:val="20"/>
          <w:color w:val="auto"/>
        </w:rPr>
      </w:pPr>
      <w:r>
        <w:rPr>
          <w:rFonts w:ascii="Courier New" w:cs="Courier New" w:eastAsia="Courier New" w:hAnsi="Courier New"/>
          <w:sz w:val="14"/>
          <w:szCs w:val="14"/>
          <w:color w:val="auto"/>
        </w:rPr>
        <w:t>on the other side of this Security)</w:t>
      </w:r>
    </w:p>
    <w:p>
      <w:pPr>
        <w:spacing w:after="0" w:line="3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Signature Guarantee:</w:t>
      </w:r>
    </w:p>
    <w:p>
      <w:pPr>
        <w:spacing w:after="0" w:line="5" w:lineRule="exact"/>
        <w:rPr>
          <w:sz w:val="20"/>
          <w:szCs w:val="20"/>
          <w:color w:val="auto"/>
        </w:rPr>
      </w:pPr>
    </w:p>
    <w:p>
      <w:pPr>
        <w:ind w:left="316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Participant in a recognized Signature</w:t>
      </w:r>
    </w:p>
    <w:p>
      <w:pPr>
        <w:ind w:left="3160"/>
        <w:spacing w:after="0" w:line="237" w:lineRule="auto"/>
        <w:rPr>
          <w:sz w:val="20"/>
          <w:szCs w:val="20"/>
          <w:color w:val="auto"/>
        </w:rPr>
      </w:pPr>
      <w:r>
        <w:rPr>
          <w:rFonts w:ascii="Courier New" w:cs="Courier New" w:eastAsia="Courier New" w:hAnsi="Courier New"/>
          <w:sz w:val="15"/>
          <w:szCs w:val="15"/>
          <w:color w:val="auto"/>
        </w:rPr>
        <w:t>Guarantee Medallion Program (or other</w:t>
      </w:r>
    </w:p>
    <w:p>
      <w:pPr>
        <w:ind w:left="3160"/>
        <w:spacing w:after="0" w:line="238" w:lineRule="auto"/>
        <w:rPr>
          <w:sz w:val="20"/>
          <w:szCs w:val="20"/>
          <w:color w:val="auto"/>
        </w:rPr>
      </w:pPr>
      <w:r>
        <w:rPr>
          <w:rFonts w:ascii="Courier New" w:cs="Courier New" w:eastAsia="Courier New" w:hAnsi="Courier New"/>
          <w:sz w:val="15"/>
          <w:szCs w:val="15"/>
          <w:color w:val="auto"/>
        </w:rPr>
        <w:t>signature guarantor program reasonably</w:t>
      </w:r>
    </w:p>
    <w:p>
      <w:pPr>
        <w:ind w:left="3160"/>
        <w:spacing w:after="0" w:line="237" w:lineRule="auto"/>
        <w:rPr>
          <w:sz w:val="20"/>
          <w:szCs w:val="20"/>
          <w:color w:val="auto"/>
        </w:rPr>
      </w:pPr>
      <w:r>
        <w:rPr>
          <w:rFonts w:ascii="Courier New" w:cs="Courier New" w:eastAsia="Courier New" w:hAnsi="Courier New"/>
          <w:sz w:val="15"/>
          <w:szCs w:val="15"/>
          <w:color w:val="auto"/>
        </w:rPr>
        <w:t>acceptable to the Trustee)</w:t>
      </w:r>
    </w:p>
    <w:p>
      <w:pPr>
        <w:sectPr>
          <w:pgSz w:w="11900" w:h="16838" w:orient="portrait"/>
          <w:cols w:equalWidth="0" w:num="1">
            <w:col w:w="10239"/>
          </w:cols>
          <w:pgMar w:left="220" w:top="785"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39"/>
          </w:cols>
          <w:pgMar w:left="220" w:top="785" w:right="1440" w:bottom="1440" w:gutter="0" w:footer="0" w:header="0"/>
          <w:type w:val="continuous"/>
        </w:sectPr>
      </w:pPr>
    </w:p>
    <w:bookmarkStart w:id="253" w:name="page254"/>
    <w:bookmarkEnd w:id="253"/>
    <w:p>
      <w:pPr>
        <w:jc w:val="right"/>
        <w:ind w:right="3239"/>
        <w:spacing w:after="0"/>
        <w:rPr>
          <w:sz w:val="20"/>
          <w:szCs w:val="20"/>
          <w:color w:val="auto"/>
        </w:rPr>
      </w:pPr>
      <w:r>
        <w:rPr>
          <w:rFonts w:ascii="Courier New" w:cs="Courier New" w:eastAsia="Courier New" w:hAnsi="Courier New"/>
          <w:sz w:val="15"/>
          <w:szCs w:val="15"/>
          <w:color w:val="auto"/>
        </w:rPr>
        <w:t>EXHIBIT 4.16</w:t>
      </w:r>
    </w:p>
    <w:p>
      <w:pPr>
        <w:spacing w:after="0" w:line="335"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COMCAST CORPORATION</w:t>
      </w:r>
    </w:p>
    <w:p>
      <w:pPr>
        <w:sectPr>
          <w:pgSz w:w="11900" w:h="16838" w:orient="portrait"/>
          <w:cols w:equalWidth="0" w:num="1">
            <w:col w:w="10239"/>
          </w:cols>
          <w:pgMar w:left="220" w:top="303" w:right="1440" w:bottom="1440" w:gutter="0" w:footer="0" w:header="0"/>
        </w:sectPr>
      </w:pPr>
    </w:p>
    <w:p>
      <w:pPr>
        <w:spacing w:after="0" w:line="341" w:lineRule="exact"/>
        <w:rPr>
          <w:sz w:val="20"/>
          <w:szCs w:val="20"/>
          <w:color w:val="auto"/>
        </w:rPr>
      </w:pPr>
    </w:p>
    <w:p>
      <w:pPr>
        <w:ind w:left="2020"/>
        <w:spacing w:after="0"/>
        <w:rPr>
          <w:sz w:val="20"/>
          <w:szCs w:val="20"/>
          <w:color w:val="auto"/>
        </w:rPr>
      </w:pPr>
      <w:r>
        <w:rPr>
          <w:rFonts w:ascii="Courier New" w:cs="Courier New" w:eastAsia="Courier New" w:hAnsi="Courier New"/>
          <w:sz w:val="12"/>
          <w:szCs w:val="12"/>
          <w:color w:val="auto"/>
        </w:rPr>
        <w:t>[</w:t>
      </w:r>
    </w:p>
    <w:p>
      <w:pPr>
        <w:spacing w:after="0" w:line="20" w:lineRule="exact"/>
        <w:rPr>
          <w:sz w:val="20"/>
          <w:szCs w:val="20"/>
          <w:color w:val="auto"/>
        </w:rPr>
      </w:pPr>
      <w:r>
        <w:rPr>
          <w:sz w:val="20"/>
          <w:szCs w:val="20"/>
          <w:color w:val="auto"/>
        </w:rPr>
        <w:br w:type="column"/>
      </w:r>
    </w:p>
    <w:p>
      <w:pPr>
        <w:spacing w:after="0" w:line="321"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w:t>
      </w:r>
    </w:p>
    <w:p>
      <w:pPr>
        <w:spacing w:after="0" w:line="200" w:lineRule="exact"/>
        <w:rPr>
          <w:sz w:val="20"/>
          <w:szCs w:val="20"/>
          <w:color w:val="auto"/>
        </w:rPr>
      </w:pPr>
    </w:p>
    <w:p>
      <w:pPr>
        <w:sectPr>
          <w:pgSz w:w="11900" w:h="16838" w:orient="portrait"/>
          <w:cols w:equalWidth="0" w:num="2">
            <w:col w:w="4460" w:space="720"/>
            <w:col w:w="5059"/>
          </w:cols>
          <w:pgMar w:left="220" w:top="303" w:right="1440" w:bottom="1440" w:gutter="0" w:footer="0" w:header="0"/>
          <w:type w:val="continuous"/>
        </w:sectPr>
      </w:pPr>
    </w:p>
    <w:p>
      <w:pPr>
        <w:spacing w:after="0" w:line="162"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AND</w:t>
      </w:r>
    </w:p>
    <w:p>
      <w:pPr>
        <w:spacing w:after="0" w:line="335"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THE HOLDERS FROM TIME TO TIME OF</w:t>
      </w:r>
    </w:p>
    <w:p>
      <w:pPr>
        <w:jc w:val="center"/>
        <w:ind w:right="3239"/>
        <w:spacing w:after="0" w:line="237" w:lineRule="auto"/>
        <w:rPr>
          <w:sz w:val="20"/>
          <w:szCs w:val="20"/>
          <w:color w:val="auto"/>
        </w:rPr>
      </w:pPr>
      <w:r>
        <w:rPr>
          <w:rFonts w:ascii="Courier New" w:cs="Courier New" w:eastAsia="Courier New" w:hAnsi="Courier New"/>
          <w:sz w:val="15"/>
          <w:szCs w:val="15"/>
          <w:color w:val="auto"/>
        </w:rPr>
        <w:t>THE DEPOSITARY RECEIPTS DESCRIBED HEREIN</w:t>
      </w:r>
    </w:p>
    <w:p>
      <w:pPr>
        <w:spacing w:after="0" w:line="200" w:lineRule="exact"/>
        <w:rPr>
          <w:sz w:val="20"/>
          <w:szCs w:val="20"/>
          <w:color w:val="auto"/>
        </w:rPr>
      </w:pPr>
    </w:p>
    <w:p>
      <w:pPr>
        <w:spacing w:after="0" w:line="303"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DEPOSIT AGREEMENT</w:t>
      </w:r>
    </w:p>
    <w:p>
      <w:pPr>
        <w:spacing w:after="0" w:line="200" w:lineRule="exact"/>
        <w:rPr>
          <w:sz w:val="20"/>
          <w:szCs w:val="20"/>
          <w:color w:val="auto"/>
        </w:rPr>
      </w:pPr>
    </w:p>
    <w:p>
      <w:pPr>
        <w:spacing w:after="0" w:line="303"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Dated as of __________, 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TABLE OF CONTENTS</w:t>
      </w:r>
    </w:p>
    <w:p>
      <w:pPr>
        <w:spacing w:after="0" w:line="166" w:lineRule="exact"/>
        <w:rPr>
          <w:sz w:val="20"/>
          <w:szCs w:val="20"/>
          <w:color w:val="auto"/>
        </w:rPr>
      </w:pPr>
    </w:p>
    <w:p>
      <w:pPr>
        <w:ind w:left="6560"/>
        <w:spacing w:after="0"/>
        <w:rPr>
          <w:sz w:val="20"/>
          <w:szCs w:val="20"/>
          <w:color w:val="auto"/>
        </w:rPr>
      </w:pPr>
      <w:r>
        <w:rPr>
          <w:rFonts w:ascii="Courier New" w:cs="Courier New" w:eastAsia="Courier New" w:hAnsi="Courier New"/>
          <w:sz w:val="15"/>
          <w:szCs w:val="15"/>
          <w:color w:val="auto"/>
        </w:rPr>
        <w:t>PAGE</w:t>
      </w:r>
    </w:p>
    <w:p>
      <w:pPr>
        <w:spacing w:after="0" w:line="166"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ARTICLE 1</w:t>
      </w:r>
    </w:p>
    <w:p>
      <w:pPr>
        <w:ind w:left="3080"/>
        <w:spacing w:after="0" w:line="237" w:lineRule="auto"/>
        <w:rPr>
          <w:sz w:val="20"/>
          <w:szCs w:val="20"/>
          <w:color w:val="auto"/>
        </w:rPr>
      </w:pPr>
      <w:r>
        <w:rPr>
          <w:rFonts w:ascii="Courier New" w:cs="Courier New" w:eastAsia="Courier New" w:hAnsi="Courier New"/>
          <w:sz w:val="15"/>
          <w:szCs w:val="15"/>
          <w:color w:val="auto"/>
        </w:rPr>
        <w:t>DEFINITIONS</w:t>
      </w:r>
    </w:p>
    <w:p>
      <w:pPr>
        <w:spacing w:after="0" w:line="167" w:lineRule="exact"/>
        <w:rPr>
          <w:sz w:val="20"/>
          <w:szCs w:val="20"/>
          <w:color w:val="auto"/>
        </w:rPr>
      </w:pPr>
    </w:p>
    <w:p>
      <w:pPr>
        <w:spacing w:after="0"/>
        <w:tabs>
          <w:tab w:leader="none" w:pos="1560" w:val="left"/>
          <w:tab w:leader="dot" w:pos="6900" w:val="left"/>
        </w:tabs>
        <w:rPr>
          <w:sz w:val="20"/>
          <w:szCs w:val="20"/>
          <w:color w:val="auto"/>
        </w:rPr>
      </w:pPr>
      <w:r>
        <w:rPr>
          <w:rFonts w:ascii="Courier New" w:cs="Courier New" w:eastAsia="Courier New" w:hAnsi="Courier New"/>
          <w:sz w:val="15"/>
          <w:szCs w:val="15"/>
          <w:color w:val="auto"/>
        </w:rPr>
        <w:t>Section 1.01.</w:t>
      </w:r>
      <w:r>
        <w:rPr>
          <w:sz w:val="20"/>
          <w:szCs w:val="20"/>
          <w:color w:val="auto"/>
        </w:rPr>
        <w:tab/>
      </w:r>
      <w:r>
        <w:rPr>
          <w:rFonts w:ascii="Courier New" w:cs="Courier New" w:eastAsia="Courier New" w:hAnsi="Courier New"/>
          <w:sz w:val="15"/>
          <w:szCs w:val="15"/>
          <w:color w:val="auto"/>
        </w:rPr>
        <w:t>Definitions</w:t>
      </w:r>
      <w:r>
        <w:rPr>
          <w:sz w:val="20"/>
          <w:szCs w:val="20"/>
          <w:color w:val="auto"/>
        </w:rPr>
        <w:tab/>
      </w:r>
      <w:r>
        <w:rPr>
          <w:rFonts w:ascii="Courier New" w:cs="Courier New" w:eastAsia="Courier New" w:hAnsi="Courier New"/>
          <w:sz w:val="12"/>
          <w:szCs w:val="12"/>
          <w:color w:val="auto"/>
        </w:rPr>
        <w:t>1</w:t>
      </w:r>
    </w:p>
    <w:p>
      <w:pPr>
        <w:spacing w:after="0" w:line="335"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ARTICLE 2</w:t>
      </w:r>
    </w:p>
    <w:p>
      <w:pPr>
        <w:ind w:left="540"/>
        <w:spacing w:after="0" w:line="237" w:lineRule="auto"/>
        <w:rPr>
          <w:sz w:val="20"/>
          <w:szCs w:val="20"/>
          <w:color w:val="auto"/>
        </w:rPr>
      </w:pPr>
      <w:r>
        <w:rPr>
          <w:rFonts w:ascii="Courier New" w:cs="Courier New" w:eastAsia="Courier New" w:hAnsi="Courier New"/>
          <w:sz w:val="15"/>
          <w:szCs w:val="15"/>
          <w:color w:val="auto"/>
        </w:rPr>
        <w:t>FORM OF RECEIPTS, DEPOSIT OF STOCK, EXECUTION AND DELIVERY, TRANSFER,</w:t>
      </w:r>
    </w:p>
    <w:p>
      <w:pPr>
        <w:ind w:left="1940"/>
        <w:spacing w:after="0" w:line="238" w:lineRule="auto"/>
        <w:rPr>
          <w:sz w:val="20"/>
          <w:szCs w:val="20"/>
          <w:color w:val="auto"/>
        </w:rPr>
      </w:pPr>
      <w:r>
        <w:rPr>
          <w:rFonts w:ascii="Courier New" w:cs="Courier New" w:eastAsia="Courier New" w:hAnsi="Courier New"/>
          <w:sz w:val="15"/>
          <w:szCs w:val="15"/>
          <w:color w:val="auto"/>
        </w:rPr>
        <w:t>SURRENDER AND REDEMPTION OF RECEIPTS</w:t>
      </w:r>
    </w:p>
    <w:p>
      <w:pPr>
        <w:spacing w:after="0" w:line="167" w:lineRule="exact"/>
        <w:rPr>
          <w:sz w:val="20"/>
          <w:szCs w:val="20"/>
          <w:color w:val="auto"/>
        </w:rPr>
      </w:pPr>
    </w:p>
    <w:p>
      <w:pPr>
        <w:spacing w:after="0"/>
        <w:tabs>
          <w:tab w:leader="none" w:pos="1560" w:val="left"/>
          <w:tab w:leader="dot" w:pos="6900" w:val="left"/>
        </w:tabs>
        <w:rPr>
          <w:sz w:val="20"/>
          <w:szCs w:val="20"/>
          <w:color w:val="auto"/>
        </w:rPr>
      </w:pPr>
      <w:r>
        <w:rPr>
          <w:rFonts w:ascii="Courier New" w:cs="Courier New" w:eastAsia="Courier New" w:hAnsi="Courier New"/>
          <w:sz w:val="15"/>
          <w:szCs w:val="15"/>
          <w:color w:val="auto"/>
        </w:rPr>
        <w:t>Section 2.01.</w:t>
      </w:r>
      <w:r>
        <w:rPr>
          <w:sz w:val="20"/>
          <w:szCs w:val="20"/>
          <w:color w:val="auto"/>
        </w:rPr>
        <w:tab/>
      </w:r>
      <w:r>
        <w:rPr>
          <w:rFonts w:ascii="Courier New" w:cs="Courier New" w:eastAsia="Courier New" w:hAnsi="Courier New"/>
          <w:sz w:val="15"/>
          <w:szCs w:val="15"/>
          <w:color w:val="auto"/>
        </w:rPr>
        <w:t>Form and Transfer of Receipts</w:t>
      </w:r>
      <w:r>
        <w:rPr>
          <w:sz w:val="20"/>
          <w:szCs w:val="20"/>
          <w:color w:val="auto"/>
        </w:rPr>
        <w:tab/>
      </w:r>
      <w:r>
        <w:rPr>
          <w:rFonts w:ascii="Courier New" w:cs="Courier New" w:eastAsia="Courier New" w:hAnsi="Courier New"/>
          <w:sz w:val="12"/>
          <w:szCs w:val="12"/>
          <w:color w:val="auto"/>
        </w:rPr>
        <w:t>2</w:t>
      </w:r>
    </w:p>
    <w:p>
      <w:pPr>
        <w:spacing w:after="0"/>
        <w:tabs>
          <w:tab w:leader="none" w:pos="1560" w:val="left"/>
        </w:tabs>
        <w:rPr>
          <w:sz w:val="20"/>
          <w:szCs w:val="20"/>
          <w:color w:val="auto"/>
        </w:rPr>
      </w:pPr>
      <w:r>
        <w:rPr>
          <w:rFonts w:ascii="Courier New" w:cs="Courier New" w:eastAsia="Courier New" w:hAnsi="Courier New"/>
          <w:sz w:val="15"/>
          <w:szCs w:val="15"/>
          <w:color w:val="auto"/>
        </w:rPr>
        <w:t>Section 2.02.</w:t>
      </w:r>
      <w:r>
        <w:rPr>
          <w:sz w:val="20"/>
          <w:szCs w:val="20"/>
          <w:color w:val="auto"/>
        </w:rPr>
        <w:tab/>
      </w:r>
      <w:r>
        <w:rPr>
          <w:rFonts w:ascii="Courier New" w:cs="Courier New" w:eastAsia="Courier New" w:hAnsi="Courier New"/>
          <w:sz w:val="14"/>
          <w:szCs w:val="14"/>
          <w:color w:val="auto"/>
        </w:rPr>
        <w:t>Deposit of Stock; Execution and Delivery of Receipts in</w:t>
      </w:r>
    </w:p>
    <w:p>
      <w:pPr>
        <w:jc w:val="right"/>
        <w:ind w:right="3239"/>
        <w:spacing w:after="0"/>
        <w:tabs>
          <w:tab w:leader="dot" w:pos="60" w:val="left"/>
        </w:tabs>
        <w:rPr>
          <w:sz w:val="20"/>
          <w:szCs w:val="20"/>
          <w:color w:val="auto"/>
        </w:rPr>
      </w:pPr>
      <w:r>
        <w:rPr>
          <w:rFonts w:ascii="Courier New" w:cs="Courier New" w:eastAsia="Courier New" w:hAnsi="Courier New"/>
          <w:sz w:val="15"/>
          <w:szCs w:val="15"/>
          <w:color w:val="auto"/>
        </w:rPr>
        <w:t>Respect Thereof</w:t>
      </w:r>
      <w:r>
        <w:rPr>
          <w:sz w:val="20"/>
          <w:szCs w:val="20"/>
          <w:color w:val="auto"/>
        </w:rPr>
        <w:tab/>
      </w:r>
      <w:r>
        <w:rPr>
          <w:rFonts w:ascii="Courier New" w:cs="Courier New" w:eastAsia="Courier New" w:hAnsi="Courier New"/>
          <w:sz w:val="12"/>
          <w:szCs w:val="12"/>
          <w:color w:val="auto"/>
        </w:rPr>
        <w:t>3</w:t>
      </w:r>
    </w:p>
    <w:p>
      <w:pPr>
        <w:spacing w:after="0"/>
        <w:tabs>
          <w:tab w:leader="none" w:pos="1560" w:val="left"/>
          <w:tab w:leader="dot" w:pos="6900" w:val="left"/>
        </w:tabs>
        <w:rPr>
          <w:sz w:val="20"/>
          <w:szCs w:val="20"/>
          <w:color w:val="auto"/>
        </w:rPr>
      </w:pPr>
      <w:r>
        <w:rPr>
          <w:rFonts w:ascii="Courier New" w:cs="Courier New" w:eastAsia="Courier New" w:hAnsi="Courier New"/>
          <w:sz w:val="15"/>
          <w:szCs w:val="15"/>
          <w:color w:val="auto"/>
        </w:rPr>
        <w:t>Section 2.03.</w:t>
      </w:r>
      <w:r>
        <w:rPr>
          <w:sz w:val="20"/>
          <w:szCs w:val="20"/>
          <w:color w:val="auto"/>
        </w:rPr>
        <w:tab/>
      </w:r>
      <w:r>
        <w:rPr>
          <w:rFonts w:ascii="Courier New" w:cs="Courier New" w:eastAsia="Courier New" w:hAnsi="Courier New"/>
          <w:sz w:val="15"/>
          <w:szCs w:val="15"/>
          <w:color w:val="auto"/>
        </w:rPr>
        <w:t>Registration of Transfer of Receipts</w:t>
      </w:r>
      <w:r>
        <w:rPr>
          <w:sz w:val="20"/>
          <w:szCs w:val="20"/>
          <w:color w:val="auto"/>
        </w:rPr>
        <w:tab/>
      </w:r>
      <w:r>
        <w:rPr>
          <w:rFonts w:ascii="Courier New" w:cs="Courier New" w:eastAsia="Courier New" w:hAnsi="Courier New"/>
          <w:sz w:val="12"/>
          <w:szCs w:val="12"/>
          <w:color w:val="auto"/>
        </w:rPr>
        <w:t>4</w:t>
      </w:r>
    </w:p>
    <w:p>
      <w:pPr>
        <w:spacing w:after="0"/>
        <w:tabs>
          <w:tab w:leader="none" w:pos="1560" w:val="left"/>
        </w:tabs>
        <w:rPr>
          <w:sz w:val="20"/>
          <w:szCs w:val="20"/>
          <w:color w:val="auto"/>
        </w:rPr>
      </w:pPr>
      <w:r>
        <w:rPr>
          <w:rFonts w:ascii="Courier New" w:cs="Courier New" w:eastAsia="Courier New" w:hAnsi="Courier New"/>
          <w:sz w:val="15"/>
          <w:szCs w:val="15"/>
          <w:color w:val="auto"/>
        </w:rPr>
        <w:t>Section 2.04.</w:t>
      </w:r>
      <w:r>
        <w:rPr>
          <w:sz w:val="20"/>
          <w:szCs w:val="20"/>
          <w:color w:val="auto"/>
        </w:rPr>
        <w:tab/>
      </w:r>
      <w:r>
        <w:rPr>
          <w:rFonts w:ascii="Courier New" w:cs="Courier New" w:eastAsia="Courier New" w:hAnsi="Courier New"/>
          <w:sz w:val="14"/>
          <w:szCs w:val="14"/>
          <w:color w:val="auto"/>
        </w:rPr>
        <w:t>Split-ups and Combinations of Receipts; Surrender of Receipts</w:t>
      </w:r>
    </w:p>
    <w:p>
      <w:pPr>
        <w:jc w:val="right"/>
        <w:ind w:right="3239"/>
        <w:spacing w:after="0"/>
        <w:tabs>
          <w:tab w:leader="dot" w:pos="60" w:val="left"/>
        </w:tabs>
        <w:rPr>
          <w:sz w:val="20"/>
          <w:szCs w:val="20"/>
          <w:color w:val="auto"/>
        </w:rPr>
      </w:pPr>
      <w:r>
        <w:rPr>
          <w:rFonts w:ascii="Courier New" w:cs="Courier New" w:eastAsia="Courier New" w:hAnsi="Courier New"/>
          <w:sz w:val="15"/>
          <w:szCs w:val="15"/>
          <w:color w:val="auto"/>
        </w:rPr>
        <w:t>and Withdrawal of Stock</w:t>
      </w:r>
      <w:r>
        <w:rPr>
          <w:sz w:val="20"/>
          <w:szCs w:val="20"/>
          <w:color w:val="auto"/>
        </w:rPr>
        <w:tab/>
      </w:r>
      <w:r>
        <w:rPr>
          <w:rFonts w:ascii="Courier New" w:cs="Courier New" w:eastAsia="Courier New" w:hAnsi="Courier New"/>
          <w:sz w:val="12"/>
          <w:szCs w:val="12"/>
          <w:color w:val="auto"/>
        </w:rPr>
        <w:t>4</w:t>
      </w:r>
    </w:p>
    <w:p>
      <w:pPr>
        <w:spacing w:after="0"/>
        <w:tabs>
          <w:tab w:leader="none" w:pos="1560" w:val="left"/>
        </w:tabs>
        <w:rPr>
          <w:sz w:val="20"/>
          <w:szCs w:val="20"/>
          <w:color w:val="auto"/>
        </w:rPr>
      </w:pPr>
      <w:r>
        <w:rPr>
          <w:rFonts w:ascii="Courier New" w:cs="Courier New" w:eastAsia="Courier New" w:hAnsi="Courier New"/>
          <w:sz w:val="15"/>
          <w:szCs w:val="15"/>
          <w:color w:val="auto"/>
        </w:rPr>
        <w:t>Section 2.05.</w:t>
      </w:r>
      <w:r>
        <w:rPr>
          <w:sz w:val="20"/>
          <w:szCs w:val="20"/>
          <w:color w:val="auto"/>
        </w:rPr>
        <w:tab/>
      </w:r>
      <w:r>
        <w:rPr>
          <w:rFonts w:ascii="Courier New" w:cs="Courier New" w:eastAsia="Courier New" w:hAnsi="Courier New"/>
          <w:sz w:val="14"/>
          <w:szCs w:val="14"/>
          <w:color w:val="auto"/>
        </w:rPr>
        <w:t>Limitations on Execution and Delivery, Transfers, Surrender</w:t>
      </w:r>
    </w:p>
    <w:p>
      <w:pPr>
        <w:jc w:val="right"/>
        <w:ind w:right="3239"/>
        <w:spacing w:after="0"/>
        <w:tabs>
          <w:tab w:leader="dot" w:pos="60" w:val="left"/>
        </w:tabs>
        <w:rPr>
          <w:sz w:val="20"/>
          <w:szCs w:val="20"/>
          <w:color w:val="auto"/>
        </w:rPr>
      </w:pPr>
      <w:r>
        <w:rPr>
          <w:rFonts w:ascii="Courier New" w:cs="Courier New" w:eastAsia="Courier New" w:hAnsi="Courier New"/>
          <w:sz w:val="15"/>
          <w:szCs w:val="15"/>
          <w:color w:val="auto"/>
        </w:rPr>
        <w:t>and Exchange of Receipts</w:t>
      </w:r>
      <w:r>
        <w:rPr>
          <w:sz w:val="20"/>
          <w:szCs w:val="20"/>
          <w:color w:val="auto"/>
        </w:rPr>
        <w:tab/>
      </w:r>
      <w:r>
        <w:rPr>
          <w:rFonts w:ascii="Courier New" w:cs="Courier New" w:eastAsia="Courier New" w:hAnsi="Courier New"/>
          <w:sz w:val="12"/>
          <w:szCs w:val="12"/>
          <w:color w:val="auto"/>
        </w:rPr>
        <w:t>5</w:t>
      </w:r>
    </w:p>
    <w:p>
      <w:pPr>
        <w:spacing w:after="0"/>
        <w:tabs>
          <w:tab w:leader="none" w:pos="1560" w:val="left"/>
          <w:tab w:leader="dot" w:pos="6900" w:val="left"/>
        </w:tabs>
        <w:rPr>
          <w:sz w:val="20"/>
          <w:szCs w:val="20"/>
          <w:color w:val="auto"/>
        </w:rPr>
      </w:pPr>
      <w:r>
        <w:rPr>
          <w:rFonts w:ascii="Courier New" w:cs="Courier New" w:eastAsia="Courier New" w:hAnsi="Courier New"/>
          <w:sz w:val="15"/>
          <w:szCs w:val="15"/>
          <w:color w:val="auto"/>
        </w:rPr>
        <w:t>Section 2.06.</w:t>
      </w:r>
      <w:r>
        <w:rPr>
          <w:sz w:val="20"/>
          <w:szCs w:val="20"/>
          <w:color w:val="auto"/>
        </w:rPr>
        <w:tab/>
      </w:r>
      <w:r>
        <w:rPr>
          <w:rFonts w:ascii="Courier New" w:cs="Courier New" w:eastAsia="Courier New" w:hAnsi="Courier New"/>
          <w:sz w:val="15"/>
          <w:szCs w:val="15"/>
          <w:color w:val="auto"/>
        </w:rPr>
        <w:t>Lost Receipts, Etc</w:t>
      </w:r>
      <w:r>
        <w:rPr>
          <w:sz w:val="20"/>
          <w:szCs w:val="20"/>
          <w:color w:val="auto"/>
        </w:rPr>
        <w:tab/>
      </w:r>
      <w:r>
        <w:rPr>
          <w:rFonts w:ascii="Courier New" w:cs="Courier New" w:eastAsia="Courier New" w:hAnsi="Courier New"/>
          <w:sz w:val="12"/>
          <w:szCs w:val="12"/>
          <w:color w:val="auto"/>
        </w:rPr>
        <w:t>5</w:t>
      </w:r>
    </w:p>
    <w:p>
      <w:pPr>
        <w:spacing w:after="0"/>
        <w:tabs>
          <w:tab w:leader="none" w:pos="1560" w:val="left"/>
          <w:tab w:leader="dot" w:pos="6900" w:val="left"/>
        </w:tabs>
        <w:rPr>
          <w:sz w:val="20"/>
          <w:szCs w:val="20"/>
          <w:color w:val="auto"/>
        </w:rPr>
      </w:pPr>
      <w:r>
        <w:rPr>
          <w:rFonts w:ascii="Courier New" w:cs="Courier New" w:eastAsia="Courier New" w:hAnsi="Courier New"/>
          <w:sz w:val="15"/>
          <w:szCs w:val="15"/>
          <w:color w:val="auto"/>
        </w:rPr>
        <w:t>Section 2.07.</w:t>
      </w:r>
      <w:r>
        <w:rPr>
          <w:sz w:val="20"/>
          <w:szCs w:val="20"/>
          <w:color w:val="auto"/>
        </w:rPr>
        <w:tab/>
      </w:r>
      <w:r>
        <w:rPr>
          <w:rFonts w:ascii="Courier New" w:cs="Courier New" w:eastAsia="Courier New" w:hAnsi="Courier New"/>
          <w:sz w:val="15"/>
          <w:szCs w:val="15"/>
          <w:color w:val="auto"/>
        </w:rPr>
        <w:t>Optional Redemption of Stock</w:t>
      </w:r>
      <w:r>
        <w:rPr>
          <w:sz w:val="20"/>
          <w:szCs w:val="20"/>
          <w:color w:val="auto"/>
        </w:rPr>
        <w:tab/>
      </w:r>
      <w:r>
        <w:rPr>
          <w:rFonts w:ascii="Courier New" w:cs="Courier New" w:eastAsia="Courier New" w:hAnsi="Courier New"/>
          <w:sz w:val="12"/>
          <w:szCs w:val="12"/>
          <w:color w:val="auto"/>
        </w:rPr>
        <w:t>6</w:t>
      </w:r>
    </w:p>
    <w:p>
      <w:pPr>
        <w:spacing w:after="0"/>
        <w:tabs>
          <w:tab w:leader="none" w:pos="1560" w:val="left"/>
          <w:tab w:leader="dot" w:pos="6900" w:val="left"/>
        </w:tabs>
        <w:rPr>
          <w:sz w:val="20"/>
          <w:szCs w:val="20"/>
          <w:color w:val="auto"/>
        </w:rPr>
      </w:pPr>
      <w:r>
        <w:rPr>
          <w:rFonts w:ascii="Courier New" w:cs="Courier New" w:eastAsia="Courier New" w:hAnsi="Courier New"/>
          <w:sz w:val="15"/>
          <w:szCs w:val="15"/>
          <w:color w:val="auto"/>
        </w:rPr>
        <w:t>Section 2.08.</w:t>
      </w:r>
      <w:r>
        <w:rPr>
          <w:sz w:val="20"/>
          <w:szCs w:val="20"/>
          <w:color w:val="auto"/>
        </w:rPr>
        <w:tab/>
      </w:r>
      <w:r>
        <w:rPr>
          <w:rFonts w:ascii="Courier New" w:cs="Courier New" w:eastAsia="Courier New" w:hAnsi="Courier New"/>
          <w:sz w:val="15"/>
          <w:szCs w:val="15"/>
          <w:color w:val="auto"/>
        </w:rPr>
        <w:t>Cancellation and Destruction of Surrendered Receipts</w:t>
      </w:r>
      <w:r>
        <w:rPr>
          <w:sz w:val="20"/>
          <w:szCs w:val="20"/>
          <w:color w:val="auto"/>
        </w:rPr>
        <w:tab/>
      </w:r>
      <w:r>
        <w:rPr>
          <w:rFonts w:ascii="Courier New" w:cs="Courier New" w:eastAsia="Courier New" w:hAnsi="Courier New"/>
          <w:sz w:val="12"/>
          <w:szCs w:val="12"/>
          <w:color w:val="auto"/>
        </w:rPr>
        <w:t>7</w:t>
      </w:r>
    </w:p>
    <w:p>
      <w:pPr>
        <w:spacing w:after="0" w:line="335"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ARTICLE 3</w:t>
      </w:r>
    </w:p>
    <w:p>
      <w:pPr>
        <w:ind w:left="980"/>
        <w:spacing w:after="0" w:line="237" w:lineRule="auto"/>
        <w:rPr>
          <w:sz w:val="20"/>
          <w:szCs w:val="20"/>
          <w:color w:val="auto"/>
        </w:rPr>
      </w:pPr>
      <w:r>
        <w:rPr>
          <w:rFonts w:ascii="Courier New" w:cs="Courier New" w:eastAsia="Courier New" w:hAnsi="Courier New"/>
          <w:sz w:val="15"/>
          <w:szCs w:val="15"/>
          <w:color w:val="auto"/>
        </w:rPr>
        <w:t>CERTAIN OBLIGATIONS OF HOLDERS OF RECEIPTS AND THE COMPANY</w:t>
      </w:r>
    </w:p>
    <w:p>
      <w:pPr>
        <w:spacing w:after="0" w:line="167" w:lineRule="exact"/>
        <w:rPr>
          <w:sz w:val="20"/>
          <w:szCs w:val="20"/>
          <w:color w:val="auto"/>
        </w:rPr>
      </w:pPr>
    </w:p>
    <w:p>
      <w:pPr>
        <w:spacing w:after="0"/>
        <w:tabs>
          <w:tab w:leader="none" w:pos="1560" w:val="left"/>
          <w:tab w:leader="dot" w:pos="6900" w:val="left"/>
        </w:tabs>
        <w:rPr>
          <w:sz w:val="20"/>
          <w:szCs w:val="20"/>
          <w:color w:val="auto"/>
        </w:rPr>
      </w:pPr>
      <w:r>
        <w:rPr>
          <w:rFonts w:ascii="Courier New" w:cs="Courier New" w:eastAsia="Courier New" w:hAnsi="Courier New"/>
          <w:sz w:val="15"/>
          <w:szCs w:val="15"/>
          <w:color w:val="auto"/>
        </w:rPr>
        <w:t>Section 3.01.</w:t>
      </w:r>
      <w:r>
        <w:rPr>
          <w:sz w:val="20"/>
          <w:szCs w:val="20"/>
          <w:color w:val="auto"/>
        </w:rPr>
        <w:tab/>
      </w:r>
      <w:r>
        <w:rPr>
          <w:rFonts w:ascii="Courier New" w:cs="Courier New" w:eastAsia="Courier New" w:hAnsi="Courier New"/>
          <w:sz w:val="15"/>
          <w:szCs w:val="15"/>
          <w:color w:val="auto"/>
        </w:rPr>
        <w:t>Filing Proofs, Certificates and other Information</w:t>
      </w:r>
      <w:r>
        <w:rPr>
          <w:sz w:val="20"/>
          <w:szCs w:val="20"/>
          <w:color w:val="auto"/>
        </w:rPr>
        <w:tab/>
      </w:r>
      <w:r>
        <w:rPr>
          <w:rFonts w:ascii="Courier New" w:cs="Courier New" w:eastAsia="Courier New" w:hAnsi="Courier New"/>
          <w:sz w:val="12"/>
          <w:szCs w:val="12"/>
          <w:color w:val="auto"/>
        </w:rPr>
        <w:t>7</w:t>
      </w:r>
    </w:p>
    <w:p>
      <w:pPr>
        <w:spacing w:after="0"/>
        <w:tabs>
          <w:tab w:leader="none" w:pos="1560" w:val="left"/>
          <w:tab w:leader="dot" w:pos="6900" w:val="left"/>
        </w:tabs>
        <w:rPr>
          <w:sz w:val="20"/>
          <w:szCs w:val="20"/>
          <w:color w:val="auto"/>
        </w:rPr>
      </w:pPr>
      <w:r>
        <w:rPr>
          <w:rFonts w:ascii="Courier New" w:cs="Courier New" w:eastAsia="Courier New" w:hAnsi="Courier New"/>
          <w:sz w:val="15"/>
          <w:szCs w:val="15"/>
          <w:color w:val="auto"/>
        </w:rPr>
        <w:t>Section 3.02.</w:t>
      </w:r>
      <w:r>
        <w:rPr>
          <w:sz w:val="20"/>
          <w:szCs w:val="20"/>
          <w:color w:val="auto"/>
        </w:rPr>
        <w:tab/>
      </w:r>
      <w:r>
        <w:rPr>
          <w:rFonts w:ascii="Courier New" w:cs="Courier New" w:eastAsia="Courier New" w:hAnsi="Courier New"/>
          <w:sz w:val="15"/>
          <w:szCs w:val="15"/>
          <w:color w:val="auto"/>
        </w:rPr>
        <w:t>Payment of Taxes or other Governmental Charges</w:t>
      </w:r>
      <w:r>
        <w:rPr>
          <w:sz w:val="20"/>
          <w:szCs w:val="20"/>
          <w:color w:val="auto"/>
        </w:rPr>
        <w:tab/>
      </w:r>
      <w:r>
        <w:rPr>
          <w:rFonts w:ascii="Courier New" w:cs="Courier New" w:eastAsia="Courier New" w:hAnsi="Courier New"/>
          <w:sz w:val="12"/>
          <w:szCs w:val="12"/>
          <w:color w:val="auto"/>
        </w:rPr>
        <w:t>7</w:t>
      </w:r>
    </w:p>
    <w:p>
      <w:pPr>
        <w:spacing w:after="0"/>
        <w:tabs>
          <w:tab w:leader="none" w:pos="1560" w:val="left"/>
          <w:tab w:leader="dot" w:pos="6900" w:val="left"/>
        </w:tabs>
        <w:rPr>
          <w:sz w:val="20"/>
          <w:szCs w:val="20"/>
          <w:color w:val="auto"/>
        </w:rPr>
      </w:pPr>
      <w:r>
        <w:rPr>
          <w:rFonts w:ascii="Courier New" w:cs="Courier New" w:eastAsia="Courier New" w:hAnsi="Courier New"/>
          <w:sz w:val="15"/>
          <w:szCs w:val="15"/>
          <w:color w:val="auto"/>
        </w:rPr>
        <w:t>Section 3.03.</w:t>
      </w:r>
      <w:r>
        <w:rPr>
          <w:sz w:val="20"/>
          <w:szCs w:val="20"/>
          <w:color w:val="auto"/>
        </w:rPr>
        <w:tab/>
      </w:r>
      <w:r>
        <w:rPr>
          <w:rFonts w:ascii="Courier New" w:cs="Courier New" w:eastAsia="Courier New" w:hAnsi="Courier New"/>
          <w:sz w:val="15"/>
          <w:szCs w:val="15"/>
          <w:color w:val="auto"/>
        </w:rPr>
        <w:t>Warranty as to Stock</w:t>
      </w:r>
      <w:r>
        <w:rPr>
          <w:sz w:val="20"/>
          <w:szCs w:val="20"/>
          <w:color w:val="auto"/>
        </w:rPr>
        <w:tab/>
      </w:r>
      <w:r>
        <w:rPr>
          <w:rFonts w:ascii="Courier New" w:cs="Courier New" w:eastAsia="Courier New" w:hAnsi="Courier New"/>
          <w:sz w:val="12"/>
          <w:szCs w:val="12"/>
          <w:color w:val="auto"/>
        </w:rPr>
        <w:t>8</w:t>
      </w:r>
    </w:p>
    <w:p>
      <w:pPr>
        <w:spacing w:after="0" w:line="335"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ARTICLE 4</w:t>
      </w:r>
    </w:p>
    <w:p>
      <w:pPr>
        <w:ind w:left="2100"/>
        <w:spacing w:after="0" w:line="237" w:lineRule="auto"/>
        <w:rPr>
          <w:sz w:val="20"/>
          <w:szCs w:val="20"/>
          <w:color w:val="auto"/>
        </w:rPr>
      </w:pPr>
      <w:r>
        <w:rPr>
          <w:rFonts w:ascii="Courier New" w:cs="Courier New" w:eastAsia="Courier New" w:hAnsi="Courier New"/>
          <w:sz w:val="15"/>
          <w:szCs w:val="15"/>
          <w:color w:val="auto"/>
        </w:rPr>
        <w:t>THE DEPOSITED SECURITIES; NOTICES</w:t>
      </w:r>
    </w:p>
    <w:p>
      <w:pPr>
        <w:spacing w:after="0" w:line="167" w:lineRule="exact"/>
        <w:rPr>
          <w:sz w:val="20"/>
          <w:szCs w:val="20"/>
          <w:color w:val="auto"/>
        </w:rPr>
      </w:pPr>
    </w:p>
    <w:p>
      <w:pPr>
        <w:spacing w:after="0"/>
        <w:tabs>
          <w:tab w:leader="none" w:pos="1560" w:val="left"/>
          <w:tab w:leader="dot" w:pos="6900" w:val="left"/>
        </w:tabs>
        <w:rPr>
          <w:sz w:val="20"/>
          <w:szCs w:val="20"/>
          <w:color w:val="auto"/>
        </w:rPr>
      </w:pPr>
      <w:r>
        <w:rPr>
          <w:rFonts w:ascii="Courier New" w:cs="Courier New" w:eastAsia="Courier New" w:hAnsi="Courier New"/>
          <w:sz w:val="15"/>
          <w:szCs w:val="15"/>
          <w:color w:val="auto"/>
        </w:rPr>
        <w:t>Section 4.01.</w:t>
      </w:r>
      <w:r>
        <w:rPr>
          <w:sz w:val="20"/>
          <w:szCs w:val="20"/>
          <w:color w:val="auto"/>
        </w:rPr>
        <w:tab/>
      </w:r>
      <w:r>
        <w:rPr>
          <w:rFonts w:ascii="Courier New" w:cs="Courier New" w:eastAsia="Courier New" w:hAnsi="Courier New"/>
          <w:sz w:val="15"/>
          <w:szCs w:val="15"/>
          <w:color w:val="auto"/>
        </w:rPr>
        <w:t>Cash Distributions</w:t>
      </w:r>
      <w:r>
        <w:rPr>
          <w:sz w:val="20"/>
          <w:szCs w:val="20"/>
          <w:color w:val="auto"/>
        </w:rPr>
        <w:tab/>
      </w:r>
      <w:r>
        <w:rPr>
          <w:rFonts w:ascii="Courier New" w:cs="Courier New" w:eastAsia="Courier New" w:hAnsi="Courier New"/>
          <w:sz w:val="12"/>
          <w:szCs w:val="12"/>
          <w:color w:val="auto"/>
        </w:rPr>
        <w:t>8</w:t>
      </w:r>
    </w:p>
    <w:p>
      <w:pPr>
        <w:spacing w:after="0"/>
        <w:tabs>
          <w:tab w:leader="none" w:pos="1560" w:val="left"/>
        </w:tabs>
        <w:rPr>
          <w:sz w:val="20"/>
          <w:szCs w:val="20"/>
          <w:color w:val="auto"/>
        </w:rPr>
      </w:pPr>
      <w:r>
        <w:rPr>
          <w:rFonts w:ascii="Courier New" w:cs="Courier New" w:eastAsia="Courier New" w:hAnsi="Courier New"/>
          <w:sz w:val="15"/>
          <w:szCs w:val="15"/>
          <w:color w:val="auto"/>
        </w:rPr>
        <w:t>Section 4.02.</w:t>
      </w:r>
      <w:r>
        <w:rPr>
          <w:sz w:val="20"/>
          <w:szCs w:val="20"/>
          <w:color w:val="auto"/>
        </w:rPr>
        <w:tab/>
      </w:r>
      <w:r>
        <w:rPr>
          <w:rFonts w:ascii="Courier New" w:cs="Courier New" w:eastAsia="Courier New" w:hAnsi="Courier New"/>
          <w:sz w:val="14"/>
          <w:szCs w:val="14"/>
          <w:color w:val="auto"/>
        </w:rPr>
        <w:t>Distributions other than Cash, Rights, Preferences or</w:t>
      </w:r>
    </w:p>
    <w:p>
      <w:pPr>
        <w:jc w:val="right"/>
        <w:ind w:right="3239"/>
        <w:spacing w:after="0"/>
        <w:tabs>
          <w:tab w:leader="dot" w:pos="60" w:val="left"/>
        </w:tabs>
        <w:rPr>
          <w:sz w:val="20"/>
          <w:szCs w:val="20"/>
          <w:color w:val="auto"/>
        </w:rPr>
      </w:pPr>
      <w:r>
        <w:rPr>
          <w:rFonts w:ascii="Courier New" w:cs="Courier New" w:eastAsia="Courier New" w:hAnsi="Courier New"/>
          <w:sz w:val="15"/>
          <w:szCs w:val="15"/>
          <w:color w:val="auto"/>
        </w:rPr>
        <w:t>Privileges</w:t>
      </w:r>
      <w:r>
        <w:rPr>
          <w:sz w:val="20"/>
          <w:szCs w:val="20"/>
          <w:color w:val="auto"/>
        </w:rPr>
        <w:tab/>
      </w:r>
      <w:r>
        <w:rPr>
          <w:rFonts w:ascii="Courier New" w:cs="Courier New" w:eastAsia="Courier New" w:hAnsi="Courier New"/>
          <w:sz w:val="12"/>
          <w:szCs w:val="12"/>
          <w:color w:val="auto"/>
        </w:rPr>
        <w:t>8</w:t>
      </w:r>
    </w:p>
    <w:p>
      <w:pPr>
        <w:spacing w:after="0"/>
        <w:tabs>
          <w:tab w:leader="none" w:pos="1560" w:val="left"/>
          <w:tab w:leader="dot" w:pos="6900" w:val="left"/>
        </w:tabs>
        <w:rPr>
          <w:sz w:val="20"/>
          <w:szCs w:val="20"/>
          <w:color w:val="auto"/>
        </w:rPr>
      </w:pPr>
      <w:r>
        <w:rPr>
          <w:rFonts w:ascii="Courier New" w:cs="Courier New" w:eastAsia="Courier New" w:hAnsi="Courier New"/>
          <w:sz w:val="15"/>
          <w:szCs w:val="15"/>
          <w:color w:val="auto"/>
        </w:rPr>
        <w:t>Section 4.03.</w:t>
      </w:r>
      <w:r>
        <w:rPr>
          <w:sz w:val="20"/>
          <w:szCs w:val="20"/>
          <w:color w:val="auto"/>
        </w:rPr>
        <w:tab/>
      </w:r>
      <w:r>
        <w:rPr>
          <w:rFonts w:ascii="Courier New" w:cs="Courier New" w:eastAsia="Courier New" w:hAnsi="Courier New"/>
          <w:sz w:val="15"/>
          <w:szCs w:val="15"/>
          <w:color w:val="auto"/>
        </w:rPr>
        <w:t>Subscription Rights, Preferences or Privileges</w:t>
      </w:r>
      <w:r>
        <w:rPr>
          <w:sz w:val="20"/>
          <w:szCs w:val="20"/>
          <w:color w:val="auto"/>
        </w:rPr>
        <w:tab/>
      </w:r>
      <w:r>
        <w:rPr>
          <w:rFonts w:ascii="Courier New" w:cs="Courier New" w:eastAsia="Courier New" w:hAnsi="Courier New"/>
          <w:sz w:val="12"/>
          <w:szCs w:val="12"/>
          <w:color w:val="auto"/>
        </w:rPr>
        <w:t>9</w:t>
      </w:r>
    </w:p>
    <w:p>
      <w:pPr>
        <w:spacing w:after="0"/>
        <w:tabs>
          <w:tab w:leader="none" w:pos="1560" w:val="left"/>
        </w:tabs>
        <w:rPr>
          <w:sz w:val="20"/>
          <w:szCs w:val="20"/>
          <w:color w:val="auto"/>
        </w:rPr>
      </w:pPr>
      <w:r>
        <w:rPr>
          <w:rFonts w:ascii="Courier New" w:cs="Courier New" w:eastAsia="Courier New" w:hAnsi="Courier New"/>
          <w:sz w:val="15"/>
          <w:szCs w:val="15"/>
          <w:color w:val="auto"/>
        </w:rPr>
        <w:t>Section 4.04.</w:t>
      </w:r>
      <w:r>
        <w:rPr>
          <w:sz w:val="20"/>
          <w:szCs w:val="20"/>
          <w:color w:val="auto"/>
        </w:rPr>
        <w:tab/>
      </w:r>
      <w:r>
        <w:rPr>
          <w:rFonts w:ascii="Courier New" w:cs="Courier New" w:eastAsia="Courier New" w:hAnsi="Courier New"/>
          <w:sz w:val="14"/>
          <w:szCs w:val="14"/>
          <w:color w:val="auto"/>
        </w:rPr>
        <w:t>Notice of Dividends, Etc.; Fixing Record Date for Holders</w:t>
      </w:r>
    </w:p>
    <w:p>
      <w:pPr>
        <w:jc w:val="right"/>
        <w:ind w:right="3239"/>
        <w:spacing w:after="0"/>
        <w:tabs>
          <w:tab w:leader="dot" w:pos="140" w:val="left"/>
        </w:tabs>
        <w:rPr>
          <w:sz w:val="20"/>
          <w:szCs w:val="20"/>
          <w:color w:val="auto"/>
        </w:rPr>
      </w:pPr>
      <w:r>
        <w:rPr>
          <w:rFonts w:ascii="Courier New" w:cs="Courier New" w:eastAsia="Courier New" w:hAnsi="Courier New"/>
          <w:sz w:val="15"/>
          <w:szCs w:val="15"/>
          <w:color w:val="auto"/>
        </w:rPr>
        <w:t>of Receipts</w:t>
      </w:r>
      <w:r>
        <w:rPr>
          <w:sz w:val="20"/>
          <w:szCs w:val="20"/>
          <w:color w:val="auto"/>
        </w:rPr>
        <w:tab/>
      </w:r>
      <w:r>
        <w:rPr>
          <w:rFonts w:ascii="Courier New" w:cs="Courier New" w:eastAsia="Courier New" w:hAnsi="Courier New"/>
          <w:sz w:val="12"/>
          <w:szCs w:val="12"/>
          <w:color w:val="auto"/>
        </w:rPr>
        <w:t>10</w:t>
      </w:r>
    </w:p>
    <w:p>
      <w:pPr>
        <w:spacing w:after="0"/>
        <w:tabs>
          <w:tab w:leader="none" w:pos="1560" w:val="left"/>
          <w:tab w:leader="dot" w:pos="6820" w:val="left"/>
        </w:tabs>
        <w:rPr>
          <w:sz w:val="20"/>
          <w:szCs w:val="20"/>
          <w:color w:val="auto"/>
        </w:rPr>
      </w:pPr>
      <w:r>
        <w:rPr>
          <w:rFonts w:ascii="Courier New" w:cs="Courier New" w:eastAsia="Courier New" w:hAnsi="Courier New"/>
          <w:sz w:val="15"/>
          <w:szCs w:val="15"/>
          <w:color w:val="auto"/>
        </w:rPr>
        <w:t>Section 4.05.</w:t>
      </w:r>
      <w:r>
        <w:rPr>
          <w:sz w:val="20"/>
          <w:szCs w:val="20"/>
          <w:color w:val="auto"/>
        </w:rPr>
        <w:tab/>
      </w:r>
      <w:r>
        <w:rPr>
          <w:rFonts w:ascii="Courier New" w:cs="Courier New" w:eastAsia="Courier New" w:hAnsi="Courier New"/>
          <w:sz w:val="15"/>
          <w:szCs w:val="15"/>
          <w:color w:val="auto"/>
        </w:rPr>
        <w:t>Voting Rights</w:t>
      </w:r>
      <w:r>
        <w:rPr>
          <w:sz w:val="20"/>
          <w:szCs w:val="20"/>
          <w:color w:val="auto"/>
        </w:rPr>
        <w:tab/>
      </w:r>
      <w:r>
        <w:rPr>
          <w:rFonts w:ascii="Courier New" w:cs="Courier New" w:eastAsia="Courier New" w:hAnsi="Courier New"/>
          <w:sz w:val="12"/>
          <w:szCs w:val="12"/>
          <w:color w:val="auto"/>
        </w:rPr>
        <w:t>10</w:t>
      </w:r>
    </w:p>
    <w:p>
      <w:pPr>
        <w:spacing w:after="0"/>
        <w:tabs>
          <w:tab w:leader="none" w:pos="1560" w:val="left"/>
        </w:tabs>
        <w:rPr>
          <w:sz w:val="20"/>
          <w:szCs w:val="20"/>
          <w:color w:val="auto"/>
        </w:rPr>
      </w:pPr>
      <w:r>
        <w:rPr>
          <w:rFonts w:ascii="Courier New" w:cs="Courier New" w:eastAsia="Courier New" w:hAnsi="Courier New"/>
          <w:sz w:val="15"/>
          <w:szCs w:val="15"/>
          <w:color w:val="auto"/>
        </w:rPr>
        <w:t>Section 4.06.</w:t>
      </w:r>
      <w:r>
        <w:rPr>
          <w:sz w:val="20"/>
          <w:szCs w:val="20"/>
          <w:color w:val="auto"/>
        </w:rPr>
        <w:tab/>
      </w:r>
      <w:r>
        <w:rPr>
          <w:rFonts w:ascii="Courier New" w:cs="Courier New" w:eastAsia="Courier New" w:hAnsi="Courier New"/>
          <w:sz w:val="14"/>
          <w:szCs w:val="14"/>
          <w:color w:val="auto"/>
        </w:rPr>
        <w:t>Changes Affecting Deposited Securities and Reclassifications,</w:t>
      </w:r>
    </w:p>
    <w:p>
      <w:pPr>
        <w:jc w:val="right"/>
        <w:ind w:right="3239"/>
        <w:spacing w:after="0"/>
        <w:tabs>
          <w:tab w:leader="dot" w:pos="140" w:val="left"/>
        </w:tabs>
        <w:rPr>
          <w:sz w:val="20"/>
          <w:szCs w:val="20"/>
          <w:color w:val="auto"/>
        </w:rPr>
      </w:pPr>
      <w:r>
        <w:rPr>
          <w:rFonts w:ascii="Courier New" w:cs="Courier New" w:eastAsia="Courier New" w:hAnsi="Courier New"/>
          <w:sz w:val="15"/>
          <w:szCs w:val="15"/>
          <w:color w:val="auto"/>
        </w:rPr>
        <w:t>Recapitalizations, Etc</w:t>
      </w:r>
      <w:r>
        <w:rPr>
          <w:sz w:val="20"/>
          <w:szCs w:val="20"/>
          <w:color w:val="auto"/>
        </w:rPr>
        <w:tab/>
      </w:r>
      <w:r>
        <w:rPr>
          <w:rFonts w:ascii="Courier New" w:cs="Courier New" w:eastAsia="Courier New" w:hAnsi="Courier New"/>
          <w:sz w:val="12"/>
          <w:szCs w:val="12"/>
          <w:color w:val="auto"/>
        </w:rPr>
        <w:t>10</w:t>
      </w:r>
    </w:p>
    <w:p>
      <w:pPr>
        <w:spacing w:after="0"/>
        <w:tabs>
          <w:tab w:leader="none" w:pos="1560" w:val="left"/>
          <w:tab w:leader="dot" w:pos="6820" w:val="left"/>
        </w:tabs>
        <w:rPr>
          <w:sz w:val="20"/>
          <w:szCs w:val="20"/>
          <w:color w:val="auto"/>
        </w:rPr>
      </w:pPr>
      <w:r>
        <w:rPr>
          <w:rFonts w:ascii="Courier New" w:cs="Courier New" w:eastAsia="Courier New" w:hAnsi="Courier New"/>
          <w:sz w:val="15"/>
          <w:szCs w:val="15"/>
          <w:color w:val="auto"/>
        </w:rPr>
        <w:t>Section 4.07.</w:t>
      </w:r>
      <w:r>
        <w:rPr>
          <w:sz w:val="20"/>
          <w:szCs w:val="20"/>
          <w:color w:val="auto"/>
        </w:rPr>
        <w:tab/>
      </w:r>
      <w:r>
        <w:rPr>
          <w:rFonts w:ascii="Courier New" w:cs="Courier New" w:eastAsia="Courier New" w:hAnsi="Courier New"/>
          <w:sz w:val="15"/>
          <w:szCs w:val="15"/>
          <w:color w:val="auto"/>
        </w:rPr>
        <w:t>Delivery of Reports</w:t>
      </w:r>
      <w:r>
        <w:rPr>
          <w:sz w:val="20"/>
          <w:szCs w:val="20"/>
          <w:color w:val="auto"/>
        </w:rPr>
        <w:tab/>
      </w:r>
      <w:r>
        <w:rPr>
          <w:rFonts w:ascii="Courier New" w:cs="Courier New" w:eastAsia="Courier New" w:hAnsi="Courier New"/>
          <w:sz w:val="12"/>
          <w:szCs w:val="12"/>
          <w:color w:val="auto"/>
        </w:rPr>
        <w:t>11</w:t>
      </w:r>
    </w:p>
    <w:p>
      <w:pPr>
        <w:spacing w:after="0" w:line="335"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i</w:t>
      </w:r>
    </w:p>
    <w:p>
      <w:pPr>
        <w:sectPr>
          <w:pgSz w:w="11900" w:h="16838" w:orient="portrait"/>
          <w:cols w:equalWidth="0" w:num="1">
            <w:col w:w="10239"/>
          </w:cols>
          <w:pgMar w:left="220" w:top="303" w:right="1440" w:bottom="1440" w:gutter="0" w:footer="0" w:header="0"/>
          <w:type w:val="continuous"/>
        </w:sectPr>
      </w:pPr>
    </w:p>
    <w:bookmarkStart w:id="254" w:name="page255"/>
    <w:bookmarkEnd w:id="254"/>
    <w:p>
      <w:pPr>
        <w:spacing w:after="0"/>
        <w:tabs>
          <w:tab w:leader="none" w:pos="1560" w:val="left"/>
          <w:tab w:leader="dot" w:pos="6820" w:val="left"/>
        </w:tabs>
        <w:rPr>
          <w:sz w:val="20"/>
          <w:szCs w:val="20"/>
          <w:color w:val="auto"/>
        </w:rPr>
      </w:pPr>
      <w:r>
        <w:rPr>
          <w:rFonts w:ascii="Courier New" w:cs="Courier New" w:eastAsia="Courier New" w:hAnsi="Courier New"/>
          <w:sz w:val="15"/>
          <w:szCs w:val="15"/>
          <w:color w:val="auto"/>
        </w:rPr>
        <w:t>Section 4.08.</w:t>
      </w:r>
      <w:r>
        <w:rPr>
          <w:sz w:val="20"/>
          <w:szCs w:val="20"/>
          <w:color w:val="auto"/>
        </w:rPr>
        <w:tab/>
      </w:r>
      <w:r>
        <w:rPr>
          <w:rFonts w:ascii="Courier New" w:cs="Courier New" w:eastAsia="Courier New" w:hAnsi="Courier New"/>
          <w:sz w:val="15"/>
          <w:szCs w:val="15"/>
          <w:color w:val="auto"/>
        </w:rPr>
        <w:t>Lists of Receipt Holders</w:t>
      </w:r>
      <w:r>
        <w:rPr>
          <w:sz w:val="20"/>
          <w:szCs w:val="20"/>
          <w:color w:val="auto"/>
        </w:rPr>
        <w:tab/>
      </w:r>
      <w:r>
        <w:rPr>
          <w:rFonts w:ascii="Courier New" w:cs="Courier New" w:eastAsia="Courier New" w:hAnsi="Courier New"/>
          <w:sz w:val="12"/>
          <w:szCs w:val="12"/>
          <w:color w:val="auto"/>
        </w:rPr>
        <w:t>11</w:t>
      </w:r>
    </w:p>
    <w:p>
      <w:pPr>
        <w:spacing w:after="0" w:line="335"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ARTICLE 5</w:t>
      </w:r>
    </w:p>
    <w:p>
      <w:pPr>
        <w:ind w:left="440"/>
        <w:spacing w:after="0" w:line="237" w:lineRule="auto"/>
        <w:rPr>
          <w:sz w:val="20"/>
          <w:szCs w:val="20"/>
          <w:color w:val="auto"/>
        </w:rPr>
      </w:pPr>
      <w:r>
        <w:rPr>
          <w:rFonts w:ascii="Courier New" w:cs="Courier New" w:eastAsia="Courier New" w:hAnsi="Courier New"/>
          <w:sz w:val="15"/>
          <w:szCs w:val="15"/>
          <w:color w:val="auto"/>
        </w:rPr>
        <w:t>THE DEPOSITARY, THE DEPOSITARY'S AGENTS, THE REGISTRAR AND THE COMPANY</w:t>
      </w:r>
    </w:p>
    <w:p>
      <w:pPr>
        <w:spacing w:after="0" w:line="167"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5"/>
          <w:szCs w:val="15"/>
          <w:color w:val="auto"/>
        </w:rPr>
        <w:t>Section 5.01.</w:t>
      </w:r>
      <w:r>
        <w:rPr>
          <w:sz w:val="20"/>
          <w:szCs w:val="20"/>
          <w:color w:val="auto"/>
        </w:rPr>
        <w:tab/>
      </w:r>
      <w:r>
        <w:rPr>
          <w:rFonts w:ascii="Courier New" w:cs="Courier New" w:eastAsia="Courier New" w:hAnsi="Courier New"/>
          <w:sz w:val="14"/>
          <w:szCs w:val="14"/>
          <w:color w:val="auto"/>
        </w:rPr>
        <w:t>Maintenance of Offices, Agencies and Transfer Books by</w:t>
      </w:r>
    </w:p>
    <w:p>
      <w:pPr>
        <w:jc w:val="right"/>
        <w:ind w:right="3239"/>
        <w:spacing w:after="0"/>
        <w:tabs>
          <w:tab w:leader="dot" w:pos="140" w:val="left"/>
        </w:tabs>
        <w:rPr>
          <w:sz w:val="20"/>
          <w:szCs w:val="20"/>
          <w:color w:val="auto"/>
        </w:rPr>
      </w:pPr>
      <w:r>
        <w:rPr>
          <w:rFonts w:ascii="Courier New" w:cs="Courier New" w:eastAsia="Courier New" w:hAnsi="Courier New"/>
          <w:sz w:val="15"/>
          <w:szCs w:val="15"/>
          <w:color w:val="auto"/>
        </w:rPr>
        <w:t>the Depositary; Registrar</w:t>
      </w:r>
      <w:r>
        <w:rPr>
          <w:sz w:val="20"/>
          <w:szCs w:val="20"/>
          <w:color w:val="auto"/>
        </w:rPr>
        <w:tab/>
      </w:r>
      <w:r>
        <w:rPr>
          <w:rFonts w:ascii="Courier New" w:cs="Courier New" w:eastAsia="Courier New" w:hAnsi="Courier New"/>
          <w:sz w:val="12"/>
          <w:szCs w:val="12"/>
          <w:color w:val="auto"/>
        </w:rPr>
        <w:t>11</w:t>
      </w:r>
    </w:p>
    <w:p>
      <w:pPr>
        <w:spacing w:after="0"/>
        <w:tabs>
          <w:tab w:leader="none" w:pos="1560" w:val="left"/>
        </w:tabs>
        <w:rPr>
          <w:sz w:val="20"/>
          <w:szCs w:val="20"/>
          <w:color w:val="auto"/>
        </w:rPr>
      </w:pPr>
      <w:r>
        <w:rPr>
          <w:rFonts w:ascii="Courier New" w:cs="Courier New" w:eastAsia="Courier New" w:hAnsi="Courier New"/>
          <w:sz w:val="15"/>
          <w:szCs w:val="15"/>
          <w:color w:val="auto"/>
        </w:rPr>
        <w:t>Section 5.02.</w:t>
      </w:r>
      <w:r>
        <w:rPr>
          <w:sz w:val="20"/>
          <w:szCs w:val="20"/>
          <w:color w:val="auto"/>
        </w:rPr>
        <w:tab/>
      </w:r>
      <w:r>
        <w:rPr>
          <w:rFonts w:ascii="Courier New" w:cs="Courier New" w:eastAsia="Courier New" w:hAnsi="Courier New"/>
          <w:sz w:val="14"/>
          <w:szCs w:val="14"/>
          <w:color w:val="auto"/>
        </w:rPr>
        <w:t>Prevention of or Delay in Performance by the Depositary</w:t>
      </w:r>
    </w:p>
    <w:p>
      <w:pPr>
        <w:jc w:val="right"/>
        <w:ind w:right="3239"/>
        <w:spacing w:after="0"/>
        <w:tabs>
          <w:tab w:leader="dot" w:pos="140" w:val="left"/>
        </w:tabs>
        <w:rPr>
          <w:sz w:val="20"/>
          <w:szCs w:val="20"/>
          <w:color w:val="auto"/>
        </w:rPr>
      </w:pPr>
      <w:r>
        <w:rPr>
          <w:rFonts w:ascii="Courier New" w:cs="Courier New" w:eastAsia="Courier New" w:hAnsi="Courier New"/>
          <w:sz w:val="15"/>
          <w:szCs w:val="15"/>
          <w:color w:val="auto"/>
        </w:rPr>
        <w:t>or the Company</w:t>
      </w:r>
      <w:r>
        <w:rPr>
          <w:sz w:val="20"/>
          <w:szCs w:val="20"/>
          <w:color w:val="auto"/>
        </w:rPr>
        <w:tab/>
      </w:r>
      <w:r>
        <w:rPr>
          <w:rFonts w:ascii="Courier New" w:cs="Courier New" w:eastAsia="Courier New" w:hAnsi="Courier New"/>
          <w:sz w:val="12"/>
          <w:szCs w:val="12"/>
          <w:color w:val="auto"/>
        </w:rPr>
        <w:t>12</w:t>
      </w:r>
    </w:p>
    <w:p>
      <w:pPr>
        <w:spacing w:after="0"/>
        <w:tabs>
          <w:tab w:leader="none" w:pos="1560" w:val="left"/>
          <w:tab w:leader="dot" w:pos="6820" w:val="left"/>
        </w:tabs>
        <w:rPr>
          <w:sz w:val="20"/>
          <w:szCs w:val="20"/>
          <w:color w:val="auto"/>
        </w:rPr>
      </w:pPr>
      <w:r>
        <w:rPr>
          <w:rFonts w:ascii="Courier New" w:cs="Courier New" w:eastAsia="Courier New" w:hAnsi="Courier New"/>
          <w:sz w:val="15"/>
          <w:szCs w:val="15"/>
          <w:color w:val="auto"/>
        </w:rPr>
        <w:t>Section 5.03.</w:t>
      </w:r>
      <w:r>
        <w:rPr>
          <w:sz w:val="20"/>
          <w:szCs w:val="20"/>
          <w:color w:val="auto"/>
        </w:rPr>
        <w:tab/>
      </w:r>
      <w:r>
        <w:rPr>
          <w:rFonts w:ascii="Courier New" w:cs="Courier New" w:eastAsia="Courier New" w:hAnsi="Courier New"/>
          <w:sz w:val="15"/>
          <w:szCs w:val="15"/>
          <w:color w:val="auto"/>
        </w:rPr>
        <w:t>Obligation of the Depositary and the Company</w:t>
      </w:r>
      <w:r>
        <w:rPr>
          <w:sz w:val="20"/>
          <w:szCs w:val="20"/>
          <w:color w:val="auto"/>
        </w:rPr>
        <w:tab/>
      </w:r>
      <w:r>
        <w:rPr>
          <w:rFonts w:ascii="Courier New" w:cs="Courier New" w:eastAsia="Courier New" w:hAnsi="Courier New"/>
          <w:sz w:val="12"/>
          <w:szCs w:val="12"/>
          <w:color w:val="auto"/>
        </w:rPr>
        <w:t>12</w:t>
      </w:r>
    </w:p>
    <w:p>
      <w:pPr>
        <w:spacing w:after="0"/>
        <w:tabs>
          <w:tab w:leader="none" w:pos="1560" w:val="left"/>
        </w:tabs>
        <w:rPr>
          <w:sz w:val="20"/>
          <w:szCs w:val="20"/>
          <w:color w:val="auto"/>
        </w:rPr>
      </w:pPr>
      <w:r>
        <w:rPr>
          <w:rFonts w:ascii="Courier New" w:cs="Courier New" w:eastAsia="Courier New" w:hAnsi="Courier New"/>
          <w:sz w:val="15"/>
          <w:szCs w:val="15"/>
          <w:color w:val="auto"/>
        </w:rPr>
        <w:t>Section 5.04.</w:t>
      </w:r>
      <w:r>
        <w:rPr>
          <w:sz w:val="20"/>
          <w:szCs w:val="20"/>
          <w:color w:val="auto"/>
        </w:rPr>
        <w:tab/>
      </w:r>
      <w:r>
        <w:rPr>
          <w:rFonts w:ascii="Courier New" w:cs="Courier New" w:eastAsia="Courier New" w:hAnsi="Courier New"/>
          <w:sz w:val="14"/>
          <w:szCs w:val="14"/>
          <w:color w:val="auto"/>
        </w:rPr>
        <w:t>Resignation and Removal of the Depositary; Appointment</w:t>
      </w:r>
    </w:p>
    <w:p>
      <w:pPr>
        <w:jc w:val="right"/>
        <w:ind w:right="3239"/>
        <w:spacing w:after="0"/>
        <w:tabs>
          <w:tab w:leader="none" w:pos="4180" w:val="left"/>
          <w:tab w:leader="dot" w:pos="140" w:val="left"/>
        </w:tabs>
        <w:rPr>
          <w:sz w:val="20"/>
          <w:szCs w:val="20"/>
          <w:color w:val="auto"/>
        </w:rPr>
      </w:pPr>
      <w:r>
        <w:rPr>
          <w:rFonts w:ascii="Courier New" w:cs="Courier New" w:eastAsia="Courier New" w:hAnsi="Courier New"/>
          <w:sz w:val="15"/>
          <w:szCs w:val="15"/>
          <w:color w:val="auto"/>
        </w:rPr>
        <w:t>of Successor</w:t>
        <w:tab/>
        <w:t>Depositary</w:t>
      </w:r>
      <w:r>
        <w:rPr>
          <w:sz w:val="20"/>
          <w:szCs w:val="20"/>
          <w:color w:val="auto"/>
        </w:rPr>
        <w:tab/>
      </w:r>
      <w:r>
        <w:rPr>
          <w:rFonts w:ascii="Courier New" w:cs="Courier New" w:eastAsia="Courier New" w:hAnsi="Courier New"/>
          <w:sz w:val="12"/>
          <w:szCs w:val="12"/>
          <w:color w:val="auto"/>
        </w:rPr>
        <w:t>13</w:t>
      </w:r>
    </w:p>
    <w:p>
      <w:pPr>
        <w:spacing w:after="0"/>
        <w:tabs>
          <w:tab w:leader="none" w:pos="1560" w:val="left"/>
          <w:tab w:leader="dot" w:pos="6820" w:val="left"/>
        </w:tabs>
        <w:rPr>
          <w:sz w:val="20"/>
          <w:szCs w:val="20"/>
          <w:color w:val="auto"/>
        </w:rPr>
      </w:pPr>
      <w:r>
        <w:rPr>
          <w:rFonts w:ascii="Courier New" w:cs="Courier New" w:eastAsia="Courier New" w:hAnsi="Courier New"/>
          <w:sz w:val="15"/>
          <w:szCs w:val="15"/>
          <w:color w:val="auto"/>
        </w:rPr>
        <w:t>Section 5.05.</w:t>
      </w:r>
      <w:r>
        <w:rPr>
          <w:sz w:val="20"/>
          <w:szCs w:val="20"/>
          <w:color w:val="auto"/>
        </w:rPr>
        <w:tab/>
      </w:r>
      <w:r>
        <w:rPr>
          <w:rFonts w:ascii="Courier New" w:cs="Courier New" w:eastAsia="Courier New" w:hAnsi="Courier New"/>
          <w:sz w:val="15"/>
          <w:szCs w:val="15"/>
          <w:color w:val="auto"/>
        </w:rPr>
        <w:t>Corporate Notices and Reports</w:t>
      </w:r>
      <w:r>
        <w:rPr>
          <w:sz w:val="20"/>
          <w:szCs w:val="20"/>
          <w:color w:val="auto"/>
        </w:rPr>
        <w:tab/>
      </w:r>
      <w:r>
        <w:rPr>
          <w:rFonts w:ascii="Courier New" w:cs="Courier New" w:eastAsia="Courier New" w:hAnsi="Courier New"/>
          <w:sz w:val="12"/>
          <w:szCs w:val="12"/>
          <w:color w:val="auto"/>
        </w:rPr>
        <w:t>14</w:t>
      </w:r>
    </w:p>
    <w:p>
      <w:pPr>
        <w:spacing w:after="0"/>
        <w:tabs>
          <w:tab w:leader="none" w:pos="1560" w:val="left"/>
          <w:tab w:leader="dot" w:pos="6820" w:val="left"/>
        </w:tabs>
        <w:rPr>
          <w:sz w:val="20"/>
          <w:szCs w:val="20"/>
          <w:color w:val="auto"/>
        </w:rPr>
      </w:pPr>
      <w:r>
        <w:rPr>
          <w:rFonts w:ascii="Courier New" w:cs="Courier New" w:eastAsia="Courier New" w:hAnsi="Courier New"/>
          <w:sz w:val="15"/>
          <w:szCs w:val="15"/>
          <w:color w:val="auto"/>
        </w:rPr>
        <w:t>Section 5.06.</w:t>
      </w:r>
      <w:r>
        <w:rPr>
          <w:sz w:val="20"/>
          <w:szCs w:val="20"/>
          <w:color w:val="auto"/>
        </w:rPr>
        <w:tab/>
      </w:r>
      <w:r>
        <w:rPr>
          <w:rFonts w:ascii="Courier New" w:cs="Courier New" w:eastAsia="Courier New" w:hAnsi="Courier New"/>
          <w:sz w:val="15"/>
          <w:szCs w:val="15"/>
          <w:color w:val="auto"/>
        </w:rPr>
        <w:t>Indemnification</w:t>
      </w:r>
      <w:r>
        <w:rPr>
          <w:sz w:val="20"/>
          <w:szCs w:val="20"/>
          <w:color w:val="auto"/>
        </w:rPr>
        <w:tab/>
      </w:r>
      <w:r>
        <w:rPr>
          <w:rFonts w:ascii="Courier New" w:cs="Courier New" w:eastAsia="Courier New" w:hAnsi="Courier New"/>
          <w:sz w:val="12"/>
          <w:szCs w:val="12"/>
          <w:color w:val="auto"/>
        </w:rPr>
        <w:t>14</w:t>
      </w:r>
    </w:p>
    <w:p>
      <w:pPr>
        <w:spacing w:after="0"/>
        <w:tabs>
          <w:tab w:leader="none" w:pos="1560" w:val="left"/>
          <w:tab w:leader="dot" w:pos="6820" w:val="left"/>
        </w:tabs>
        <w:rPr>
          <w:sz w:val="20"/>
          <w:szCs w:val="20"/>
          <w:color w:val="auto"/>
        </w:rPr>
      </w:pPr>
      <w:r>
        <w:rPr>
          <w:rFonts w:ascii="Courier New" w:cs="Courier New" w:eastAsia="Courier New" w:hAnsi="Courier New"/>
          <w:sz w:val="15"/>
          <w:szCs w:val="15"/>
          <w:color w:val="auto"/>
        </w:rPr>
        <w:t>Section 5.07.</w:t>
      </w:r>
      <w:r>
        <w:rPr>
          <w:sz w:val="20"/>
          <w:szCs w:val="20"/>
          <w:color w:val="auto"/>
        </w:rPr>
        <w:tab/>
      </w:r>
      <w:r>
        <w:rPr>
          <w:rFonts w:ascii="Courier New" w:cs="Courier New" w:eastAsia="Courier New" w:hAnsi="Courier New"/>
          <w:sz w:val="15"/>
          <w:szCs w:val="15"/>
          <w:color w:val="auto"/>
        </w:rPr>
        <w:t>Charges and Expenses</w:t>
      </w:r>
      <w:r>
        <w:rPr>
          <w:sz w:val="20"/>
          <w:szCs w:val="20"/>
          <w:color w:val="auto"/>
        </w:rPr>
        <w:tab/>
      </w:r>
      <w:r>
        <w:rPr>
          <w:rFonts w:ascii="Courier New" w:cs="Courier New" w:eastAsia="Courier New" w:hAnsi="Courier New"/>
          <w:sz w:val="12"/>
          <w:szCs w:val="12"/>
          <w:color w:val="auto"/>
        </w:rPr>
        <w:t>15</w:t>
      </w:r>
    </w:p>
    <w:p>
      <w:pPr>
        <w:spacing w:after="0" w:line="335"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ARTICLE 6</w:t>
      </w:r>
    </w:p>
    <w:p>
      <w:pPr>
        <w:ind w:left="2460"/>
        <w:spacing w:after="0" w:line="237" w:lineRule="auto"/>
        <w:rPr>
          <w:sz w:val="20"/>
          <w:szCs w:val="20"/>
          <w:color w:val="auto"/>
        </w:rPr>
      </w:pPr>
      <w:r>
        <w:rPr>
          <w:rFonts w:ascii="Courier New" w:cs="Courier New" w:eastAsia="Courier New" w:hAnsi="Courier New"/>
          <w:sz w:val="15"/>
          <w:szCs w:val="15"/>
          <w:color w:val="auto"/>
        </w:rPr>
        <w:t>AMENDMENT AND TERMINATION</w:t>
      </w:r>
    </w:p>
    <w:p>
      <w:pPr>
        <w:spacing w:after="0" w:line="167" w:lineRule="exact"/>
        <w:rPr>
          <w:sz w:val="20"/>
          <w:szCs w:val="20"/>
          <w:color w:val="auto"/>
        </w:rPr>
      </w:pPr>
    </w:p>
    <w:p>
      <w:pPr>
        <w:spacing w:after="0"/>
        <w:tabs>
          <w:tab w:leader="none" w:pos="1560" w:val="left"/>
          <w:tab w:leader="dot" w:pos="6820" w:val="left"/>
        </w:tabs>
        <w:rPr>
          <w:sz w:val="20"/>
          <w:szCs w:val="20"/>
          <w:color w:val="auto"/>
        </w:rPr>
      </w:pPr>
      <w:r>
        <w:rPr>
          <w:rFonts w:ascii="Courier New" w:cs="Courier New" w:eastAsia="Courier New" w:hAnsi="Courier New"/>
          <w:sz w:val="15"/>
          <w:szCs w:val="15"/>
          <w:color w:val="auto"/>
        </w:rPr>
        <w:t>Section 6.01.</w:t>
      </w:r>
      <w:r>
        <w:rPr>
          <w:sz w:val="20"/>
          <w:szCs w:val="20"/>
          <w:color w:val="auto"/>
        </w:rPr>
        <w:tab/>
      </w:r>
      <w:r>
        <w:rPr>
          <w:rFonts w:ascii="Courier New" w:cs="Courier New" w:eastAsia="Courier New" w:hAnsi="Courier New"/>
          <w:sz w:val="15"/>
          <w:szCs w:val="15"/>
          <w:color w:val="auto"/>
        </w:rPr>
        <w:t>Amendment</w:t>
      </w:r>
      <w:r>
        <w:rPr>
          <w:sz w:val="20"/>
          <w:szCs w:val="20"/>
          <w:color w:val="auto"/>
        </w:rPr>
        <w:tab/>
      </w:r>
      <w:r>
        <w:rPr>
          <w:rFonts w:ascii="Courier New" w:cs="Courier New" w:eastAsia="Courier New" w:hAnsi="Courier New"/>
          <w:sz w:val="12"/>
          <w:szCs w:val="12"/>
          <w:color w:val="auto"/>
        </w:rPr>
        <w:t>15</w:t>
      </w:r>
    </w:p>
    <w:p>
      <w:pPr>
        <w:spacing w:after="0"/>
        <w:tabs>
          <w:tab w:leader="none" w:pos="1560" w:val="left"/>
          <w:tab w:leader="dot" w:pos="6820" w:val="left"/>
        </w:tabs>
        <w:rPr>
          <w:sz w:val="20"/>
          <w:szCs w:val="20"/>
          <w:color w:val="auto"/>
        </w:rPr>
      </w:pPr>
      <w:r>
        <w:rPr>
          <w:rFonts w:ascii="Courier New" w:cs="Courier New" w:eastAsia="Courier New" w:hAnsi="Courier New"/>
          <w:sz w:val="15"/>
          <w:szCs w:val="15"/>
          <w:color w:val="auto"/>
        </w:rPr>
        <w:t>Section 6.02.</w:t>
      </w:r>
      <w:r>
        <w:rPr>
          <w:sz w:val="20"/>
          <w:szCs w:val="20"/>
          <w:color w:val="auto"/>
        </w:rPr>
        <w:tab/>
      </w:r>
      <w:r>
        <w:rPr>
          <w:rFonts w:ascii="Courier New" w:cs="Courier New" w:eastAsia="Courier New" w:hAnsi="Courier New"/>
          <w:sz w:val="15"/>
          <w:szCs w:val="15"/>
          <w:color w:val="auto"/>
        </w:rPr>
        <w:t>Termination</w:t>
      </w:r>
      <w:r>
        <w:rPr>
          <w:sz w:val="20"/>
          <w:szCs w:val="20"/>
          <w:color w:val="auto"/>
        </w:rPr>
        <w:tab/>
      </w:r>
      <w:r>
        <w:rPr>
          <w:rFonts w:ascii="Courier New" w:cs="Courier New" w:eastAsia="Courier New" w:hAnsi="Courier New"/>
          <w:sz w:val="12"/>
          <w:szCs w:val="12"/>
          <w:color w:val="auto"/>
        </w:rPr>
        <w:t>15</w:t>
      </w:r>
    </w:p>
    <w:p>
      <w:pPr>
        <w:spacing w:after="0" w:line="335"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ARTICLE 7</w:t>
      </w:r>
    </w:p>
    <w:p>
      <w:pPr>
        <w:ind w:left="2980"/>
        <w:spacing w:after="0" w:line="237" w:lineRule="auto"/>
        <w:rPr>
          <w:sz w:val="20"/>
          <w:szCs w:val="20"/>
          <w:color w:val="auto"/>
        </w:rPr>
      </w:pPr>
      <w:r>
        <w:rPr>
          <w:rFonts w:ascii="Courier New" w:cs="Courier New" w:eastAsia="Courier New" w:hAnsi="Courier New"/>
          <w:sz w:val="15"/>
          <w:szCs w:val="15"/>
          <w:color w:val="auto"/>
        </w:rPr>
        <w:t>MISCELLANEOUS</w:t>
      </w:r>
    </w:p>
    <w:p>
      <w:pPr>
        <w:spacing w:after="0" w:line="167" w:lineRule="exact"/>
        <w:rPr>
          <w:sz w:val="20"/>
          <w:szCs w:val="20"/>
          <w:color w:val="auto"/>
        </w:rPr>
      </w:pPr>
    </w:p>
    <w:p>
      <w:pPr>
        <w:spacing w:after="0"/>
        <w:tabs>
          <w:tab w:leader="none" w:pos="1560" w:val="left"/>
          <w:tab w:leader="dot" w:pos="6820" w:val="left"/>
        </w:tabs>
        <w:rPr>
          <w:sz w:val="20"/>
          <w:szCs w:val="20"/>
          <w:color w:val="auto"/>
        </w:rPr>
      </w:pPr>
      <w:r>
        <w:rPr>
          <w:rFonts w:ascii="Courier New" w:cs="Courier New" w:eastAsia="Courier New" w:hAnsi="Courier New"/>
          <w:sz w:val="15"/>
          <w:szCs w:val="15"/>
          <w:color w:val="auto"/>
        </w:rPr>
        <w:t>Section 7.01.</w:t>
      </w:r>
      <w:r>
        <w:rPr>
          <w:sz w:val="20"/>
          <w:szCs w:val="20"/>
          <w:color w:val="auto"/>
        </w:rPr>
        <w:tab/>
      </w:r>
      <w:r>
        <w:rPr>
          <w:rFonts w:ascii="Courier New" w:cs="Courier New" w:eastAsia="Courier New" w:hAnsi="Courier New"/>
          <w:sz w:val="15"/>
          <w:szCs w:val="15"/>
          <w:color w:val="auto"/>
        </w:rPr>
        <w:t>Counterparts</w:t>
      </w:r>
      <w:r>
        <w:rPr>
          <w:sz w:val="20"/>
          <w:szCs w:val="20"/>
          <w:color w:val="auto"/>
        </w:rPr>
        <w:tab/>
      </w:r>
      <w:r>
        <w:rPr>
          <w:rFonts w:ascii="Courier New" w:cs="Courier New" w:eastAsia="Courier New" w:hAnsi="Courier New"/>
          <w:sz w:val="12"/>
          <w:szCs w:val="12"/>
          <w:color w:val="auto"/>
        </w:rPr>
        <w:t>17</w:t>
      </w:r>
    </w:p>
    <w:p>
      <w:pPr>
        <w:spacing w:after="0"/>
        <w:tabs>
          <w:tab w:leader="none" w:pos="1560" w:val="left"/>
          <w:tab w:leader="dot" w:pos="6820" w:val="left"/>
        </w:tabs>
        <w:rPr>
          <w:sz w:val="20"/>
          <w:szCs w:val="20"/>
          <w:color w:val="auto"/>
        </w:rPr>
      </w:pPr>
      <w:r>
        <w:rPr>
          <w:rFonts w:ascii="Courier New" w:cs="Courier New" w:eastAsia="Courier New" w:hAnsi="Courier New"/>
          <w:sz w:val="15"/>
          <w:szCs w:val="15"/>
          <w:color w:val="auto"/>
        </w:rPr>
        <w:t>Section 7.02.</w:t>
      </w:r>
      <w:r>
        <w:rPr>
          <w:sz w:val="20"/>
          <w:szCs w:val="20"/>
          <w:color w:val="auto"/>
        </w:rPr>
        <w:tab/>
      </w:r>
      <w:r>
        <w:rPr>
          <w:rFonts w:ascii="Courier New" w:cs="Courier New" w:eastAsia="Courier New" w:hAnsi="Courier New"/>
          <w:sz w:val="15"/>
          <w:szCs w:val="15"/>
          <w:color w:val="auto"/>
        </w:rPr>
        <w:t>Exclusive Benefit of Parties</w:t>
      </w:r>
      <w:r>
        <w:rPr>
          <w:sz w:val="20"/>
          <w:szCs w:val="20"/>
          <w:color w:val="auto"/>
        </w:rPr>
        <w:tab/>
      </w:r>
      <w:r>
        <w:rPr>
          <w:rFonts w:ascii="Courier New" w:cs="Courier New" w:eastAsia="Courier New" w:hAnsi="Courier New"/>
          <w:sz w:val="12"/>
          <w:szCs w:val="12"/>
          <w:color w:val="auto"/>
        </w:rPr>
        <w:t>17</w:t>
      </w:r>
    </w:p>
    <w:p>
      <w:pPr>
        <w:spacing w:after="0"/>
        <w:tabs>
          <w:tab w:leader="none" w:pos="1560" w:val="left"/>
          <w:tab w:leader="dot" w:pos="6820" w:val="left"/>
        </w:tabs>
        <w:rPr>
          <w:sz w:val="20"/>
          <w:szCs w:val="20"/>
          <w:color w:val="auto"/>
        </w:rPr>
      </w:pPr>
      <w:r>
        <w:rPr>
          <w:rFonts w:ascii="Courier New" w:cs="Courier New" w:eastAsia="Courier New" w:hAnsi="Courier New"/>
          <w:sz w:val="15"/>
          <w:szCs w:val="15"/>
          <w:color w:val="auto"/>
        </w:rPr>
        <w:t>Section 7.03.</w:t>
      </w:r>
      <w:r>
        <w:rPr>
          <w:sz w:val="20"/>
          <w:szCs w:val="20"/>
          <w:color w:val="auto"/>
        </w:rPr>
        <w:tab/>
      </w:r>
      <w:r>
        <w:rPr>
          <w:rFonts w:ascii="Courier New" w:cs="Courier New" w:eastAsia="Courier New" w:hAnsi="Courier New"/>
          <w:sz w:val="15"/>
          <w:szCs w:val="15"/>
          <w:color w:val="auto"/>
        </w:rPr>
        <w:t>Invalidity of Provisions</w:t>
      </w:r>
      <w:r>
        <w:rPr>
          <w:sz w:val="20"/>
          <w:szCs w:val="20"/>
          <w:color w:val="auto"/>
        </w:rPr>
        <w:tab/>
      </w:r>
      <w:r>
        <w:rPr>
          <w:rFonts w:ascii="Courier New" w:cs="Courier New" w:eastAsia="Courier New" w:hAnsi="Courier New"/>
          <w:sz w:val="12"/>
          <w:szCs w:val="12"/>
          <w:color w:val="auto"/>
        </w:rPr>
        <w:t>17</w:t>
      </w:r>
    </w:p>
    <w:p>
      <w:pPr>
        <w:spacing w:after="0"/>
        <w:tabs>
          <w:tab w:leader="none" w:pos="1560" w:val="left"/>
          <w:tab w:leader="dot" w:pos="6820" w:val="left"/>
        </w:tabs>
        <w:rPr>
          <w:sz w:val="20"/>
          <w:szCs w:val="20"/>
          <w:color w:val="auto"/>
        </w:rPr>
      </w:pPr>
      <w:r>
        <w:rPr>
          <w:rFonts w:ascii="Courier New" w:cs="Courier New" w:eastAsia="Courier New" w:hAnsi="Courier New"/>
          <w:sz w:val="15"/>
          <w:szCs w:val="15"/>
          <w:color w:val="auto"/>
        </w:rPr>
        <w:t>Section 7.04.</w:t>
      </w:r>
      <w:r>
        <w:rPr>
          <w:sz w:val="20"/>
          <w:szCs w:val="20"/>
          <w:color w:val="auto"/>
        </w:rPr>
        <w:tab/>
      </w:r>
      <w:r>
        <w:rPr>
          <w:rFonts w:ascii="Courier New" w:cs="Courier New" w:eastAsia="Courier New" w:hAnsi="Courier New"/>
          <w:sz w:val="15"/>
          <w:szCs w:val="15"/>
          <w:color w:val="auto"/>
        </w:rPr>
        <w:t>Notices</w:t>
      </w:r>
      <w:r>
        <w:rPr>
          <w:sz w:val="20"/>
          <w:szCs w:val="20"/>
          <w:color w:val="auto"/>
        </w:rPr>
        <w:tab/>
      </w:r>
      <w:r>
        <w:rPr>
          <w:rFonts w:ascii="Courier New" w:cs="Courier New" w:eastAsia="Courier New" w:hAnsi="Courier New"/>
          <w:sz w:val="12"/>
          <w:szCs w:val="12"/>
          <w:color w:val="auto"/>
        </w:rPr>
        <w:t>17</w:t>
      </w:r>
    </w:p>
    <w:p>
      <w:pPr>
        <w:spacing w:after="0"/>
        <w:tabs>
          <w:tab w:leader="none" w:pos="1560" w:val="left"/>
          <w:tab w:leader="dot" w:pos="6820" w:val="left"/>
        </w:tabs>
        <w:rPr>
          <w:sz w:val="20"/>
          <w:szCs w:val="20"/>
          <w:color w:val="auto"/>
        </w:rPr>
      </w:pPr>
      <w:r>
        <w:rPr>
          <w:rFonts w:ascii="Courier New" w:cs="Courier New" w:eastAsia="Courier New" w:hAnsi="Courier New"/>
          <w:sz w:val="15"/>
          <w:szCs w:val="15"/>
          <w:color w:val="auto"/>
        </w:rPr>
        <w:t>Section 7.05.</w:t>
      </w:r>
      <w:r>
        <w:rPr>
          <w:sz w:val="20"/>
          <w:szCs w:val="20"/>
          <w:color w:val="auto"/>
        </w:rPr>
        <w:tab/>
      </w:r>
      <w:r>
        <w:rPr>
          <w:rFonts w:ascii="Courier New" w:cs="Courier New" w:eastAsia="Courier New" w:hAnsi="Courier New"/>
          <w:sz w:val="15"/>
          <w:szCs w:val="15"/>
          <w:color w:val="auto"/>
        </w:rPr>
        <w:t>Depositary's Agents</w:t>
      </w:r>
      <w:r>
        <w:rPr>
          <w:sz w:val="20"/>
          <w:szCs w:val="20"/>
          <w:color w:val="auto"/>
        </w:rPr>
        <w:tab/>
      </w:r>
      <w:r>
        <w:rPr>
          <w:rFonts w:ascii="Courier New" w:cs="Courier New" w:eastAsia="Courier New" w:hAnsi="Courier New"/>
          <w:sz w:val="12"/>
          <w:szCs w:val="12"/>
          <w:color w:val="auto"/>
        </w:rPr>
        <w:t>18</w:t>
      </w:r>
    </w:p>
    <w:p>
      <w:pPr>
        <w:spacing w:after="0"/>
        <w:tabs>
          <w:tab w:leader="none" w:pos="1560" w:val="left"/>
          <w:tab w:leader="dot" w:pos="6820" w:val="left"/>
        </w:tabs>
        <w:rPr>
          <w:sz w:val="20"/>
          <w:szCs w:val="20"/>
          <w:color w:val="auto"/>
        </w:rPr>
      </w:pPr>
      <w:r>
        <w:rPr>
          <w:rFonts w:ascii="Courier New" w:cs="Courier New" w:eastAsia="Courier New" w:hAnsi="Courier New"/>
          <w:sz w:val="15"/>
          <w:szCs w:val="15"/>
          <w:color w:val="auto"/>
        </w:rPr>
        <w:t>Section 7.06.</w:t>
      </w:r>
      <w:r>
        <w:rPr>
          <w:sz w:val="20"/>
          <w:szCs w:val="20"/>
          <w:color w:val="auto"/>
        </w:rPr>
        <w:tab/>
      </w:r>
      <w:r>
        <w:rPr>
          <w:rFonts w:ascii="Courier New" w:cs="Courier New" w:eastAsia="Courier New" w:hAnsi="Courier New"/>
          <w:sz w:val="15"/>
          <w:szCs w:val="15"/>
          <w:color w:val="auto"/>
        </w:rPr>
        <w:t>Holders of Receipts are Parties</w:t>
      </w:r>
      <w:r>
        <w:rPr>
          <w:sz w:val="20"/>
          <w:szCs w:val="20"/>
          <w:color w:val="auto"/>
        </w:rPr>
        <w:tab/>
      </w:r>
      <w:r>
        <w:rPr>
          <w:rFonts w:ascii="Courier New" w:cs="Courier New" w:eastAsia="Courier New" w:hAnsi="Courier New"/>
          <w:sz w:val="12"/>
          <w:szCs w:val="12"/>
          <w:color w:val="auto"/>
        </w:rPr>
        <w:t>18</w:t>
      </w:r>
    </w:p>
    <w:p>
      <w:pPr>
        <w:spacing w:after="0"/>
        <w:tabs>
          <w:tab w:leader="none" w:pos="1560" w:val="left"/>
          <w:tab w:leader="dot" w:pos="6820" w:val="left"/>
        </w:tabs>
        <w:rPr>
          <w:sz w:val="20"/>
          <w:szCs w:val="20"/>
          <w:color w:val="auto"/>
        </w:rPr>
      </w:pPr>
      <w:r>
        <w:rPr>
          <w:rFonts w:ascii="Courier New" w:cs="Courier New" w:eastAsia="Courier New" w:hAnsi="Courier New"/>
          <w:sz w:val="15"/>
          <w:szCs w:val="15"/>
          <w:color w:val="auto"/>
        </w:rPr>
        <w:t>Section 7.07.</w:t>
      </w:r>
      <w:r>
        <w:rPr>
          <w:sz w:val="20"/>
          <w:szCs w:val="20"/>
          <w:color w:val="auto"/>
        </w:rPr>
        <w:tab/>
      </w:r>
      <w:r>
        <w:rPr>
          <w:rFonts w:ascii="Courier New" w:cs="Courier New" w:eastAsia="Courier New" w:hAnsi="Courier New"/>
          <w:sz w:val="15"/>
          <w:szCs w:val="15"/>
          <w:color w:val="auto"/>
        </w:rPr>
        <w:t>Governing Law</w:t>
      </w:r>
      <w:r>
        <w:rPr>
          <w:sz w:val="20"/>
          <w:szCs w:val="20"/>
          <w:color w:val="auto"/>
        </w:rPr>
        <w:tab/>
      </w:r>
      <w:r>
        <w:rPr>
          <w:rFonts w:ascii="Courier New" w:cs="Courier New" w:eastAsia="Courier New" w:hAnsi="Courier New"/>
          <w:sz w:val="12"/>
          <w:szCs w:val="12"/>
          <w:color w:val="auto"/>
        </w:rPr>
        <w:t>18</w:t>
      </w:r>
    </w:p>
    <w:p>
      <w:pPr>
        <w:spacing w:after="0"/>
        <w:tabs>
          <w:tab w:leader="none" w:pos="1560" w:val="left"/>
          <w:tab w:leader="dot" w:pos="6820" w:val="left"/>
        </w:tabs>
        <w:rPr>
          <w:sz w:val="20"/>
          <w:szCs w:val="20"/>
          <w:color w:val="auto"/>
        </w:rPr>
      </w:pPr>
      <w:r>
        <w:rPr>
          <w:rFonts w:ascii="Courier New" w:cs="Courier New" w:eastAsia="Courier New" w:hAnsi="Courier New"/>
          <w:sz w:val="15"/>
          <w:szCs w:val="15"/>
          <w:color w:val="auto"/>
        </w:rPr>
        <w:t>Section 7.08.</w:t>
      </w:r>
      <w:r>
        <w:rPr>
          <w:sz w:val="20"/>
          <w:szCs w:val="20"/>
          <w:color w:val="auto"/>
        </w:rPr>
        <w:tab/>
      </w:r>
      <w:r>
        <w:rPr>
          <w:rFonts w:ascii="Courier New" w:cs="Courier New" w:eastAsia="Courier New" w:hAnsi="Courier New"/>
          <w:sz w:val="15"/>
          <w:szCs w:val="15"/>
          <w:color w:val="auto"/>
        </w:rPr>
        <w:t>Inspection of Deposit Agreement</w:t>
      </w:r>
      <w:r>
        <w:rPr>
          <w:sz w:val="20"/>
          <w:szCs w:val="20"/>
          <w:color w:val="auto"/>
        </w:rPr>
        <w:tab/>
      </w:r>
      <w:r>
        <w:rPr>
          <w:rFonts w:ascii="Courier New" w:cs="Courier New" w:eastAsia="Courier New" w:hAnsi="Courier New"/>
          <w:sz w:val="12"/>
          <w:szCs w:val="12"/>
          <w:color w:val="auto"/>
        </w:rPr>
        <w:t>18</w:t>
      </w:r>
    </w:p>
    <w:p>
      <w:pPr>
        <w:spacing w:after="0"/>
        <w:tabs>
          <w:tab w:leader="none" w:pos="1560" w:val="left"/>
          <w:tab w:leader="dot" w:pos="6820" w:val="left"/>
        </w:tabs>
        <w:rPr>
          <w:sz w:val="20"/>
          <w:szCs w:val="20"/>
          <w:color w:val="auto"/>
        </w:rPr>
      </w:pPr>
      <w:r>
        <w:rPr>
          <w:rFonts w:ascii="Courier New" w:cs="Courier New" w:eastAsia="Courier New" w:hAnsi="Courier New"/>
          <w:sz w:val="15"/>
          <w:szCs w:val="15"/>
          <w:color w:val="auto"/>
        </w:rPr>
        <w:t>Section 7.09.</w:t>
      </w:r>
      <w:r>
        <w:rPr>
          <w:sz w:val="20"/>
          <w:szCs w:val="20"/>
          <w:color w:val="auto"/>
        </w:rPr>
        <w:tab/>
      </w:r>
      <w:r>
        <w:rPr>
          <w:rFonts w:ascii="Courier New" w:cs="Courier New" w:eastAsia="Courier New" w:hAnsi="Courier New"/>
          <w:sz w:val="15"/>
          <w:szCs w:val="15"/>
          <w:color w:val="auto"/>
        </w:rPr>
        <w:t>Headings</w:t>
      </w:r>
      <w:r>
        <w:rPr>
          <w:sz w:val="20"/>
          <w:szCs w:val="20"/>
          <w:color w:val="auto"/>
        </w:rPr>
        <w:tab/>
      </w:r>
      <w:r>
        <w:rPr>
          <w:rFonts w:ascii="Courier New" w:cs="Courier New" w:eastAsia="Courier New" w:hAnsi="Courier New"/>
          <w:sz w:val="12"/>
          <w:szCs w:val="12"/>
          <w:color w:val="auto"/>
        </w:rPr>
        <w:t>18</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EXHIBIT A -- Form of Receipt</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ii</w:t>
      </w:r>
    </w:p>
    <w:p>
      <w:pPr>
        <w:sectPr>
          <w:pgSz w:w="11900" w:h="16838" w:orient="portrait"/>
          <w:cols w:equalWidth="0" w:num="1">
            <w:col w:w="10239"/>
          </w:cols>
          <w:pgMar w:left="220" w:top="785" w:right="1440" w:bottom="1440" w:gutter="0" w:footer="0" w:header="0"/>
        </w:sectPr>
      </w:pPr>
    </w:p>
    <w:bookmarkStart w:id="255" w:name="page256"/>
    <w:bookmarkEnd w:id="255"/>
    <w:p>
      <w:pPr>
        <w:ind w:left="440"/>
        <w:spacing w:after="0"/>
        <w:rPr>
          <w:sz w:val="20"/>
          <w:szCs w:val="20"/>
          <w:color w:val="auto"/>
        </w:rPr>
      </w:pPr>
      <w:r>
        <w:rPr>
          <w:rFonts w:ascii="Courier New" w:cs="Courier New" w:eastAsia="Courier New" w:hAnsi="Courier New"/>
          <w:sz w:val="14"/>
          <w:szCs w:val="14"/>
          <w:color w:val="auto"/>
        </w:rPr>
        <w:t>DEPOSIT AGREEMENT dated as of __________, _____, among COMCAST CORPORATION,</w:t>
      </w:r>
    </w:p>
    <w:p>
      <w:pPr>
        <w:spacing w:after="0" w:line="10" w:lineRule="exact"/>
        <w:rPr>
          <w:sz w:val="20"/>
          <w:szCs w:val="20"/>
          <w:color w:val="auto"/>
        </w:rPr>
      </w:pPr>
    </w:p>
    <w:p>
      <w:pPr>
        <w:ind w:right="3239"/>
        <w:spacing w:after="0" w:line="234" w:lineRule="auto"/>
        <w:rPr>
          <w:sz w:val="20"/>
          <w:szCs w:val="20"/>
          <w:color w:val="auto"/>
        </w:rPr>
      </w:pPr>
      <w:r>
        <w:rPr>
          <w:rFonts w:ascii="Courier New" w:cs="Courier New" w:eastAsia="Courier New" w:hAnsi="Courier New"/>
          <w:sz w:val="15"/>
          <w:szCs w:val="15"/>
          <w:color w:val="auto"/>
        </w:rPr>
        <w:t>a Pennsylvania corporation, [ ], a [ ] banking corporation, and the holders from time to time of the Receipts described herein.</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WHEREAS, it is desired to provide as hereinafter set forth in this Deposit Agreement, for the deposit from time to time of shares of [specify designation of Series of Preferred Stock], without par value, stated value $__ per share, of Comcast Corporation with the Depositary for the purposes set forth in this Deposit Agreement and for the issuance hereunder of Receipts evidencing Depositary Shares in respect of the Stock so deposited; and</w:t>
      </w:r>
    </w:p>
    <w:p>
      <w:pPr>
        <w:spacing w:after="0" w:line="166" w:lineRule="exact"/>
        <w:rPr>
          <w:sz w:val="20"/>
          <w:szCs w:val="20"/>
          <w:color w:val="auto"/>
        </w:rPr>
      </w:pPr>
    </w:p>
    <w:p>
      <w:pPr>
        <w:jc w:val="both"/>
        <w:ind w:right="3679" w:firstLine="437"/>
        <w:spacing w:after="0" w:line="235" w:lineRule="auto"/>
        <w:rPr>
          <w:sz w:val="20"/>
          <w:szCs w:val="20"/>
          <w:color w:val="auto"/>
        </w:rPr>
      </w:pPr>
      <w:r>
        <w:rPr>
          <w:rFonts w:ascii="Courier New" w:cs="Courier New" w:eastAsia="Courier New" w:hAnsi="Courier New"/>
          <w:sz w:val="15"/>
          <w:szCs w:val="15"/>
          <w:color w:val="auto"/>
        </w:rPr>
        <w:t>WHEREAS, the Receipts are to be substantially in the form of Exhibit A annexed hereto, with appropriate insertions, modification and omissions, as hereinafter provided in this Deposit Agreement;</w:t>
      </w:r>
    </w:p>
    <w:p>
      <w:pPr>
        <w:spacing w:after="0" w:line="174" w:lineRule="exact"/>
        <w:rPr>
          <w:sz w:val="20"/>
          <w:szCs w:val="20"/>
          <w:color w:val="auto"/>
        </w:rPr>
      </w:pPr>
    </w:p>
    <w:p>
      <w:pPr>
        <w:ind w:right="3319" w:firstLine="437"/>
        <w:spacing w:after="0" w:line="234" w:lineRule="auto"/>
        <w:rPr>
          <w:sz w:val="20"/>
          <w:szCs w:val="20"/>
          <w:color w:val="auto"/>
        </w:rPr>
      </w:pPr>
      <w:r>
        <w:rPr>
          <w:rFonts w:ascii="Courier New" w:cs="Courier New" w:eastAsia="Courier New" w:hAnsi="Courier New"/>
          <w:sz w:val="15"/>
          <w:szCs w:val="15"/>
          <w:color w:val="auto"/>
        </w:rPr>
        <w:t>NOW, THEREFORE, in consideration of the premises, the parties hereto agree as follows:</w:t>
      </w:r>
    </w:p>
    <w:p>
      <w:pPr>
        <w:spacing w:after="0" w:line="167"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Article 1</w:t>
      </w:r>
    </w:p>
    <w:p>
      <w:pPr>
        <w:ind w:left="3080"/>
        <w:spacing w:after="0" w:line="237" w:lineRule="auto"/>
        <w:rPr>
          <w:sz w:val="20"/>
          <w:szCs w:val="20"/>
          <w:color w:val="auto"/>
        </w:rPr>
      </w:pPr>
      <w:r>
        <w:rPr>
          <w:rFonts w:ascii="Courier New" w:cs="Courier New" w:eastAsia="Courier New" w:hAnsi="Courier New"/>
          <w:sz w:val="15"/>
          <w:szCs w:val="15"/>
          <w:color w:val="auto"/>
        </w:rPr>
        <w:t>DEFINITIONS</w:t>
      </w:r>
    </w:p>
    <w:p>
      <w:pPr>
        <w:spacing w:after="0" w:line="173"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Section 1.01 Definitions. The following definitions shall for all purposes, unless otherwise indicated, apply to the respective terms used in this Deposit Agreement:</w:t>
      </w:r>
    </w:p>
    <w:p>
      <w:pPr>
        <w:spacing w:after="0" w:line="174"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"Certificate" shall mean the Certificate of Designation of Preferences and Rights filed or to be filed with the Secretary of State of the State of Pennsylvania establishing the Stock as a series of preferred stock, without par value, of the Company.</w:t>
      </w:r>
    </w:p>
    <w:p>
      <w:pPr>
        <w:spacing w:after="0" w:line="175" w:lineRule="exact"/>
        <w:rPr>
          <w:sz w:val="20"/>
          <w:szCs w:val="20"/>
          <w:color w:val="auto"/>
        </w:rPr>
      </w:pPr>
    </w:p>
    <w:p>
      <w:pPr>
        <w:ind w:right="3399" w:firstLine="437"/>
        <w:spacing w:after="0" w:line="234" w:lineRule="auto"/>
        <w:rPr>
          <w:sz w:val="20"/>
          <w:szCs w:val="20"/>
          <w:color w:val="auto"/>
        </w:rPr>
      </w:pPr>
      <w:r>
        <w:rPr>
          <w:rFonts w:ascii="Courier New" w:cs="Courier New" w:eastAsia="Courier New" w:hAnsi="Courier New"/>
          <w:sz w:val="15"/>
          <w:szCs w:val="15"/>
          <w:color w:val="auto"/>
        </w:rPr>
        <w:t>"Company" shall mean Comcast Corporation, a Pennsylvania corporation, and its successors.</w:t>
      </w:r>
    </w:p>
    <w:p>
      <w:pPr>
        <w:spacing w:after="0" w:line="173" w:lineRule="exact"/>
        <w:rPr>
          <w:sz w:val="20"/>
          <w:szCs w:val="20"/>
          <w:color w:val="auto"/>
        </w:rPr>
      </w:pPr>
    </w:p>
    <w:p>
      <w:pPr>
        <w:ind w:right="3839" w:firstLine="437"/>
        <w:spacing w:after="0" w:line="234" w:lineRule="auto"/>
        <w:rPr>
          <w:sz w:val="20"/>
          <w:szCs w:val="20"/>
          <w:color w:val="auto"/>
        </w:rPr>
      </w:pPr>
      <w:r>
        <w:rPr>
          <w:rFonts w:ascii="Courier New" w:cs="Courier New" w:eastAsia="Courier New" w:hAnsi="Courier New"/>
          <w:sz w:val="15"/>
          <w:szCs w:val="15"/>
          <w:color w:val="auto"/>
        </w:rPr>
        <w:t>"Deposit Agreement" shall mean this Deposit Agreement, as amended or supplemented from time to time.</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"Depositary" shall mean [ ], or any successor as Depositary hereunder.</w:t>
      </w:r>
    </w:p>
    <w:p>
      <w:pPr>
        <w:spacing w:after="0" w:line="173" w:lineRule="exact"/>
        <w:rPr>
          <w:sz w:val="20"/>
          <w:szCs w:val="20"/>
          <w:color w:val="auto"/>
        </w:rPr>
      </w:pPr>
    </w:p>
    <w:p>
      <w:pPr>
        <w:ind w:right="3939" w:firstLine="437"/>
        <w:spacing w:after="0" w:line="261" w:lineRule="auto"/>
        <w:rPr>
          <w:sz w:val="20"/>
          <w:szCs w:val="20"/>
          <w:color w:val="auto"/>
        </w:rPr>
      </w:pPr>
      <w:r>
        <w:rPr>
          <w:rFonts w:ascii="Courier New" w:cs="Courier New" w:eastAsia="Courier New" w:hAnsi="Courier New"/>
          <w:sz w:val="14"/>
          <w:szCs w:val="14"/>
          <w:color w:val="auto"/>
        </w:rPr>
        <w:t>"Depositary Shares" shall mean Depositary Shares, each representing [specify fraction] share(s) of Stock and evidenced by a Receipt.</w:t>
      </w:r>
    </w:p>
    <w:p>
      <w:pPr>
        <w:spacing w:after="0" w:line="160" w:lineRule="exact"/>
        <w:rPr>
          <w:sz w:val="20"/>
          <w:szCs w:val="20"/>
          <w:color w:val="auto"/>
        </w:rPr>
      </w:pPr>
    </w:p>
    <w:p>
      <w:pPr>
        <w:ind w:right="3839" w:firstLine="437"/>
        <w:spacing w:after="0" w:line="234" w:lineRule="auto"/>
        <w:rPr>
          <w:sz w:val="20"/>
          <w:szCs w:val="20"/>
          <w:color w:val="auto"/>
        </w:rPr>
      </w:pPr>
      <w:r>
        <w:rPr>
          <w:rFonts w:ascii="Courier New" w:cs="Courier New" w:eastAsia="Courier New" w:hAnsi="Courier New"/>
          <w:sz w:val="15"/>
          <w:szCs w:val="15"/>
          <w:color w:val="auto"/>
        </w:rPr>
        <w:t>"Depositary's Agent" shall mean an agent appointed by the Depositary pursuant to Section 7.05.</w:t>
      </w:r>
    </w:p>
    <w:p>
      <w:pPr>
        <w:spacing w:after="0" w:line="173" w:lineRule="exact"/>
        <w:rPr>
          <w:sz w:val="20"/>
          <w:szCs w:val="20"/>
          <w:color w:val="auto"/>
        </w:rPr>
      </w:pPr>
    </w:p>
    <w:p>
      <w:pPr>
        <w:jc w:val="both"/>
        <w:ind w:right="3499" w:firstLine="437"/>
        <w:spacing w:after="0" w:line="235" w:lineRule="auto"/>
        <w:rPr>
          <w:sz w:val="20"/>
          <w:szCs w:val="20"/>
          <w:color w:val="auto"/>
        </w:rPr>
      </w:pPr>
      <w:r>
        <w:rPr>
          <w:rFonts w:ascii="Courier New" w:cs="Courier New" w:eastAsia="Courier New" w:hAnsi="Courier New"/>
          <w:sz w:val="15"/>
          <w:szCs w:val="15"/>
          <w:color w:val="auto"/>
        </w:rPr>
        <w:t>"Depositary's Office" shall mean the principal corporate trust office of the Depositary in [_________], at which at any particular time its depositary receipt business shall be administered.</w:t>
      </w:r>
    </w:p>
    <w:p>
      <w:pPr>
        <w:sectPr>
          <w:pgSz w:w="11900" w:h="16838" w:orient="portrait"/>
          <w:cols w:equalWidth="0" w:num="1">
            <w:col w:w="10239"/>
          </w:cols>
          <w:pgMar w:left="220" w:top="792" w:right="1440" w:bottom="1440" w:gutter="0" w:footer="0" w:header="0"/>
        </w:sectPr>
      </w:pPr>
    </w:p>
    <w:bookmarkStart w:id="256" w:name="page257"/>
    <w:bookmarkEnd w:id="256"/>
    <w:p>
      <w:pPr>
        <w:ind w:right="3679" w:firstLine="437"/>
        <w:spacing w:after="0" w:line="235" w:lineRule="auto"/>
        <w:rPr>
          <w:sz w:val="20"/>
          <w:szCs w:val="20"/>
          <w:color w:val="auto"/>
        </w:rPr>
      </w:pPr>
      <w:r>
        <w:rPr>
          <w:rFonts w:ascii="Courier New" w:cs="Courier New" w:eastAsia="Courier New" w:hAnsi="Courier New"/>
          <w:sz w:val="15"/>
          <w:szCs w:val="15"/>
          <w:color w:val="auto"/>
        </w:rPr>
        <w:t>"Holder" as applied to a Receipt shall mean the person in whose name a Receipt is registered on the books of the Depositary maintained for such purpose.</w:t>
      </w:r>
    </w:p>
    <w:p>
      <w:pPr>
        <w:spacing w:after="0" w:line="174" w:lineRule="exact"/>
        <w:rPr>
          <w:sz w:val="20"/>
          <w:szCs w:val="20"/>
          <w:color w:val="auto"/>
        </w:rPr>
      </w:pPr>
    </w:p>
    <w:p>
      <w:pPr>
        <w:jc w:val="both"/>
        <w:ind w:right="3319" w:firstLine="437"/>
        <w:spacing w:after="0" w:line="235" w:lineRule="auto"/>
        <w:rPr>
          <w:sz w:val="20"/>
          <w:szCs w:val="20"/>
          <w:color w:val="auto"/>
        </w:rPr>
      </w:pPr>
      <w:r>
        <w:rPr>
          <w:rFonts w:ascii="Courier New" w:cs="Courier New" w:eastAsia="Courier New" w:hAnsi="Courier New"/>
          <w:sz w:val="15"/>
          <w:szCs w:val="15"/>
          <w:color w:val="auto"/>
        </w:rPr>
        <w:t>"Receipt" shall mean one of the Depositary Receipts, substantially in the form set forth as Exhibit A hereto, issued hereunder, whether in definitive or temporary form and evidencing the number of Depositary Shares held of record by the holder of such Depositary Shares.</w:t>
      </w:r>
    </w:p>
    <w:p>
      <w:pPr>
        <w:spacing w:after="0" w:line="175"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"Registrar" shall mean the Depositary or such other bank or trust company that shall be appointed to register ownership and transfers of Receipts as herein provided as well as to effect transfers and the distribution of dividends with respect to the Stock.</w:t>
      </w:r>
    </w:p>
    <w:p>
      <w:pPr>
        <w:spacing w:after="0" w:line="16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"Securities Act" shall mean the Securities Act of 1933, as amended.</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"Stock" shall mean shares of the Company's _____ Preferred Stock, without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par value, stated value $_____ per share.</w:t>
      </w:r>
    </w:p>
    <w:p>
      <w:pPr>
        <w:spacing w:after="0" w:line="166"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Article 2</w:t>
      </w:r>
    </w:p>
    <w:p>
      <w:pPr>
        <w:jc w:val="center"/>
        <w:ind w:right="3139"/>
        <w:spacing w:after="0" w:line="237" w:lineRule="auto"/>
        <w:rPr>
          <w:sz w:val="20"/>
          <w:szCs w:val="20"/>
          <w:color w:val="auto"/>
        </w:rPr>
      </w:pPr>
      <w:r>
        <w:rPr>
          <w:rFonts w:ascii="Courier New" w:cs="Courier New" w:eastAsia="Courier New" w:hAnsi="Courier New"/>
          <w:sz w:val="15"/>
          <w:szCs w:val="15"/>
          <w:color w:val="auto"/>
        </w:rPr>
        <w:t>FORM OF RECEIPTS, DEPOSIT OF STOCK, EXECUTION AND DELIVERY, TRANSFER,</w:t>
      </w:r>
    </w:p>
    <w:p>
      <w:pPr>
        <w:jc w:val="center"/>
        <w:ind w:right="3239"/>
        <w:spacing w:after="0" w:line="238" w:lineRule="auto"/>
        <w:rPr>
          <w:sz w:val="20"/>
          <w:szCs w:val="20"/>
          <w:color w:val="auto"/>
        </w:rPr>
      </w:pPr>
      <w:r>
        <w:rPr>
          <w:rFonts w:ascii="Courier New" w:cs="Courier New" w:eastAsia="Courier New" w:hAnsi="Courier New"/>
          <w:sz w:val="15"/>
          <w:szCs w:val="15"/>
          <w:color w:val="auto"/>
        </w:rPr>
        <w:t>SURRENDER AND REDEMPTION OF RECEIPTS</w:t>
      </w:r>
    </w:p>
    <w:p>
      <w:pPr>
        <w:spacing w:after="0" w:line="173"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Section 2.01 Form and Transfer of Receipts. Definitive Receipts shall be engraved or printed or lithographed on steel-engraved borders, with appropriate insertions, modifications and omissions, as hereinafter provided. Pending the preparation of definitive Receipts, the Depositary, upon the written order of the Company delivered in compliance with Section 2.02, shall execute and deliver temporary Receipts that are printed, lithographed, typewritten, mimeographed or otherwise substantially of the tenor of the definitive Receipts in lieu of which they are issued and with such appropriate insertions, omissions, substitutions and other variations as the persons executing such Receipts may determine, as evidenced by their execution of such Receipts. If temporary Receipts are issued, the Company and the Depositary will cause definitive Receipts to be prepared without unreasonable delay. After the preparation of definitive Receipts, the temporary Receipts shall be exchangeable for definitive Receipts upon surrender of the temporary Receipts at an office described in the penultimate paragraph of Section 2.02, without charge to the holder. Upon surrender for cancellation of any one or more temporary Receipts, the Depositary shall execute and deliver in exchange therefor definitive Receipts representing the same number of Depositary Shares as are represented by the surrendered temporary Receipt or Receipts. Such exchange shall be made at the Company's expense and without any charge therefor. Until so exchanged, the temporary Receipts shall in all respects be entitled to the same benefits under this Deposit Agreement, and with respect to the Stock, as definitive Receipts.</w:t>
      </w:r>
    </w:p>
    <w:p>
      <w:pPr>
        <w:spacing w:after="0" w:line="176"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Receipts shall be executed by the Depositary by the manual or facsimile signature of a duly authorized signatory of the Depositary and, if a Registrar for the Receipts shall have been appointed, countersigned by the manual signature of a duly authorized signatory of the Registrar; provided that no Receipt shall be entitled to any benefits under this Deposit Agreement or be valid or obligatory for any purpose unless it shall have been executed manually by a duly</w:t>
      </w:r>
    </w:p>
    <w:p>
      <w:pPr>
        <w:spacing w:after="0" w:line="33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39"/>
          </w:cols>
          <w:pgMar w:left="220" w:top="792" w:right="1440" w:bottom="1440" w:gutter="0" w:footer="0" w:header="0"/>
        </w:sectPr>
      </w:pPr>
    </w:p>
    <w:bookmarkStart w:id="257" w:name="page258"/>
    <w:bookmarkEnd w:id="257"/>
    <w:p>
      <w:pPr>
        <w:ind w:right="3239"/>
        <w:spacing w:after="0" w:line="236" w:lineRule="auto"/>
        <w:rPr>
          <w:sz w:val="20"/>
          <w:szCs w:val="20"/>
          <w:color w:val="auto"/>
        </w:rPr>
      </w:pPr>
      <w:r>
        <w:rPr>
          <w:rFonts w:ascii="Courier New" w:cs="Courier New" w:eastAsia="Courier New" w:hAnsi="Courier New"/>
          <w:sz w:val="15"/>
          <w:szCs w:val="15"/>
          <w:color w:val="auto"/>
        </w:rPr>
        <w:t>authorized signatory of the Depositary or, if a Registrar for the Receipts shall have been appointed, by facsimile signature of a duly authorized signatory of the Depositary and countersigned manually by a duly authorized signatory of such Registrar. The Depositary shall record on its books each Receipt so signed and delivered as hereinafter provided.</w:t>
      </w:r>
    </w:p>
    <w:p>
      <w:pPr>
        <w:spacing w:after="0" w:line="174" w:lineRule="exact"/>
        <w:rPr>
          <w:sz w:val="20"/>
          <w:szCs w:val="20"/>
          <w:color w:val="auto"/>
        </w:rPr>
      </w:pPr>
    </w:p>
    <w:p>
      <w:pPr>
        <w:ind w:right="3839" w:firstLine="437"/>
        <w:spacing w:after="0" w:line="234" w:lineRule="auto"/>
        <w:rPr>
          <w:sz w:val="20"/>
          <w:szCs w:val="20"/>
          <w:color w:val="auto"/>
        </w:rPr>
      </w:pPr>
      <w:r>
        <w:rPr>
          <w:rFonts w:ascii="Courier New" w:cs="Courier New" w:eastAsia="Courier New" w:hAnsi="Courier New"/>
          <w:sz w:val="15"/>
          <w:szCs w:val="15"/>
          <w:color w:val="auto"/>
        </w:rPr>
        <w:t>Receipts shall be in denominations of any number of whole Depositary Shares.</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Receipts may be endorsed with or have incorporated in the text thereof such legends or recitals or changes not inconsistent with the provisions of this Deposit Agreement as may be required by the Depositary or required to comply with any applicable law or any regulation thereunder or with the rules and regulations of any securities exchange upon which the Stock, the Depositary Shares or the Receipts may be listed or to conform with any usage with respect thereto, or to indicate any special limitations or restrictions to which any particular Receipts are subject.</w:t>
      </w:r>
    </w:p>
    <w:p>
      <w:pPr>
        <w:spacing w:after="0" w:line="177"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Title to Depositary Shares evidenced by a Receipt that is properly endorsed or accompanied by a properly executed instrument of transfer shall be transferable by delivery with the same effect as in the case of a negotiable instrument; provided, however, that until transfer of a Receipt shall be registered on the books of the Depositary as provided in Section 2.03, the Depositary may, notwithstanding any notice to the contrary, treat the holder of record at such time as the absolute owner thereof for the purpose of determining the person entitled to distributions of dividends or other distributions or to any notice provided for in this Deposit Agreement and for all other purposes.</w:t>
      </w:r>
    </w:p>
    <w:p>
      <w:pPr>
        <w:spacing w:after="0" w:line="165"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Section 2.02 Deposit of Stock; Execution and Delivery of Receipts in Respect Thereof. Subject to the terms and conditions of this Deposit Agreement, the Company may from time to time deposit shares of Stock under this Deposit Agreement by delivery to the Depositary of a certificate or certificates for the Stock to be deposited, properly endorsed or accompanied, if required by the Depositary, by a duly executed instrument of transfer or endorsement, in form satisfactory to the Depositary, together with all such certifications as may be required by the Depositary in accordance with the provisions of this Deposit Agreement, and together with a written order of the Company directing the Depositary to execute and deliver to, or upon the written order of, the person or persons stated in such order a Receipt or Receipts for the number of Depositary Shares representing such deposited Stock.</w:t>
      </w:r>
    </w:p>
    <w:p>
      <w:pPr>
        <w:spacing w:after="0" w:line="164" w:lineRule="exact"/>
        <w:rPr>
          <w:sz w:val="20"/>
          <w:szCs w:val="20"/>
          <w:color w:val="auto"/>
        </w:rPr>
      </w:pPr>
    </w:p>
    <w:p>
      <w:pPr>
        <w:ind w:right="3319" w:firstLine="437"/>
        <w:spacing w:after="0" w:line="234" w:lineRule="auto"/>
        <w:rPr>
          <w:sz w:val="20"/>
          <w:szCs w:val="20"/>
          <w:color w:val="auto"/>
        </w:rPr>
      </w:pPr>
      <w:r>
        <w:rPr>
          <w:rFonts w:ascii="Courier New" w:cs="Courier New" w:eastAsia="Courier New" w:hAnsi="Courier New"/>
          <w:sz w:val="15"/>
          <w:szCs w:val="15"/>
          <w:color w:val="auto"/>
        </w:rPr>
        <w:t>Deposited Stock shall be held by the Depositary at the Depositary's office or at such other place or places as the Depositary shall determine.</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Upon receipt by the Depositary of a certificate or certificates for Stock deposited in accordance with the provisions of this Section, together with the other documents required as above specified, and upon recordation of the Stock on the books of the Company in the name of the Depositary or its nominee, the Depositary, subject to the terms and conditions of this Deposit Agreement, shall execute and deliver, to or upon the order of the person or persons named in the written order delivered to the Depositary referred to in the first paragraph of this Section, a Receipt or Receipts for the number of Depositary Shares representing the Stock so deposited and</w:t>
      </w:r>
    </w:p>
    <w:p>
      <w:pPr>
        <w:spacing w:after="0" w:line="34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39"/>
          </w:cols>
          <w:pgMar w:left="220" w:top="792" w:right="1440" w:bottom="1440" w:gutter="0" w:footer="0" w:header="0"/>
        </w:sectPr>
      </w:pPr>
    </w:p>
    <w:bookmarkStart w:id="258" w:name="page259"/>
    <w:bookmarkEnd w:id="258"/>
    <w:p>
      <w:pPr>
        <w:ind w:right="3319"/>
        <w:spacing w:after="0" w:line="236" w:lineRule="auto"/>
        <w:rPr>
          <w:sz w:val="20"/>
          <w:szCs w:val="20"/>
          <w:color w:val="auto"/>
        </w:rPr>
      </w:pPr>
      <w:r>
        <w:rPr>
          <w:rFonts w:ascii="Courier New" w:cs="Courier New" w:eastAsia="Courier New" w:hAnsi="Courier New"/>
          <w:sz w:val="15"/>
          <w:szCs w:val="15"/>
          <w:color w:val="auto"/>
        </w:rPr>
        <w:t>registered in such name or names as may be requested by such person or persons. The Depositary shall execute and deliver such Receipt or Receipts at the Depositary's Office or such other offices, if any, as the Depositary may designate. Delivery at other offices shall be at the risk and expense of the person requesting such delivery.</w:t>
      </w:r>
    </w:p>
    <w:p>
      <w:pPr>
        <w:spacing w:after="0" w:line="174" w:lineRule="exact"/>
        <w:rPr>
          <w:sz w:val="20"/>
          <w:szCs w:val="20"/>
          <w:color w:val="auto"/>
        </w:rPr>
      </w:pPr>
    </w:p>
    <w:p>
      <w:pPr>
        <w:ind w:right="3399" w:firstLine="437"/>
        <w:spacing w:after="0" w:line="254" w:lineRule="auto"/>
        <w:rPr>
          <w:sz w:val="20"/>
          <w:szCs w:val="20"/>
          <w:color w:val="auto"/>
        </w:rPr>
      </w:pPr>
      <w:r>
        <w:rPr>
          <w:rFonts w:ascii="Courier New" w:cs="Courier New" w:eastAsia="Courier New" w:hAnsi="Courier New"/>
          <w:sz w:val="14"/>
          <w:szCs w:val="14"/>
          <w:color w:val="auto"/>
        </w:rPr>
        <w:t>Other than in the case of splits, combinations or other reclassifications affecting the Stock, or in the case of dividends or other distributions of Stock, if any, there shall be deposited hereunder not more than __________</w:t>
      </w:r>
    </w:p>
    <w:p>
      <w:pPr>
        <w:spacing w:after="0" w:line="232" w:lineRule="auto"/>
        <w:rPr>
          <w:sz w:val="20"/>
          <w:szCs w:val="20"/>
          <w:color w:val="auto"/>
        </w:rPr>
      </w:pPr>
      <w:r>
        <w:rPr>
          <w:rFonts w:ascii="Courier New" w:cs="Courier New" w:eastAsia="Courier New" w:hAnsi="Courier New"/>
          <w:sz w:val="15"/>
          <w:szCs w:val="15"/>
          <w:color w:val="auto"/>
        </w:rPr>
        <w:t>shares of Stock.</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Section 2.03 Registration of Transfer of Receipts. Subject to the terms and conditions of this Deposit Agreement, including payment of the fees of the Depositary as provided in Section 5.07, the Depositary shall register on its books from time to time transfers of Receipts upon any surrender thereof by the holder in person or by duly authorized attorney, properly endorsed or accompanied by a properly executed instrument of transfer. Thereupon the Depositary shall execute a new Receipt or Receipts evidencing the same aggregate number of Depositary Shares as those evidenced by the Receipt or Receipts surrendered and deliver such new Receipt or Receipts to or upon the order of the person entitled thereto.</w:t>
      </w:r>
    </w:p>
    <w:p>
      <w:pPr>
        <w:spacing w:after="0" w:line="179"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Section 2.04 Split-ups and Combinations of Receipts; Surrender of Receipts and Withdrawal of Stock. Upon surrender of a Receipt or Receipts at the Depositary's Office or at such other offices as it may designate for the purpose of effecting a split-up or combination of such Receipt or Receipts, and subject to the terms and conditions of this Deposit Agreement, the Depositary shall execute and deliver a new Receipt or Receipts in the authorized denomination or denominations requested, evidencing the aggregate number of Depositary Shares evidenced by the Receipt or Receipts surrendered.</w:t>
      </w:r>
    </w:p>
    <w:p>
      <w:pPr>
        <w:spacing w:after="0" w:line="177"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Any holder of a Receipt or Receipts representing any number of whole shares of Stock may withdraw the Stock and all money and other property, if any, represented thereby by surrendering such Receipt or Receipts at the Depositary's Office or at such other offices as the Depositary may designate for such withdrawals. Upon payment of the fees of the Depositary for the withdrawal of Stock as provided in Section 5.07 and payment of all taxes and without unreasonable delay, the Depositary shall deliver to such holder or to the person or persons designated by such holder as hereinafter provided, the number of whole shares of Stock and all money and other property, if any, represented by the Depositary Shares evidenced by the Receipt or Receipts so surrendered for withdrawal, but holders of such whole shares of Stock will not thereafter be entitled to deposit such Stock hereunder or to receive Depositary Shares therefor. If a Receipt delivered by the holder to the Depositary in connection with such withdrawal shall evidence a number of Depositary Shares in excess of the number of Depositary Shares representing the number of whole shares of Stock to be so withdrawn, the Depositary shall at the same time, in addition to such number of whole shares of Stock and such money and other property, if any, to be so withdrawn, deliver to such holder, or pursuant to his order, upon payment of the fees of the Depositary for the withdrawal of Stock as provided in Section 5.07 and payment of all taxes, a new Receipt evidencing such excess number of Depositary Shares. Delivery of the Stock and money and other property, if any, being withdrawn may be made by</w:t>
      </w:r>
    </w:p>
    <w:p>
      <w:pPr>
        <w:spacing w:after="0" w:line="200" w:lineRule="exact"/>
        <w:rPr>
          <w:sz w:val="20"/>
          <w:szCs w:val="20"/>
          <w:color w:val="auto"/>
        </w:rPr>
      </w:pPr>
    </w:p>
    <w:p>
      <w:pPr>
        <w:spacing w:after="0" w:line="30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39"/>
          </w:cols>
          <w:pgMar w:left="220" w:top="792" w:right="1440" w:bottom="1440" w:gutter="0" w:footer="0" w:header="0"/>
        </w:sectPr>
      </w:pPr>
    </w:p>
    <w:bookmarkStart w:id="259" w:name="page260"/>
    <w:bookmarkEnd w:id="259"/>
    <w:p>
      <w:pPr>
        <w:ind w:right="3399"/>
        <w:spacing w:after="0" w:line="234" w:lineRule="auto"/>
        <w:rPr>
          <w:sz w:val="20"/>
          <w:szCs w:val="20"/>
          <w:color w:val="auto"/>
        </w:rPr>
      </w:pPr>
      <w:r>
        <w:rPr>
          <w:rFonts w:ascii="Courier New" w:cs="Courier New" w:eastAsia="Courier New" w:hAnsi="Courier New"/>
          <w:sz w:val="15"/>
          <w:szCs w:val="15"/>
          <w:color w:val="auto"/>
        </w:rPr>
        <w:t>the delivery of such certificates, documents of title and other instruments as the Depositary may deem appropriate.</w:t>
      </w:r>
    </w:p>
    <w:p>
      <w:pPr>
        <w:spacing w:after="0" w:line="173"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If the Stock and the money and other property, if any, being withdrawn are to be delivered to a person or persons other than the holder of the Receipt or Receipts being surrendered for withdrawal of Stock, such holder shall execute and deliver to the Depositary a written order so directing the Depositary and the Depositary may require that the Receipt or Receipts surrendered by such holder for the withdrawal of such shares of Stock be properly endorsed in blank or accompanied by a properly executed instrument of transfer in blank.</w:t>
      </w:r>
    </w:p>
    <w:p>
      <w:pPr>
        <w:spacing w:after="0" w:line="166"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Delivery of the Stock and the money and other property, if any, represented by Receipts surrendered for withdrawal shall be made by the Depositary at the Depositary's Office, except that, at the request, risk and expense of the holder surrendering such Receipt or Receipts and for the account of the holder thereof, such delivery may be made at such other place as may be designated by such holder.</w:t>
      </w:r>
    </w:p>
    <w:p>
      <w:pPr>
        <w:spacing w:after="0" w:line="175"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Section 2.05 Limitations on Execution and Delivery, Transfers, Surrender and Exchange of Receipts. As a condition precedent to the execution and delivery, registration of transfer, split-up, combination, surrender or exchange of any Receipt, the Depositary, any of the Depositary's Agents or the Company may require payment to it of a sum sufficient for the payment (or, in the event that the Depositary or the Company shall have made such payment, the reimbursement to it) of any charges or expenses payable by the holder of a Receipt pursuant to Section 5.07, may require the production of evidence satisfactory to it as to the identity and genuineness of any signature and may also require compliance with such regulations, if any, as the Depositary or the Company may establish consistent with the provisions of this Deposit Agreement.</w:t>
      </w:r>
    </w:p>
    <w:p>
      <w:pPr>
        <w:spacing w:after="0" w:line="165"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deposit of Stock may be refused, the delivery of Receipts against Stock may be suspended, the registration of transfer of Receipts may be refused and the registration of transfer, surrender or exchange of outstanding Receipts may be suspended (i) during any period when the register of stockholders of the Company is closed or (ii) if any such action is deemed necessary or advisable by the Depositary, any of the Depositary's Agents or the Company at any time or from time to time because of any requirement of law or of any government or governmental body or commission or under any provision of this Deposit Agreement.</w:t>
      </w:r>
    </w:p>
    <w:p>
      <w:pPr>
        <w:spacing w:after="0" w:line="178"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Section 2.06 Lost Receipts, Etc. In case any receipt shall be mutilated, destroyed, lost or stolen, the Depositary in its discretion may execute and deliver a Receipt of like form and tenor in exchange and substitution for such mutilated Receipt upon cancellation thereof, or in lieu of and in substitution for such destroyed, lost or stolen Receipt. Before the Depositary shall execute and deliver a new Receipt in substitution for a destroyed, lost or stolen Receipt, the holder thereof shall have (i) filed with the Depositary (a) a request for such execution and delivery before the Depositary has received notice that the Receipt has been acquired by a bona fide purchaser and (b) a sufficient indemnity bond (if so requested by the Depositary) and (ii) satisfied any other reasonable requirements imposed by the Depositary.</w:t>
      </w:r>
    </w:p>
    <w:p>
      <w:pPr>
        <w:spacing w:after="0" w:line="32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39"/>
          </w:cols>
          <w:pgMar w:left="220" w:top="792" w:right="1440" w:bottom="1440" w:gutter="0" w:footer="0" w:header="0"/>
        </w:sectPr>
      </w:pPr>
    </w:p>
    <w:bookmarkStart w:id="260" w:name="page261"/>
    <w:bookmarkEnd w:id="260"/>
    <w:p>
      <w:pPr>
        <w:ind w:right="3239" w:firstLine="437"/>
        <w:spacing w:after="0" w:line="254" w:lineRule="auto"/>
        <w:rPr>
          <w:sz w:val="20"/>
          <w:szCs w:val="20"/>
          <w:color w:val="auto"/>
        </w:rPr>
      </w:pPr>
      <w:r>
        <w:rPr>
          <w:rFonts w:ascii="Courier New" w:cs="Courier New" w:eastAsia="Courier New" w:hAnsi="Courier New"/>
          <w:sz w:val="14"/>
          <w:szCs w:val="14"/>
          <w:color w:val="auto"/>
        </w:rPr>
        <w:t>Section 2.07 Optional Redemption of Stock. If the Company shall elect to redeem shares of Stock pursuant to the Certificate, it shall (unless otherwise agreed in writing with the Depositary) give the Depositary not less than 45 days' notice of the date of such proposed redemption of Stock and of the number of shares of Stock held by the Depositary to be redeemed. On the date of such redemption, provided that the Company shall then have paid in full to the Depositary the redemption price (determined pursuant to the Certificate) of the Stock deposited with the Depositary to be redeemed, the Depositary shall redeem (using the proceeds of such redemption) the Depositary Shares relating to such Stock. The Depositary shall mail, first class postage prepaid, notice of the redemption of Stock and the proposed simultaneous redemption of the Depositary Shares relating to the Stock to be redeemed, not less than 30 days and not more than 60 days prior to the date fixed for redemption of such Stock and Depositary Shares (the "Redemption Date"), to the holders on the record date fixed for such redemption pursuant to Section 4.04 of the Receipts evidencing the Depositary Shares to be so redeemed, at the addresses of such holders as the same appear on the records of the Depositary; but neither failure to mail any such notice to one or more such holders nor any defect in any notice shall affect the sufficiency of the proceedings for redemption as to the other holders. The Company shall provide the Depositary with such notice, and each such notice shall state: (i) the record date for purposes of such redemption; (ii) the Redemption Date; (iii) the number of Depositary Shares to be redeemed and, if fewer than all the Depositary Shares held by any holder are to be redeemed, the number of Depositary Shares held by such holder to be so redeemed; (iv) the redemption price; (v) the place or places where Receipts evidencing Depositary Shares to be redeemed are to be surrendered for payment of the redemption price; and (vi) that dividends in respect of the Stock represented by the Depositary Shares to be redeemed will cease to accrue at the close of business on such Redemption Date. In case fewer than all the outstanding Depositary Shares are to be redeemed, the Depositary Shares to be redeemed shall be selected by lot or by any other substantially equivalent method determined by the Depositary.</w:t>
      </w:r>
    </w:p>
    <w:p>
      <w:pPr>
        <w:spacing w:after="0" w:line="347" w:lineRule="exact"/>
        <w:rPr>
          <w:sz w:val="20"/>
          <w:szCs w:val="20"/>
          <w:color w:val="auto"/>
        </w:rPr>
      </w:pPr>
    </w:p>
    <w:p>
      <w:pPr>
        <w:ind w:right="3319" w:firstLine="437"/>
        <w:spacing w:after="0" w:line="254" w:lineRule="auto"/>
        <w:rPr>
          <w:sz w:val="20"/>
          <w:szCs w:val="20"/>
          <w:color w:val="auto"/>
        </w:rPr>
      </w:pPr>
      <w:r>
        <w:rPr>
          <w:rFonts w:ascii="Courier New" w:cs="Courier New" w:eastAsia="Courier New" w:hAnsi="Courier New"/>
          <w:sz w:val="14"/>
          <w:szCs w:val="14"/>
          <w:color w:val="auto"/>
        </w:rPr>
        <w:t>Notice having been mailed by the Depositary as aforesaid, from and after the Redemption Date (unless the Company shall have failed to redeem the shares of Stock to be redeemed by it as set forth in the Company's notice provided for in the preceding paragraph) all dividends in respect of the shares of Stock called for redemption shall cease to accrue, the Depositary Shares called for redemption shall be deemed no longer to be outstanding and all rights of the holders of Receipts evidencing such Depositary Shares (except the right to receive the redemption price) shall, to the extent of such Depositary Shares, cease and terminate. Upon surrender in accordance with said notice of the Receipts evidencing such Depositary Shares (properly endorsed or assigned for transfer, if the Depositary shall so require), such Depositary Shares shall be redeemed at a redemption price per Depositary Share equal to five (5) times the redemption price per share paid in respect of shares of Stock pursuant to the Certificate plus all money and other property, if any, represented by such Depositary Shares, including all amounts paid by the Company in respect of dividends that on the Redemption Date have accrued on the shares of Stock to be so redeemed and that have not theretofore been paid. The foregoing shall be subject further to the terms and conditions of the Certificate.</w:t>
      </w:r>
    </w:p>
    <w:p>
      <w:pPr>
        <w:spacing w:after="0" w:line="174"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If fewer than all of the Depositary Shares evidenced by a Receipt are called for redemption, the Depositary will deliver to the holder of such Receipt upon its surrender to the</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39"/>
          </w:cols>
          <w:pgMar w:left="220" w:top="792" w:right="1440" w:bottom="1440" w:gutter="0" w:footer="0" w:header="0"/>
        </w:sectPr>
      </w:pPr>
    </w:p>
    <w:bookmarkStart w:id="261" w:name="page262"/>
    <w:bookmarkEnd w:id="261"/>
    <w:p>
      <w:pPr>
        <w:jc w:val="both"/>
        <w:ind w:right="3579"/>
        <w:spacing w:after="0" w:line="258" w:lineRule="auto"/>
        <w:rPr>
          <w:sz w:val="20"/>
          <w:szCs w:val="20"/>
          <w:color w:val="auto"/>
        </w:rPr>
      </w:pPr>
      <w:r>
        <w:rPr>
          <w:rFonts w:ascii="Courier New" w:cs="Courier New" w:eastAsia="Courier New" w:hAnsi="Courier New"/>
          <w:sz w:val="14"/>
          <w:szCs w:val="14"/>
          <w:color w:val="auto"/>
        </w:rPr>
        <w:t>Depositary, together with payment of the redemption price for the Depositary Shares called for redemption, a new Receipt evidencing the Depositary Shares evidenced by such prior Receipt and not called for redemption.</w:t>
      </w:r>
    </w:p>
    <w:p>
      <w:pPr>
        <w:spacing w:after="0" w:line="161"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Except as provided in the preceding paragraph of this Section 2.07, the Depositary shall not be required to transfer or exchange for another Receipt any Receipt evidencing Depositary Shares called or being called for redemption in whole or in part.</w:t>
      </w:r>
    </w:p>
    <w:p>
      <w:pPr>
        <w:spacing w:after="0" w:line="175"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The Depositary shall remit to the Company any funds deposited by or for the account of the Company for the purpose of redeeming any Depositary Shares that the holders thereof have failed to redeem after two years from the date of such deposit, without further action necessary on the part of the Company.</w:t>
      </w:r>
    </w:p>
    <w:p>
      <w:pPr>
        <w:spacing w:after="0" w:line="175" w:lineRule="exact"/>
        <w:rPr>
          <w:sz w:val="20"/>
          <w:szCs w:val="20"/>
          <w:color w:val="auto"/>
        </w:rPr>
      </w:pPr>
    </w:p>
    <w:p>
      <w:pPr>
        <w:ind w:right="3399" w:firstLine="437"/>
        <w:spacing w:after="0" w:line="256" w:lineRule="auto"/>
        <w:rPr>
          <w:sz w:val="20"/>
          <w:szCs w:val="20"/>
          <w:color w:val="auto"/>
        </w:rPr>
      </w:pPr>
      <w:r>
        <w:rPr>
          <w:rFonts w:ascii="Courier New" w:cs="Courier New" w:eastAsia="Courier New" w:hAnsi="Courier New"/>
          <w:sz w:val="14"/>
          <w:szCs w:val="14"/>
          <w:color w:val="auto"/>
        </w:rPr>
        <w:t>Section 2.08 Cancellation and Destruction of Surrendered Receipts. All Receipts surrendered to the Depositary or any Depositary's Agent shall be cancelled by the Depositary. Except as prohibited by applicable law or regulation, the Depositary is authorized to destroy all Receipts so cancelled.</w:t>
      </w:r>
    </w:p>
    <w:p>
      <w:pPr>
        <w:spacing w:after="0" w:line="158"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Article 3</w:t>
      </w:r>
    </w:p>
    <w:p>
      <w:pPr>
        <w:jc w:val="center"/>
        <w:ind w:right="3239"/>
        <w:spacing w:after="0" w:line="237" w:lineRule="auto"/>
        <w:rPr>
          <w:sz w:val="20"/>
          <w:szCs w:val="20"/>
          <w:color w:val="auto"/>
        </w:rPr>
      </w:pPr>
      <w:r>
        <w:rPr>
          <w:rFonts w:ascii="Courier New" w:cs="Courier New" w:eastAsia="Courier New" w:hAnsi="Courier New"/>
          <w:sz w:val="15"/>
          <w:szCs w:val="15"/>
          <w:color w:val="auto"/>
        </w:rPr>
        <w:t>CERTAIN OBLIGATIONS OF HOLDERS OF RECEIPTS AND THE COMPANY</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Section 3.01 Filing Proofs, Certificates and other Information. Any holder of a Receipt may be required from time to time to file such proof of residence, or other matters or other information, to execute such certificates and to make such representations and warranties as the Depositary or the Company may reasonably deem necessary or proper. The Depositary or the Company may withhold the delivery, or delay the registration of transfer, redemption or exchange, of any Receipt or the withdrawal of the Stock represented by the Depositary Shares evidenced by any Receipt or the distribution of any dividend or other distribution or the sale of any property or rights or of the proceeds thereof until such proof or other information is filed or such certificates are executed or such representations and warranties are made.</w:t>
      </w:r>
    </w:p>
    <w:p>
      <w:pPr>
        <w:spacing w:after="0" w:line="165"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Section 3.02 Payment of Taxes or other Governmental Charges. Holders of Receipts shall be obligated to make payments to the Depositary of certain charges and expenses, as provided in Section 5.07. Registration of transfer of any Receipt or any withdrawal of Stock and all money or other property, if any, represented by the Depositary Shares evidenced by such Receipt may be refused until any such payment due is made, and any dividends, interest payments or other distributions may be withheld or any part of or all the Stock or other property represented by the Depositary Shares evidenced by such Receipt and not theretofore sold may be sold for the account of the holder thereof (after attempting by reasonable means to notify such holder prior to such sale), and such dividends, interest payments or other distributions or the proceeds of any such sale may be applied to any payment of such charges or expenses, the holder of such Receipt remaining liable for any deficiency.</w:t>
      </w:r>
    </w:p>
    <w:p>
      <w:pPr>
        <w:spacing w:after="0" w:line="32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39"/>
          </w:cols>
          <w:pgMar w:left="220" w:top="792" w:right="1440" w:bottom="1440" w:gutter="0" w:footer="0" w:header="0"/>
        </w:sectPr>
      </w:pPr>
    </w:p>
    <w:bookmarkStart w:id="262" w:name="page263"/>
    <w:bookmarkEnd w:id="262"/>
    <w:p>
      <w:pPr>
        <w:ind w:right="3239" w:firstLine="437"/>
        <w:spacing w:after="0" w:line="235" w:lineRule="auto"/>
        <w:rPr>
          <w:sz w:val="20"/>
          <w:szCs w:val="20"/>
          <w:color w:val="auto"/>
        </w:rPr>
      </w:pPr>
      <w:r>
        <w:rPr>
          <w:rFonts w:ascii="Courier New" w:cs="Courier New" w:eastAsia="Courier New" w:hAnsi="Courier New"/>
          <w:sz w:val="15"/>
          <w:szCs w:val="15"/>
          <w:color w:val="auto"/>
        </w:rPr>
        <w:t>Section 3.03 Warranty as to Stock. The Company hereby represents and warrants that the Stock, when issued, will be duly authorized, validly issued, fully paid and nonassessable. Such representation and warranty shall survive the deposit of the Stock and the issuance of Receipts.</w:t>
      </w:r>
    </w:p>
    <w:p>
      <w:pPr>
        <w:spacing w:after="0" w:line="169"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Article 4</w:t>
      </w:r>
    </w:p>
    <w:p>
      <w:pPr>
        <w:ind w:left="2100"/>
        <w:spacing w:after="0" w:line="237" w:lineRule="auto"/>
        <w:rPr>
          <w:sz w:val="20"/>
          <w:szCs w:val="20"/>
          <w:color w:val="auto"/>
        </w:rPr>
      </w:pPr>
      <w:r>
        <w:rPr>
          <w:rFonts w:ascii="Courier New" w:cs="Courier New" w:eastAsia="Courier New" w:hAnsi="Courier New"/>
          <w:sz w:val="15"/>
          <w:szCs w:val="15"/>
          <w:color w:val="auto"/>
        </w:rPr>
        <w:t>THE DEPOSITED SECURITIES; NOTICES</w:t>
      </w:r>
    </w:p>
    <w:p>
      <w:pPr>
        <w:spacing w:after="0" w:line="173"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Section 4.01 Cash Distributions. Whenever the Depositary shall receive any cash dividend or other cash distribution on Stock, the Depositary shall, subject to Sections 3.01 and 3.02, distribute to holders of Receipts on the record date fixed pursuant to Section 4.04 (net of the fees of the Depositary as provided in Section 5.07 hereof) such amounts of such dividend or distribution as are, as nearly as practicable, in proportion to the respective numbers of Depositary Shares evidenced by the Receipts held by such holders; provided, however, that in case the Company or the Depositary shall be required to withhold and shall withhold from any cash dividend or other cash distribution in respect of the Stock an amount on account of taxes, the amount made available for distribution or distributed in respect of Depositary Shares shall be reduced accordingly. The Depositary shall distribute or make available for distribution, as the case may be, only such amount, however, as can be distributed without attributing to any holder of Depositary Shares a fraction of one cent, and any balance not so distributable shall be held by the Depositary (without liability for interest thereon) and shall be added to and be treated as part of the next sum received by the Depositary for distribution to holders of Receipts then outstanding.</w:t>
      </w:r>
    </w:p>
    <w:p>
      <w:pPr>
        <w:spacing w:after="0" w:line="174"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Section 4.02 Distributions other than Cash, Rights, Preferences or Privileges. Whenever the Depositary shall receive any distribution other than cash, rights, preferences or privileges upon Stock, the Depositary shall, subject to Sections 3.01 and 3.02, distribute to holders of Receipts on the record date fixed pursuant to Section 4.04 such amounts of the securities or property received by it as are, as nearly as practicable, in proportion to the respective numbers of Depositary Shares evidenced by the Receipts held by such holders, in any manner that the Depositary may deem equitable and practicable for accomplishing such distribution. If in the opinion of the Depositary such distribution cannot be made proportionately among such holders, or if for any other reason (including any requirement that the Company or the Depositary withhold an amount on account of taxes or governmental charges) the Depositary deems, after consultation with the Company, such distribution not to be feasible, the Depositary may, with the approval of the Company, adopt such method as it deems equitable and practicable for the purpose of effecting such distribution, including the sale (at public or private sale) of the securities or property thus received, or any part thereof, at such place or places and upon such terms as it may deem proper. The net proceeds of any such sale shall, subject to Sections 3.01 and 3.02, be distributed or made available for distribution, as the case may be, by the Depositary to such holders of Receipts as provided by Section 4.01 in the case of a distribution received in cash. The Company shall not make any distribution of such securities unless the Company shall</w:t>
      </w:r>
    </w:p>
    <w:p>
      <w:pPr>
        <w:spacing w:after="0" w:line="33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39"/>
          </w:cols>
          <w:pgMar w:left="220" w:top="792" w:right="1440" w:bottom="1440" w:gutter="0" w:footer="0" w:header="0"/>
        </w:sectPr>
      </w:pPr>
    </w:p>
    <w:bookmarkStart w:id="263" w:name="page264"/>
    <w:bookmarkEnd w:id="263"/>
    <w:p>
      <w:pPr>
        <w:ind w:right="3759"/>
        <w:spacing w:after="0" w:line="261" w:lineRule="auto"/>
        <w:rPr>
          <w:sz w:val="20"/>
          <w:szCs w:val="20"/>
          <w:color w:val="auto"/>
        </w:rPr>
      </w:pPr>
      <w:r>
        <w:rPr>
          <w:rFonts w:ascii="Courier New" w:cs="Courier New" w:eastAsia="Courier New" w:hAnsi="Courier New"/>
          <w:sz w:val="14"/>
          <w:szCs w:val="14"/>
          <w:color w:val="auto"/>
        </w:rPr>
        <w:t>have provided an opinion of counsel stating that such securities have been registered under the Securities Act or do not need to be so registered.</w:t>
      </w:r>
    </w:p>
    <w:p>
      <w:pPr>
        <w:spacing w:after="0" w:line="160"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Section 4.03 Subscription Rights, Preferences or Privileges. If the Company shall at any time offer or cause to be offered to the persons in whose names Stock is recorded on the books of the Company any rights, preferences or privileges to subscribe for or to purchase any securities or any rights, preferences or privileges of any other nature, such rights, preferences or privileges shall in each such instance be made available by the Depositary to the holders of Receipts in such manner as the Depositary may determine, either by the issue to such holders of warrants representing such rights, preferences or privileges or by such other method as may be determined by the Depositary with the approval of the Company; provided, however, that (i) if at the time of issue or offer of any such rights, preferences or privileges the Depositary determines that it is not lawful or (after consultation with the Company) not feasible to make such rights, preferences or privileges available to holders of Receipts by the issue of warrants or otherwise, or (ii) if and to the extent so instructed by holders of Receipts who do not desire to exercise such rights, preferences or privileges, then the Depositary may (with approval of the Company in any case where the Depositary has determined that it is not feasible to make such rights, preferences or privileges available), if applicable laws or the terms of such rights, preferences or privileges permit such transfer, sell such rights, preferences or privileges at public or private sale, at such place or places and upon such terms as it may deem proper. The net proceeds of any such sale shall, subject to Sections 3.01 and 3.02, be distributed by the Depositary to the holders of Receipts entitled thereto as provided by Section 4.01 in the case of a distribution received in cash.</w:t>
      </w:r>
    </w:p>
    <w:p>
      <w:pPr>
        <w:spacing w:after="0" w:line="344" w:lineRule="exact"/>
        <w:rPr>
          <w:sz w:val="20"/>
          <w:szCs w:val="20"/>
          <w:color w:val="auto"/>
        </w:rPr>
      </w:pPr>
    </w:p>
    <w:p>
      <w:pPr>
        <w:ind w:right="3319" w:firstLine="437"/>
        <w:spacing w:after="0" w:line="237" w:lineRule="auto"/>
        <w:rPr>
          <w:sz w:val="20"/>
          <w:szCs w:val="20"/>
          <w:color w:val="auto"/>
        </w:rPr>
      </w:pPr>
      <w:r>
        <w:rPr>
          <w:rFonts w:ascii="Courier New" w:cs="Courier New" w:eastAsia="Courier New" w:hAnsi="Courier New"/>
          <w:sz w:val="15"/>
          <w:szCs w:val="15"/>
          <w:color w:val="auto"/>
        </w:rPr>
        <w:t>If registration under the Securities Act of the securities to which any rights, preferences or privileges relate is required in order for holders of Receipts to be offered or sold the securities to which such rights, preferences or privileges relate, the Company agrees with the Depositary that it will file promptly a registration statement pursuant to such Act with respect to such rights, preferences or privileges and securities and use its best efforts and take all steps available to it to cause such registration statement to become effective sufficiently in advance of the expiration of such rights, preferences or privileges to enable such holders to exercise such rights, preferences or privileges. In no event shall the Depositary make available to the holders of Receipts any right, preference or privilege to subscribe for or to purchase any securities unless and until such registration statement shall have become effective, or unless the offering and sale of such securities to such holders are exempt from registration under the provisions of the Securities Act and the Company shall have provided to the Depositary an opinion of counsel to such effect.</w:t>
      </w:r>
    </w:p>
    <w:p>
      <w:pPr>
        <w:spacing w:after="0" w:line="175"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If any other action under the laws of any jurisdiction or any governmental or administrative authorization, consent or permit is required in order for such rights, preferences or privileges to be made available to holders of Receipts, the Company agrees with the Depositary that the Company will use its best efforts to take such action or obtain such authorization, consent or permit sufficiently in advance of the expiration of such rights, preferences or privileges to enable such holders to exercise such rights, preferences or privileges.</w:t>
      </w:r>
    </w:p>
    <w:p>
      <w:pPr>
        <w:spacing w:after="0" w:line="33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39"/>
          </w:cols>
          <w:pgMar w:left="220" w:top="792" w:right="1440" w:bottom="1440" w:gutter="0" w:footer="0" w:header="0"/>
        </w:sectPr>
      </w:pPr>
    </w:p>
    <w:bookmarkStart w:id="264" w:name="page265"/>
    <w:bookmarkEnd w:id="264"/>
    <w:p>
      <w:pPr>
        <w:ind w:right="3239" w:firstLine="437"/>
        <w:spacing w:after="0" w:line="255" w:lineRule="auto"/>
        <w:rPr>
          <w:sz w:val="20"/>
          <w:szCs w:val="20"/>
          <w:color w:val="auto"/>
        </w:rPr>
      </w:pPr>
      <w:r>
        <w:rPr>
          <w:rFonts w:ascii="Courier New" w:cs="Courier New" w:eastAsia="Courier New" w:hAnsi="Courier New"/>
          <w:sz w:val="14"/>
          <w:szCs w:val="14"/>
          <w:color w:val="auto"/>
        </w:rPr>
        <w:t>Section 4.04 Notice of Dividends, Etc.; Fixing Record Date for Holders of Receipts. Whenever any cash dividend or other cash distribution shall become payable or any distribution other than cash shall be made, or if rights, preferences or privileges shall at any time be offered with respect to Stock, or whenever the Depositary shall receive notice of (i) any meeting at which holders of Stock are entitled to vote or of which holders of Stock are entitled to notice or (ii) any election on the part of the Company to redeem any shares of Stock, or whenever the Depositary and the Company shall decide it is appropriate, the Depositary shall in each such instance fix a record date (which shall be the same date as the record date fixed by the Company with respect to or otherwise in accordance with the terms of the Stock) for the determination of the holders of Receipts who shall be entitled to receive such dividend, distribution, rights, preferences or privileges or the net proceeds of the sale thereof, or to give instructions for the exercise of voting rights at any such meeting, or who shall be entitled to notice of such meeting, or whose Depositary Shares are to be redeemed or for any other appropriate reasons.</w:t>
      </w:r>
    </w:p>
    <w:p>
      <w:pPr>
        <w:spacing w:after="0" w:line="163"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Section 4.05 Voting Rights. Upon receipt of notice of any meeting at which the holders of Stock are entitled to vote, the Depositary shall, as soon as practicable thereafter, mail to the holders of Receipts entitled thereto a notice that shall contain (i) such information as is contained in such notice of meeting and (ii) a statement that such holders may, subject to any applicable restrictions, instruct the Depositary as to the exercise of the voting rights pertaining to the amount of Stock represented by their respective Depositary Shares (including an express indication that instructions may be given to the Depositary to give a discretionary proxy to a person designated by the Company) and a brief statement as to the manner in which such instructions may be given. Upon the written request of the holders of Receipts on the relevant record date, the Depositary shall endeavor insofar as practicable to vote or cause to be voted, in accordance with the instructions set forth in such requests, the maximum number of whole shares of Stock represented by the Depositary Shares evidenced by all Receipts as to which any particular voting instructions are received, provided that the Depositary receives such instructions sufficiently in advance of such voting to enable it to so vote or cause to be voted. The Company hereby agrees to take all reasonable action that may be deemed necessary by the Depositary in order to enable the Depositary to vote such Stock or cause such Stock to be voted. In the absence of specific instructions from the holder of a Receipt, the Depositary will abstain from voting (but, in its discretion, not from appearing at any meeting with respect to such Stock unless directed to the contrary by the holders of all the Receipts) to the extent of the Stock represented by the Depositary Shares evidenced by such Receipt.</w:t>
      </w:r>
    </w:p>
    <w:p>
      <w:pPr>
        <w:spacing w:after="0" w:line="344"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Section 4.06 Changes Affecting Deposited Securities and Reclassifications, Recapitalizations, Etc. Upon any change in par or stated value, split-up, combination or any other reclassification of the Stock, or upon any recapitalization, reorganization, merger, amalgamation or consolidation affecting the Company or to which it is a party, the Depositary may in its discretion with the approval of, and shall upon the instructions of, the Company, and (in either case) in such manner as the Depositary may deem equitable, (i) make such adjustments as are certified by the Company in the fraction of an interest represented by one Depositary Share in one share of Stock as may be necessary fully to reflect the effects of such change in par or stated value, split-up, combination or other reclassification of Stock, or of such recapitalization, reorganization, merger, amalgamation or consolidation and (ii) treat any</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39"/>
          </w:cols>
          <w:pgMar w:left="220" w:top="792" w:right="1440" w:bottom="1440" w:gutter="0" w:footer="0" w:header="0"/>
        </w:sectPr>
      </w:pPr>
    </w:p>
    <w:bookmarkStart w:id="265" w:name="page266"/>
    <w:bookmarkEnd w:id="265"/>
    <w:p>
      <w:pPr>
        <w:ind w:right="3239"/>
        <w:spacing w:after="0" w:line="237" w:lineRule="auto"/>
        <w:rPr>
          <w:sz w:val="20"/>
          <w:szCs w:val="20"/>
          <w:color w:val="auto"/>
        </w:rPr>
      </w:pPr>
      <w:r>
        <w:rPr>
          <w:rFonts w:ascii="Courier New" w:cs="Courier New" w:eastAsia="Courier New" w:hAnsi="Courier New"/>
          <w:sz w:val="15"/>
          <w:szCs w:val="15"/>
          <w:color w:val="auto"/>
        </w:rPr>
        <w:t>securities that shall be received by the Depositary in exchange for or upon conversion of or in respect of the Stock as new deposited securities so received in exchange for or upon conversion or in respect of such Stock. In any such case the Depositary may in its discretion, with the approval of the Company, execute and deliver additional Receipts or may call for the surrender of all outstanding Receipts to be exchanged for new Receipts specifically describing such new deposited securities. Anything to the contrary herein notwithstanding, holders of Receipts shall have the right from and after the effective date of any such change in par or stated value, split-up, combination or other reclassification of the Stock or any such recapitalization, reorganization, merger, amalgamation or consolidation to surrender such Receipts to the Depositary with instructions to convert, exchange or surrender the Stock represented thereby only into or for, as the case may be, the kind and amount of shares of stock and other securities and property and cash into which the Stock represented by such Receipts might have been converted or for which such Stock might have been exchanged or surrendered immediately prior to the effective date of such transaction.</w:t>
      </w:r>
    </w:p>
    <w:p>
      <w:pPr>
        <w:spacing w:after="0" w:line="175" w:lineRule="exact"/>
        <w:rPr>
          <w:sz w:val="20"/>
          <w:szCs w:val="20"/>
          <w:color w:val="auto"/>
        </w:rPr>
      </w:pPr>
    </w:p>
    <w:p>
      <w:pPr>
        <w:jc w:val="both"/>
        <w:ind w:right="3399" w:firstLine="437"/>
        <w:spacing w:after="0" w:line="235" w:lineRule="auto"/>
        <w:rPr>
          <w:sz w:val="20"/>
          <w:szCs w:val="20"/>
          <w:color w:val="auto"/>
        </w:rPr>
      </w:pPr>
      <w:r>
        <w:rPr>
          <w:rFonts w:ascii="Courier New" w:cs="Courier New" w:eastAsia="Courier New" w:hAnsi="Courier New"/>
          <w:sz w:val="15"/>
          <w:szCs w:val="15"/>
          <w:color w:val="auto"/>
        </w:rPr>
        <w:t>Section 4.07 Delivery of Reports. The Depositary shall furnish to holders of Receipts any reports and communications received from the Company that are received by the Depositary as the holder of Stock.</w:t>
      </w:r>
    </w:p>
    <w:p>
      <w:pPr>
        <w:spacing w:after="0" w:line="174" w:lineRule="exact"/>
        <w:rPr>
          <w:sz w:val="20"/>
          <w:szCs w:val="20"/>
          <w:color w:val="auto"/>
        </w:rPr>
      </w:pPr>
    </w:p>
    <w:p>
      <w:pPr>
        <w:jc w:val="both"/>
        <w:ind w:right="3399" w:firstLine="437"/>
        <w:spacing w:after="0" w:line="258" w:lineRule="auto"/>
        <w:rPr>
          <w:sz w:val="20"/>
          <w:szCs w:val="20"/>
          <w:color w:val="auto"/>
        </w:rPr>
      </w:pPr>
      <w:r>
        <w:rPr>
          <w:rFonts w:ascii="Courier New" w:cs="Courier New" w:eastAsia="Courier New" w:hAnsi="Courier New"/>
          <w:sz w:val="14"/>
          <w:szCs w:val="14"/>
          <w:color w:val="auto"/>
        </w:rPr>
        <w:t>Section 4.08 Lists of Receipt Holders. Promptly upon request from time to time by the Company, the Depositary shall furnish to it a list, as of a recent date, of the names, addresses and holdings of all holders of Receipts.</w:t>
      </w:r>
    </w:p>
    <w:p>
      <w:pPr>
        <w:spacing w:after="0" w:line="155"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Article 5</w:t>
      </w:r>
    </w:p>
    <w:p>
      <w:pPr>
        <w:jc w:val="center"/>
        <w:ind w:right="3239"/>
        <w:spacing w:after="0" w:line="237" w:lineRule="auto"/>
        <w:rPr>
          <w:sz w:val="20"/>
          <w:szCs w:val="20"/>
          <w:color w:val="auto"/>
        </w:rPr>
      </w:pPr>
      <w:r>
        <w:rPr>
          <w:rFonts w:ascii="Courier New" w:cs="Courier New" w:eastAsia="Courier New" w:hAnsi="Courier New"/>
          <w:sz w:val="15"/>
          <w:szCs w:val="15"/>
          <w:color w:val="auto"/>
        </w:rPr>
        <w:t>THE DEPOSITARY, THE DEPOSITARY'S AGENTS, THE REGISTRAR AND THE COMPANY</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Section 5.01 Maintenance of Offices, Agencies and Transfer Books by the Depositary; Registrar. Upon execution of this Deposit Agreement, the Depositary shall maintain at the Depositary's Office, facilities for the execution and delivery, registration and registration of transfer, surrender and exchange, split-up, combination and redemption of Receipts and deposit and withdrawal of Stock, and at the offices of the Depositary's Agents, if any, facilities for the delivery, registration of transfer, surrender and exchange, split-up, combination and redemption of Receipts and deposit and withdrawal of Stock, all in accordance with the provisions of this Deposit Agreement.</w:t>
      </w:r>
    </w:p>
    <w:p>
      <w:pPr>
        <w:spacing w:after="0" w:line="165"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Depositary shall keep books at the Depositary's Office for the registration and registration of transfer of Receipts, which books at all reasonable times shall be open for inspection by the holders of Receipts; provided that any such holder requesting to exercise such right shall certify to the Depositary that such inspection shall be for a proper purpose reasonably related to such person's interest as an owner of Depositary Shares evidenced by the Receipts.</w:t>
      </w:r>
    </w:p>
    <w:p>
      <w:pPr>
        <w:spacing w:after="0" w:line="176"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The Depositary may close such books, at any time or from time to time, when deemed expedient by it in connection with the performance of its duties hereunder.</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39"/>
          </w:cols>
          <w:pgMar w:left="220" w:top="792" w:right="1440" w:bottom="1440" w:gutter="0" w:footer="0" w:header="0"/>
        </w:sectPr>
      </w:pPr>
    </w:p>
    <w:bookmarkStart w:id="266" w:name="page267"/>
    <w:bookmarkEnd w:id="266"/>
    <w:p>
      <w:pPr>
        <w:ind w:right="3239" w:firstLine="437"/>
        <w:spacing w:after="0" w:line="255" w:lineRule="auto"/>
        <w:rPr>
          <w:sz w:val="20"/>
          <w:szCs w:val="20"/>
          <w:color w:val="auto"/>
        </w:rPr>
      </w:pPr>
      <w:r>
        <w:rPr>
          <w:rFonts w:ascii="Courier New" w:cs="Courier New" w:eastAsia="Courier New" w:hAnsi="Courier New"/>
          <w:sz w:val="14"/>
          <w:szCs w:val="14"/>
          <w:color w:val="auto"/>
        </w:rPr>
        <w:t>The Depositary may, with the approval of the Company, appoint a Registrar for registration of the Receipts or the Depositary Shares evidenced thereby. If the Receipts or the Depositary Shares evidenced thereby or the Stock represented by such Depositary Shares shall be listed on the New York Stock Exchange, the Depositary will appoint a Registrar (acceptable to the Company) for registration of such Receipts or Depositary Shares in accordance with any requirements of such Exchange. Such Registrar (which may be the Depositary if so permitted by the requirements of such Exchange) may be removed and a substitute registrar appointed by the Depositary upon the request or with the approval of the Company. If the Receipts, such Depositary Shares or such Stock are listed on one or more other stock exchanges, the Depositary will, at the request of the Company, arrange such facilities for the delivery, registration, registration of transfer, surrender and exchange of such Receipts, such Depositary Shares or such Stock as may be required by law or applicable stock exchange regulation.</w:t>
      </w:r>
    </w:p>
    <w:p>
      <w:pPr>
        <w:spacing w:after="0" w:line="164"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Section 5.02 Prevention of or Delay in Performance by the Depositary or the Company. Neither the Depositary nor the Company shall incur any liability to any holder of any Receipt if by reason of any provision of any present or future law, or regulation thereunder, of the United States of America or of any other governmental authority or by reason of any provision, present or future, of the Company's Amended and Restated Certificate of Incorporation, as amended (including the Certificate) or of the Depositary Shares or by reason of any act of God or war or other circumstance beyond the control of the relevant party, the Depositary or the Company shall be prevented or forbidden from, delayed in, or subjected to any penalty on account of, doing or performing any act or thing which the terms of this Deposit Agreement provide shall be done or performed; nor shall the Depositary or the Company incur liability to any holder of a Receipt (i) by reason of any nonperformance or delay, caused as aforesaid, in the performance of any act or thing which the terms of this Deposit Agreement shall provide shall or may be done or performed, or (ii) by reason of any exercise of, or failure to exercise, any discretion provided for in this Deposit Agreement except, in the case of any such exercise or failure to exercise discretion not caused as aforesaid, if caused by the negligence or willful misconduct of the party charged with such exercise or failure to exercise.</w:t>
      </w:r>
    </w:p>
    <w:p>
      <w:pPr>
        <w:spacing w:after="0" w:line="175"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Where, by the terms of a distribution pursuant to Sections 4.01 or 4.02 of this Deposit Agreement, or an offering or distribution pursuant to Section 4.03 of this Deposit Agreement, or for any other reason, such distribution or offering may not be made available to holders of Receipts, and the Depositary may not dispose of such distribution or offering on behalf of such holders and make the net proceeds available to such holders, then the Depositary shall not make such distribution or offering, and shall allow any rights, if applicable, to lapse.</w:t>
      </w:r>
    </w:p>
    <w:p>
      <w:pPr>
        <w:spacing w:after="0" w:line="177"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Section 5.03 Obligation of the Depositary and the Company. Neither the Depositary nor the Company assumes any obligation or shall be subject to any liability under this Deposit Agreement to holders of Receipts except that each of them agrees (i) to use its best judgment and good faith in the performance of such duties as are specifically set forth in this Deposit Agreement and (ii) that it shall be liable for negligence or willful misconduct in the performance of such duties as are specifically set forth in this Deposit Agreement.</w:t>
      </w:r>
    </w:p>
    <w:p>
      <w:pPr>
        <w:spacing w:after="0" w:line="32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39"/>
          </w:cols>
          <w:pgMar w:left="220" w:top="792" w:right="1440" w:bottom="1440" w:gutter="0" w:footer="0" w:header="0"/>
        </w:sectPr>
      </w:pPr>
    </w:p>
    <w:bookmarkStart w:id="267" w:name="page268"/>
    <w:bookmarkEnd w:id="267"/>
    <w:p>
      <w:pPr>
        <w:ind w:right="3319" w:firstLine="437"/>
        <w:spacing w:after="0" w:line="256" w:lineRule="auto"/>
        <w:rPr>
          <w:sz w:val="20"/>
          <w:szCs w:val="20"/>
          <w:color w:val="auto"/>
        </w:rPr>
      </w:pPr>
      <w:r>
        <w:rPr>
          <w:rFonts w:ascii="Courier New" w:cs="Courier New" w:eastAsia="Courier New" w:hAnsi="Courier New"/>
          <w:sz w:val="14"/>
          <w:szCs w:val="14"/>
          <w:color w:val="auto"/>
        </w:rPr>
        <w:t>Neither the Depositary nor the Company shall be under any obligation to appear in, prosecute or defend any action, suit or other proceeding in respect of the Stock, the Depositary Shares or the Receipts that in its opinion may involve it in expense or liability, unless indemnity satisfactory to it against all expense and liability shall be furnished as often as may be required.</w:t>
      </w:r>
    </w:p>
    <w:p>
      <w:pPr>
        <w:spacing w:after="0" w:line="16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Neither the Depositary nor the Company shall be liable for any action or any failure to act by it in reliance upon the advice of legal counsel or accountants, or information from any person presenting Stock for deposit, any holder of a Receipt or any other person believed by it in good faith to be competent to give such advice or information. The Depositary and the Company may each rely and shall each be protected in acting upon any written notice, request, direction or other document believed by it to be genuine and to have been signed or presented by the proper party or parties.</w:t>
      </w:r>
    </w:p>
    <w:p>
      <w:pPr>
        <w:spacing w:after="0" w:line="177" w:lineRule="exact"/>
        <w:rPr>
          <w:sz w:val="20"/>
          <w:szCs w:val="20"/>
          <w:color w:val="auto"/>
        </w:rPr>
      </w:pPr>
    </w:p>
    <w:p>
      <w:pPr>
        <w:ind w:right="3399" w:firstLine="437"/>
        <w:spacing w:after="0" w:line="236" w:lineRule="auto"/>
        <w:rPr>
          <w:sz w:val="20"/>
          <w:szCs w:val="20"/>
          <w:color w:val="auto"/>
        </w:rPr>
      </w:pPr>
      <w:r>
        <w:rPr>
          <w:rFonts w:ascii="Courier New" w:cs="Courier New" w:eastAsia="Courier New" w:hAnsi="Courier New"/>
          <w:sz w:val="15"/>
          <w:szCs w:val="15"/>
          <w:color w:val="auto"/>
        </w:rPr>
        <w:t>The Depositary shall not be responsible for any failure to carry out any instruction to vote any of the shares of Stock or for the manner or effect of any such vote made, as long as any such action or non-action is in good faith. The Depositary undertakes to perform such duties and only such duties as are specifically set forth in this Deposit Agreement, and no implied covenants or obligations shall be read into this Deposit Agreement against the Depositary. The Depositary may also act as transfer agent or registrar of any of the securities of the Company and its affiliates.</w:t>
      </w:r>
    </w:p>
    <w:p>
      <w:pPr>
        <w:spacing w:after="0" w:line="177" w:lineRule="exact"/>
        <w:rPr>
          <w:sz w:val="20"/>
          <w:szCs w:val="20"/>
          <w:color w:val="auto"/>
        </w:rPr>
      </w:pPr>
    </w:p>
    <w:p>
      <w:pPr>
        <w:jc w:val="both"/>
        <w:ind w:right="3399" w:firstLine="437"/>
        <w:spacing w:after="0" w:line="235" w:lineRule="auto"/>
        <w:rPr>
          <w:sz w:val="20"/>
          <w:szCs w:val="20"/>
          <w:color w:val="auto"/>
        </w:rPr>
      </w:pPr>
      <w:r>
        <w:rPr>
          <w:rFonts w:ascii="Courier New" w:cs="Courier New" w:eastAsia="Courier New" w:hAnsi="Courier New"/>
          <w:sz w:val="15"/>
          <w:szCs w:val="15"/>
          <w:color w:val="auto"/>
        </w:rPr>
        <w:t>The Depositary undertakes not to issue any Receipt other than to evidence the Depositary Shares then on deposit with the Depositary. The Depositary also undertakes not to sell (except as provided herein), pledge or lend Depositary Shares held by it as Depositary.</w:t>
      </w:r>
    </w:p>
    <w:p>
      <w:pPr>
        <w:spacing w:after="0" w:line="175" w:lineRule="exact"/>
        <w:rPr>
          <w:sz w:val="20"/>
          <w:szCs w:val="20"/>
          <w:color w:val="auto"/>
        </w:rPr>
      </w:pPr>
    </w:p>
    <w:p>
      <w:pPr>
        <w:ind w:right="3679" w:firstLine="437"/>
        <w:spacing w:after="0" w:line="234" w:lineRule="auto"/>
        <w:rPr>
          <w:sz w:val="20"/>
          <w:szCs w:val="20"/>
          <w:color w:val="auto"/>
        </w:rPr>
      </w:pPr>
      <w:r>
        <w:rPr>
          <w:rFonts w:ascii="Courier New" w:cs="Courier New" w:eastAsia="Courier New" w:hAnsi="Courier New"/>
          <w:sz w:val="15"/>
          <w:szCs w:val="15"/>
          <w:color w:val="auto"/>
        </w:rPr>
        <w:t>No disclaimer of liability under the Securities Act is intended by any provision of this Deposit Agreement.</w:t>
      </w:r>
    </w:p>
    <w:p>
      <w:pPr>
        <w:spacing w:after="0" w:line="173"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Section 5.04 Resignation and Removal of the Depositary; Appointment of Successor Depositary. The Depositary may at any time resign as Depositary hereunder by delivering written notice of its election to do so to the Company, such resignation to take effect upon the appointment of a successor Depositary and its acceptance of such appointment as hereinafter provided.</w:t>
      </w:r>
    </w:p>
    <w:p>
      <w:pPr>
        <w:spacing w:after="0" w:line="174"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The Depositary may at any time be removed by the Company by notice of such removal delivered to the Depositary, such removal to take effect upon the appointment of a successor Depositary and its acceptance of such appointment as hereinafter provided.</w:t>
      </w:r>
    </w:p>
    <w:p>
      <w:pPr>
        <w:spacing w:after="0" w:line="16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In case at any time the Depositary acting hereunder shall resign or be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removed, the Company shall, within 60 days after the delivery of the notice of</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resignation or removal, as the case may be, appoint a successor Depositary,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which shall be a bank or trust company having its principal office in the United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States of America and having a combined capital and surplus of at least</w:t>
      </w:r>
    </w:p>
    <w:p>
      <w:pPr>
        <w:spacing w:after="0" w:line="237" w:lineRule="auto"/>
        <w:rPr>
          <w:sz w:val="20"/>
          <w:szCs w:val="20"/>
          <w:color w:val="auto"/>
        </w:rPr>
      </w:pPr>
      <w:r>
        <w:rPr>
          <w:rFonts w:ascii="Courier New" w:cs="Courier New" w:eastAsia="Courier New" w:hAnsi="Courier New"/>
          <w:sz w:val="15"/>
          <w:szCs w:val="15"/>
          <w:color w:val="auto"/>
        </w:rPr>
        <w:t>$50,000,000. If no successor Depositary shall have been so appointed and have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accepted appointment within 60 days after delivery of such notice, the resigning</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or removed Depositary may petition any court of competent jurisdiction for the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appointment of a successor Depositary.</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39"/>
          </w:cols>
          <w:pgMar w:left="220" w:top="792" w:right="1440" w:bottom="1440" w:gutter="0" w:footer="0" w:header="0"/>
        </w:sectPr>
      </w:pPr>
    </w:p>
    <w:bookmarkStart w:id="268" w:name="page269"/>
    <w:bookmarkEnd w:id="268"/>
    <w:p>
      <w:pPr>
        <w:ind w:right="3239"/>
        <w:spacing w:after="0" w:line="237" w:lineRule="auto"/>
        <w:rPr>
          <w:sz w:val="20"/>
          <w:szCs w:val="20"/>
          <w:color w:val="auto"/>
        </w:rPr>
      </w:pPr>
      <w:r>
        <w:rPr>
          <w:rFonts w:ascii="Courier New" w:cs="Courier New" w:eastAsia="Courier New" w:hAnsi="Courier New"/>
          <w:sz w:val="15"/>
          <w:szCs w:val="15"/>
          <w:color w:val="auto"/>
        </w:rPr>
        <w:t>Every successor Depositary shall execute and deliver to its predecessor and to the Company an instrument in writing accepting its appointment hereunder, and thereupon such successor Depositary, without any further act or deed, shall become fully vested with all the rights, powers, duties and obligations of its predecessor and for all purposes shall be the Depositary under this Deposit Agreement, and such predecessor, upon payment of all sums due it and upon the written request of the Company, shall execute and deliver an instrument transferring to such successor all rights and powers of such predecessor hereunder, shall duly assign, transfer and deliver all right, title and interest in the Stock and any moneys or property held hereunder to such successor, and shall deliver to such successor a list of the holders of all outstanding Receipts and such records, books and other information in its possession relating thereto.</w:t>
      </w:r>
    </w:p>
    <w:p>
      <w:pPr>
        <w:spacing w:after="0" w:line="173" w:lineRule="exact"/>
        <w:rPr>
          <w:sz w:val="20"/>
          <w:szCs w:val="20"/>
          <w:color w:val="auto"/>
        </w:rPr>
      </w:pPr>
    </w:p>
    <w:p>
      <w:pPr>
        <w:jc w:val="both"/>
        <w:ind w:right="3399" w:firstLine="437"/>
        <w:spacing w:after="0" w:line="236" w:lineRule="auto"/>
        <w:rPr>
          <w:sz w:val="20"/>
          <w:szCs w:val="20"/>
          <w:color w:val="auto"/>
        </w:rPr>
      </w:pPr>
      <w:r>
        <w:rPr>
          <w:rFonts w:ascii="Courier New" w:cs="Courier New" w:eastAsia="Courier New" w:hAnsi="Courier New"/>
          <w:sz w:val="15"/>
          <w:szCs w:val="15"/>
          <w:color w:val="auto"/>
        </w:rPr>
        <w:t>Any successor Depositary shall promptly mail notice of its appointment to the holders of Receipts. Any corporation into or with which the Depositary may be merged, consolidated or converted shall be the successor of such Depositary without the execution or filing of any document or any further act, and notice thereof shall not be required hereunder.</w:t>
      </w:r>
    </w:p>
    <w:p>
      <w:pPr>
        <w:spacing w:after="0" w:line="174"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Section 5.05 Corporate Notices and Reports. The Company agrees that it will transmit to the holders of Receipts, in each case at the addresses furnished to it pursuant to Section 4.08, all notices and reports (including without limitation financial statements) required by law or by the rules of any national securities exchange upon which the Stock, the Depositary Shares or the Receipts are listed, to be furnished to the holders of Receipts. Such transmission will be at the Company's expense.</w:t>
      </w:r>
    </w:p>
    <w:p>
      <w:pPr>
        <w:spacing w:after="0" w:line="176"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Section 5.06 Indemnification. The Company agrees to indemnify the Depositary, its directors, employees, agents and affiliates and any Depositary's Agent against, and hold each of them harmless from, any liability or expense (including, but not limited to, the reasonable fees and expenses of counsel) which may arise out of acts performed or omitted in accordance with the provisions of this Deposit Agreement and of the Receipts, as the same may be amended, modified or supplemented from time to time, (i) by either the Depositary or a Depositary's Agent or their respective directors, employees, agents and affiliates, except for any liability or expense arising out of the negligence or bad faith of any of them, or (ii) by the Company or any of its directors, employees, agents and affiliates.</w:t>
      </w:r>
    </w:p>
    <w:p>
      <w:pPr>
        <w:spacing w:after="0" w:line="180" w:lineRule="exact"/>
        <w:rPr>
          <w:sz w:val="20"/>
          <w:szCs w:val="20"/>
          <w:color w:val="auto"/>
        </w:rPr>
      </w:pPr>
    </w:p>
    <w:p>
      <w:pPr>
        <w:ind w:right="3399" w:firstLine="437"/>
        <w:spacing w:after="0" w:line="255" w:lineRule="auto"/>
        <w:rPr>
          <w:sz w:val="20"/>
          <w:szCs w:val="20"/>
          <w:color w:val="auto"/>
        </w:rPr>
      </w:pPr>
      <w:r>
        <w:rPr>
          <w:rFonts w:ascii="Courier New" w:cs="Courier New" w:eastAsia="Courier New" w:hAnsi="Courier New"/>
          <w:sz w:val="14"/>
          <w:szCs w:val="14"/>
          <w:color w:val="auto"/>
        </w:rPr>
        <w:t>The Depositary agrees to indemnify the Company, its directors, employees, agents and affiliates and hold them harmless from any liability or expense (including, but not limited to, the reasonable fees and expenses of counsel) which may arise out of acts performed or omitted by the Depositary or a Depositary's Agent or their respective directors, employees, agents and affiliates due to their negligence or bad faith. The obligations set forth in this Section 5.06 shall survive the termination of this Deposit Agreement and any succession or substitution of any Depositary.</w:t>
      </w:r>
    </w:p>
    <w:p>
      <w:pPr>
        <w:spacing w:after="0" w:line="166"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Any person seeking indemnification hereunder (an "indemnified person") shall notify the person from whom it is seeking indemnification in writing (the "indemnifying person") of the commencement of any action or claim in respect of which indemnification may be sought promptly after such indemnified person becomes aware of such commencement (provided that</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39"/>
          </w:cols>
          <w:pgMar w:left="220" w:top="792" w:right="1440" w:bottom="1440" w:gutter="0" w:footer="0" w:header="0"/>
        </w:sectPr>
      </w:pPr>
    </w:p>
    <w:bookmarkStart w:id="269" w:name="page270"/>
    <w:bookmarkEnd w:id="269"/>
    <w:p>
      <w:pPr>
        <w:ind w:right="3239"/>
        <w:spacing w:after="0" w:line="236" w:lineRule="auto"/>
        <w:rPr>
          <w:sz w:val="20"/>
          <w:szCs w:val="20"/>
          <w:color w:val="auto"/>
        </w:rPr>
      </w:pPr>
      <w:r>
        <w:rPr>
          <w:rFonts w:ascii="Courier New" w:cs="Courier New" w:eastAsia="Courier New" w:hAnsi="Courier New"/>
          <w:sz w:val="15"/>
          <w:szCs w:val="15"/>
          <w:color w:val="auto"/>
        </w:rPr>
        <w:t>the failure to make such notification shall not affect such indemnified person's rights under this Section 5.06) and shall consult in good faith with the indemnifying person as to the conduct of the defense of such action or claim, which shall be reasonable in the circumstances. No indemnified person shall compromise or settle any such action or claim without the consent of the indemnifying person.</w:t>
      </w:r>
    </w:p>
    <w:p>
      <w:pPr>
        <w:spacing w:after="0" w:line="175"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Section 5.07 Charges and Expenses. The Company shall pay all transfer and other taxes and governmental charges arising solely from the existence of the depositary arrangements. The Company shall pay all charges of the Depositary in connection with the initial deposit of the Stock and the initial issuance of the Depositary Shares, all withdrawals of shares of the Stock by owners of Depositary Shares and the registration of transfer of title to any Depositary Shares. All other transfer and other taxes and governmental charges shall be at the expense of holders of Depositary Shares. If, at the request of a holder of Receipts, the Depositary incurs charges or expenses for which it or the Company is not otherwise liable hereunder, such holder will be liable for such charges and expenses. All other charges and expenses of the Depositary and any Depositary's Agent hereunder and of any Registrar (including, in each case, fees and expenses of counsel) incident to the performance of their respective obligations hereunder will be paid by the Company upon consultation and agreement between the Depositary and the Company as to the amount and nature of such charges and expenses. The Depositary shall present its statement for charges and expenses to the Company once every three months or at such other intervals as the Company and the Depositary may agree.</w:t>
      </w:r>
    </w:p>
    <w:p>
      <w:pPr>
        <w:spacing w:after="0" w:line="168"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Article 6</w:t>
      </w:r>
    </w:p>
    <w:p>
      <w:pPr>
        <w:ind w:left="2460"/>
        <w:spacing w:after="0" w:line="237" w:lineRule="auto"/>
        <w:rPr>
          <w:sz w:val="20"/>
          <w:szCs w:val="20"/>
          <w:color w:val="auto"/>
        </w:rPr>
      </w:pPr>
      <w:r>
        <w:rPr>
          <w:rFonts w:ascii="Courier New" w:cs="Courier New" w:eastAsia="Courier New" w:hAnsi="Courier New"/>
          <w:sz w:val="15"/>
          <w:szCs w:val="15"/>
          <w:color w:val="auto"/>
        </w:rPr>
        <w:t>AMENDMENT AND TERMINATION</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Section 6.01 Amendment. The form of the Receipts and any provisions of this Deposit Agreement may at any time and from time to time be amended by agreement between the Company and the Depositary in any respect which they may deem necessary or desirable; provided, however, that no such amendment which shall materially and adversely alter the rights of the holders of Receipts shall be effective unless such amendment shall have been approved by the holders of at least a majority of the Depositary Shares then outstanding. Notwithstanding the foregoing, in no event may any amendment impair the right of any holder of any Receipts, upon surrender of such Receipts and subject to any conditions specified in this Deposit Agreement, to receive shares of Stock and any money or other property represented thereby, except in order to comply with mandatory provisions of applicable law. Every holder of an outstanding Receipt at the time any such amendment becomes effective in accordance with its terms shall be deemed, by continuing to hold such Receipt, to consent and agree to such amendment and to be bound by the Deposit Agreement as amended thereby.</w:t>
      </w:r>
    </w:p>
    <w:p>
      <w:pPr>
        <w:spacing w:after="0" w:line="16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Section 6.02 Termination. This Deposit Agreement may be terminated by the Company at any time upon not less than 60 days' prior written notice to the Depositary, in which case, upon a date that is not later than 30 days after the date of such notice, the Depositary shall deliver or make available for delivery to holders of Receipts, upon surrender of the Receipt or Receipts held by such holder, and upon payment of any applicable taxes or governmental</w:t>
      </w:r>
    </w:p>
    <w:p>
      <w:pPr>
        <w:spacing w:after="0" w:line="32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39"/>
          </w:cols>
          <w:pgMar w:left="220" w:top="792" w:right="1440" w:bottom="1440" w:gutter="0" w:footer="0" w:header="0"/>
        </w:sectPr>
      </w:pPr>
    </w:p>
    <w:bookmarkStart w:id="270" w:name="page271"/>
    <w:bookmarkEnd w:id="270"/>
    <w:p>
      <w:pPr>
        <w:ind w:right="3239"/>
        <w:spacing w:after="0" w:line="237" w:lineRule="auto"/>
        <w:rPr>
          <w:sz w:val="20"/>
          <w:szCs w:val="20"/>
          <w:color w:val="auto"/>
        </w:rPr>
      </w:pPr>
      <w:r>
        <w:rPr>
          <w:rFonts w:ascii="Courier New" w:cs="Courier New" w:eastAsia="Courier New" w:hAnsi="Courier New"/>
          <w:sz w:val="15"/>
          <w:szCs w:val="15"/>
          <w:color w:val="auto"/>
        </w:rPr>
        <w:t>charges, such number of whole shares of Stock represented by such Receipt or Receipts. The Depositary may likewise terminate this Deposit Agreement by mailing notice of such termination to the Company and the holders of all Receipts then outstanding if at any time 90 days shall have expired after the Depositary shall have delivered to the Company a written notice of its election to resign and a successor depositary shall not have been appointed and accepted its appointment as provided in Section 5.04. If the holder of any Receipt or Receipts shall not have surrendered such Receipt or Receipts in exchange for whole shares of Stock on or prior to the effective date of termination of this Deposit Agreement, such holder shall for all purposes, including the payment of dividends, be deemed to be a holder of the appropriate number of whole shares of Stock previously represented by such Receipt or Receipts and shall thereafter surrender to the Company such Receipt or Receipts in exchange for whole shares of Stock.</w:t>
      </w:r>
    </w:p>
    <w:p>
      <w:pPr>
        <w:spacing w:after="0" w:line="174"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If any Receipts shall remain outstanding after the date of termination, the Depositary thereafter shall discontinue the registration of transfers of Receipts, shall suspend the distribution of dividends to the holders thereof, and shall not give any further notices or perform any further acts under this Deposit Agreement, except that the Depositary shall continue to collect dividends and other distributions pertaining to the Stock, shall sell rights as provided in this Deposit Agreement, and shall continue to deliver such Stock, together with any dividends or other distributions received with respect thereto and the net proceeds of the sale of any rights or other property, in exchange for Receipts surrendered to the Depositary (after deducting, in each case, the fee of the Depositary for the surrender of a Receipt, any expenses for the account of the holder of such Receipt in accordance with the terms and conditions of this Deposit Agreement, and any applicable taxes or governmental charges). At any time after the expiration of one year from the date of termination, the Depositary may sell such Stock then held hereunder and may thereafter hold uninvested the net proceeds of any such sale, together with any other cash then held by it hereunder, without liability for interest, for the pro rata benefit of the holders which have not theretofore surrendered their Receipts. After making such sale, the Depositary shall be discharged from all obligations under this Deposit Agreement, except to account for such net proceeds and other cash (after deducting, in each case, the fee of the Depositary for the surrender of a Receipt, any expenses for the account of the holder of such Receipt in accordance with the terms and conditions of this Deposit Agreement, and any applicable taxes or governmental charges).</w:t>
      </w:r>
    </w:p>
    <w:p>
      <w:pPr>
        <w:spacing w:after="0" w:line="344"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This Deposit Agreement shall automatically terminate after there shall have been made a final distribution in respect of the Stock in connection with any liquidation, dissolution or winding up of the Company and such distribution shall have been distributed to the holders of Receipts pursuant to Section 4.01 or 4.02, as applicable.</w:t>
      </w:r>
    </w:p>
    <w:p>
      <w:pPr>
        <w:spacing w:after="0" w:line="174"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Upon the termination of this Deposit Agreement, the Company shall be discharged from all obligations under this Deposit Agreement except for its obligations to the Depositary and any Depositary's Agent and any Registrar under Sections 5.06 and 5.07.</w:t>
      </w:r>
    </w:p>
    <w:p>
      <w:pPr>
        <w:spacing w:after="0" w:line="33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39"/>
          </w:cols>
          <w:pgMar w:left="220" w:top="792" w:right="1440" w:bottom="1440" w:gutter="0" w:footer="0" w:header="0"/>
        </w:sectPr>
      </w:pPr>
    </w:p>
    <w:bookmarkStart w:id="271" w:name="page272"/>
    <w:bookmarkEnd w:id="271"/>
    <w:p>
      <w:pPr>
        <w:ind w:left="3080"/>
        <w:spacing w:after="0"/>
        <w:rPr>
          <w:sz w:val="20"/>
          <w:szCs w:val="20"/>
          <w:color w:val="auto"/>
        </w:rPr>
      </w:pPr>
      <w:r>
        <w:rPr>
          <w:rFonts w:ascii="Courier New" w:cs="Courier New" w:eastAsia="Courier New" w:hAnsi="Courier New"/>
          <w:sz w:val="15"/>
          <w:szCs w:val="15"/>
          <w:color w:val="auto"/>
        </w:rPr>
        <w:t>Article 7</w:t>
      </w:r>
    </w:p>
    <w:p>
      <w:pPr>
        <w:ind w:left="2980"/>
        <w:spacing w:after="0" w:line="237" w:lineRule="auto"/>
        <w:rPr>
          <w:sz w:val="20"/>
          <w:szCs w:val="20"/>
          <w:color w:val="auto"/>
        </w:rPr>
      </w:pPr>
      <w:r>
        <w:rPr>
          <w:rFonts w:ascii="Courier New" w:cs="Courier New" w:eastAsia="Courier New" w:hAnsi="Courier New"/>
          <w:sz w:val="15"/>
          <w:szCs w:val="15"/>
          <w:color w:val="auto"/>
        </w:rPr>
        <w:t>MISCELLANEOUS</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Section 7.01 Counterparts. This Deposit Agreement may be executed in any number of counterparts, and by each of the parties hereto on separate counterparts, each of which counterparts, when so executed and delivered, shall be deemed an original, but all such counterparts taken together shall constitute one and the same instrument.</w:t>
      </w:r>
    </w:p>
    <w:p>
      <w:pPr>
        <w:spacing w:after="0" w:line="174"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Section 7.02 Exclusive Benefit of Parties. This Deposit Agreement is for the exclusive benefit of the parties hereto, and their respective successors hereunder, and shall not be deemed to give any legal or equitable right, remedy or claim to any other person whatsoever.</w:t>
      </w:r>
    </w:p>
    <w:p>
      <w:pPr>
        <w:spacing w:after="0" w:line="175"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Section 7.03 Invalidity of Provisions. In case any one or more of the provisions contained in this Deposit Agreement or in the Receipts should be or become invalid, illegal or unenforceable in any respect, the validity, legality and enforceability of the remaining provisions contained herein or therein shall in no way be affected, prejudiced or disturbed thereby.</w:t>
      </w:r>
    </w:p>
    <w:p>
      <w:pPr>
        <w:spacing w:after="0" w:line="174"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Section 7.04 Notices. Any and all notices to be given to the Company hereunder or under the Receipts shall be in writing and shall be deemed to have been duly given if personally delivered or sent by mail, or by telegram or facsimile transmission confirmed by letter, addressed to the Company at</w:t>
      </w:r>
    </w:p>
    <w:p>
      <w:pPr>
        <w:spacing w:after="0" w:line="16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1500 Market Street</w:t>
      </w:r>
    </w:p>
    <w:p>
      <w:pPr>
        <w:ind w:left="440"/>
        <w:spacing w:after="0"/>
        <w:tabs>
          <w:tab w:leader="none" w:pos="2880" w:val="left"/>
        </w:tabs>
        <w:rPr>
          <w:sz w:val="20"/>
          <w:szCs w:val="20"/>
          <w:color w:val="auto"/>
        </w:rPr>
      </w:pPr>
      <w:r>
        <w:rPr>
          <w:rFonts w:ascii="Courier New" w:cs="Courier New" w:eastAsia="Courier New" w:hAnsi="Courier New"/>
          <w:sz w:val="15"/>
          <w:szCs w:val="15"/>
          <w:color w:val="auto"/>
        </w:rPr>
        <w:t>Philadelphia, Pennsylvania</w:t>
      </w:r>
      <w:r>
        <w:rPr>
          <w:sz w:val="20"/>
          <w:szCs w:val="20"/>
          <w:color w:val="auto"/>
        </w:rPr>
        <w:tab/>
      </w:r>
      <w:r>
        <w:rPr>
          <w:rFonts w:ascii="Courier New" w:cs="Courier New" w:eastAsia="Courier New" w:hAnsi="Courier New"/>
          <w:sz w:val="14"/>
          <w:szCs w:val="14"/>
          <w:color w:val="auto"/>
        </w:rPr>
        <w:t>19102-2148</w:t>
      </w:r>
    </w:p>
    <w:p>
      <w:pPr>
        <w:ind w:left="440"/>
        <w:spacing w:after="0" w:line="238" w:lineRule="auto"/>
        <w:tabs>
          <w:tab w:leader="none" w:pos="1480" w:val="left"/>
        </w:tabs>
        <w:rPr>
          <w:sz w:val="20"/>
          <w:szCs w:val="20"/>
          <w:color w:val="auto"/>
        </w:rPr>
      </w:pPr>
      <w:r>
        <w:rPr>
          <w:rFonts w:ascii="Courier New" w:cs="Courier New" w:eastAsia="Courier New" w:hAnsi="Courier New"/>
          <w:sz w:val="15"/>
          <w:szCs w:val="15"/>
          <w:color w:val="auto"/>
        </w:rPr>
        <w:t>Attention:</w:t>
        <w:tab/>
        <w:t>_________________</w:t>
      </w:r>
    </w:p>
    <w:p>
      <w:pPr>
        <w:ind w:left="440"/>
        <w:spacing w:after="0"/>
        <w:tabs>
          <w:tab w:leader="none" w:pos="1820" w:val="left"/>
        </w:tabs>
        <w:rPr>
          <w:sz w:val="20"/>
          <w:szCs w:val="20"/>
          <w:color w:val="auto"/>
        </w:rPr>
      </w:pPr>
      <w:r>
        <w:rPr>
          <w:rFonts w:ascii="Courier New" w:cs="Courier New" w:eastAsia="Courier New" w:hAnsi="Courier New"/>
          <w:sz w:val="15"/>
          <w:szCs w:val="15"/>
          <w:color w:val="auto"/>
        </w:rPr>
        <w:t>Telephone No.:</w:t>
      </w:r>
      <w:r>
        <w:rPr>
          <w:sz w:val="20"/>
          <w:szCs w:val="20"/>
          <w:color w:val="auto"/>
        </w:rPr>
        <w:tab/>
      </w:r>
      <w:r>
        <w:rPr>
          <w:rFonts w:ascii="Courier New" w:cs="Courier New" w:eastAsia="Courier New" w:hAnsi="Courier New"/>
          <w:sz w:val="14"/>
          <w:szCs w:val="14"/>
          <w:color w:val="auto"/>
        </w:rPr>
        <w:t>(215) 665-1700</w:t>
      </w:r>
    </w:p>
    <w:p>
      <w:pPr>
        <w:spacing w:after="0" w:line="173" w:lineRule="exact"/>
        <w:rPr>
          <w:sz w:val="20"/>
          <w:szCs w:val="20"/>
          <w:color w:val="auto"/>
        </w:rPr>
      </w:pPr>
    </w:p>
    <w:p>
      <w:pPr>
        <w:ind w:right="3319"/>
        <w:spacing w:after="0" w:line="234" w:lineRule="auto"/>
        <w:rPr>
          <w:sz w:val="20"/>
          <w:szCs w:val="20"/>
          <w:color w:val="auto"/>
        </w:rPr>
      </w:pPr>
      <w:r>
        <w:rPr>
          <w:rFonts w:ascii="Courier New" w:cs="Courier New" w:eastAsia="Courier New" w:hAnsi="Courier New"/>
          <w:sz w:val="15"/>
          <w:szCs w:val="15"/>
          <w:color w:val="auto"/>
        </w:rPr>
        <w:t>or at any other address of which the Company shall have notified the Depositary in writing.</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Any and all notices to be given to the Depositary hereunder or under the Receipts shall be in writing and shall be deemed to have been duly given if personally delivered or sent by mail, or by telegram or facsimile transmission confirmed by letter, addressed to the Depositary at the Depositary's Office at [ ], or at any other address of which the Depositary shall have notified the Company in writing.</w:t>
      </w:r>
    </w:p>
    <w:p>
      <w:pPr>
        <w:spacing w:after="0" w:line="175"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Any and all notices to be given to any holder of a Receipt hereunder or under the Receipts shall be in writing and shall be deemed to have been duly given if personally delivered or sent by mail, or by telegram or facsimile transmission confirmed by letter, addressed to such holder at the address of such holder as it appears on the books of the Depositary, or if such holder shall have filed with the Depositary a written request that notices intended for such holder be mailed to some other address, at the address designated in such request.</w:t>
      </w:r>
    </w:p>
    <w:p>
      <w:pPr>
        <w:spacing w:after="0" w:line="177"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Delivery of a notice sent by mail or by telegram or facsimile transmission shall be deemed to be effected at the time when a duly addressed letter containing the same (or a</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39"/>
          </w:cols>
          <w:pgMar w:left="220" w:top="785" w:right="1440" w:bottom="1440" w:gutter="0" w:footer="0" w:header="0"/>
        </w:sectPr>
      </w:pPr>
    </w:p>
    <w:bookmarkStart w:id="272" w:name="page273"/>
    <w:bookmarkEnd w:id="272"/>
    <w:p>
      <w:pPr>
        <w:ind w:right="3239"/>
        <w:spacing w:after="0" w:line="236" w:lineRule="auto"/>
        <w:rPr>
          <w:sz w:val="20"/>
          <w:szCs w:val="20"/>
          <w:color w:val="auto"/>
        </w:rPr>
      </w:pPr>
      <w:r>
        <w:rPr>
          <w:rFonts w:ascii="Courier New" w:cs="Courier New" w:eastAsia="Courier New" w:hAnsi="Courier New"/>
          <w:sz w:val="15"/>
          <w:szCs w:val="15"/>
          <w:color w:val="auto"/>
        </w:rPr>
        <w:t>confirmation thereof in the case of a telegram or facsimile transmission) is deposited, first class postage prepaid, in a post office letter box. The Depositary or the Company may, however, without liability, act upon any telegram or facsimile transmission received by it from the other or from any holder of a Receipt, notwithstanding that such telegram or facsimile transmission shall not subsequently be confirmed by letter or as aforesaid.</w:t>
      </w:r>
    </w:p>
    <w:p>
      <w:pPr>
        <w:spacing w:after="0" w:line="175" w:lineRule="exact"/>
        <w:rPr>
          <w:sz w:val="20"/>
          <w:szCs w:val="20"/>
          <w:color w:val="auto"/>
        </w:rPr>
      </w:pPr>
    </w:p>
    <w:p>
      <w:pPr>
        <w:ind w:right="3399" w:firstLine="437"/>
        <w:spacing w:after="0" w:line="236" w:lineRule="auto"/>
        <w:rPr>
          <w:sz w:val="20"/>
          <w:szCs w:val="20"/>
          <w:color w:val="auto"/>
        </w:rPr>
      </w:pPr>
      <w:r>
        <w:rPr>
          <w:rFonts w:ascii="Courier New" w:cs="Courier New" w:eastAsia="Courier New" w:hAnsi="Courier New"/>
          <w:sz w:val="15"/>
          <w:szCs w:val="15"/>
          <w:color w:val="auto"/>
        </w:rPr>
        <w:t>Section 7.05 Depositary's Agents. The Depositary may from time to time appoint Depositary's Agents to act in any respect for the Depositary for the purposes of this Deposit Agreement and may at any time appoint additional Depositary's Agents and vary or terminate the appointment of such Depositary's Agents. The Depositary will notify the Company of any such action and shall remain responsible for the performance of its obligations hereunder as if no Depositary Agent were appointed.</w:t>
      </w:r>
    </w:p>
    <w:p>
      <w:pPr>
        <w:spacing w:after="0" w:line="176" w:lineRule="exact"/>
        <w:rPr>
          <w:sz w:val="20"/>
          <w:szCs w:val="20"/>
          <w:color w:val="auto"/>
        </w:rPr>
      </w:pPr>
    </w:p>
    <w:p>
      <w:pPr>
        <w:ind w:right="3399" w:firstLine="437"/>
        <w:spacing w:after="0" w:line="235" w:lineRule="auto"/>
        <w:rPr>
          <w:sz w:val="20"/>
          <w:szCs w:val="20"/>
          <w:color w:val="auto"/>
        </w:rPr>
      </w:pPr>
      <w:r>
        <w:rPr>
          <w:rFonts w:ascii="Courier New" w:cs="Courier New" w:eastAsia="Courier New" w:hAnsi="Courier New"/>
          <w:sz w:val="15"/>
          <w:szCs w:val="15"/>
          <w:color w:val="auto"/>
        </w:rPr>
        <w:t>The Company hereby also appoints the Depositary as Registrar and Transfer Agent in respect of the Receipts and the Depositary hereby accepts such appointments.</w:t>
      </w:r>
    </w:p>
    <w:p>
      <w:pPr>
        <w:spacing w:after="0" w:line="174"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Section 7.06 Holders of Receipts are Parties. The holders of Receipts from time to time shall be parties to this Deposit Agreement and shall be bound by all of the terms and conditions hereof and of the Receipts by acceptance of delivery thereof.</w:t>
      </w:r>
    </w:p>
    <w:p>
      <w:pPr>
        <w:spacing w:after="0" w:line="175"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Section 7.07 Governing Law. This Deposit Agreement and the Receipts and all rights hereunder and thereunder and provisions hereof and thereof shall be governed by, and construed in accordance with, the laws of the State of New York.</w:t>
      </w:r>
    </w:p>
    <w:p>
      <w:pPr>
        <w:spacing w:after="0" w:line="175"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Section 7.08 Inspection of Deposit Agreement. Copies of this Deposit Agreement shall be filed with the Depositary and the Depositary's Agents and shall be open to inspection during business hours at the Depositary's Office and the respective offices of the Depositary's Agents, if any, by any holder of a Receipt.</w:t>
      </w:r>
    </w:p>
    <w:p>
      <w:pPr>
        <w:spacing w:after="0" w:line="174" w:lineRule="exact"/>
        <w:rPr>
          <w:sz w:val="20"/>
          <w:szCs w:val="20"/>
          <w:color w:val="auto"/>
        </w:rPr>
      </w:pPr>
    </w:p>
    <w:p>
      <w:pPr>
        <w:ind w:right="3319" w:firstLine="437"/>
        <w:spacing w:after="0" w:line="256" w:lineRule="auto"/>
        <w:rPr>
          <w:sz w:val="20"/>
          <w:szCs w:val="20"/>
          <w:color w:val="auto"/>
        </w:rPr>
      </w:pPr>
      <w:r>
        <w:rPr>
          <w:rFonts w:ascii="Courier New" w:cs="Courier New" w:eastAsia="Courier New" w:hAnsi="Courier New"/>
          <w:sz w:val="14"/>
          <w:szCs w:val="14"/>
          <w:color w:val="auto"/>
        </w:rPr>
        <w:t>Section 7.09 Headings. The headings of articles and sections in this Deposit Agreement and in the form of the Receipt set forth in Exhibit A hereto have been inserted for convenience only and are not to be regarded as a part of this Deposit Agreement or the Receipts or to have any bearing upon the meaning or interpretation of any provision contained herein or in the Receipts.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39"/>
          </w:cols>
          <w:pgMar w:left="220" w:top="792" w:right="1440" w:bottom="1440" w:gutter="0" w:footer="0" w:header="0"/>
        </w:sectPr>
      </w:pPr>
    </w:p>
    <w:bookmarkStart w:id="273" w:name="page274"/>
    <w:bookmarkEnd w:id="273"/>
    <w:p>
      <w:pPr>
        <w:ind w:right="3319" w:firstLine="437"/>
        <w:spacing w:after="0" w:line="235" w:lineRule="auto"/>
        <w:rPr>
          <w:sz w:val="20"/>
          <w:szCs w:val="20"/>
          <w:color w:val="auto"/>
        </w:rPr>
      </w:pPr>
      <w:r>
        <w:rPr>
          <w:rFonts w:ascii="Courier New" w:cs="Courier New" w:eastAsia="Courier New" w:hAnsi="Courier New"/>
          <w:sz w:val="15"/>
          <w:szCs w:val="15"/>
          <w:color w:val="auto"/>
        </w:rPr>
        <w:t>IN WITNESS WHEREOF, the Company and the Depositary have duly executed this Agreement as of the day and year first above set forth, and all holders of Receipts shall become parties hereto by and upon acceptance by them of delivery of Receipts issued in accordance with the terms hereof.</w:t>
      </w:r>
    </w:p>
    <w:p>
      <w:pPr>
        <w:spacing w:after="0" w:line="337" w:lineRule="exact"/>
        <w:rPr>
          <w:sz w:val="20"/>
          <w:szCs w:val="20"/>
          <w:color w:val="auto"/>
        </w:rPr>
      </w:pPr>
    </w:p>
    <w:p>
      <w:pPr>
        <w:ind w:left="3860"/>
        <w:spacing w:after="0"/>
        <w:rPr>
          <w:sz w:val="20"/>
          <w:szCs w:val="20"/>
          <w:color w:val="auto"/>
        </w:rPr>
      </w:pPr>
      <w:r>
        <w:rPr>
          <w:rFonts w:ascii="Courier New" w:cs="Courier New" w:eastAsia="Courier New" w:hAnsi="Courier New"/>
          <w:sz w:val="15"/>
          <w:szCs w:val="15"/>
          <w:color w:val="auto"/>
        </w:rPr>
        <w:t>COMCAST CORPORATION</w:t>
      </w:r>
    </w:p>
    <w:p>
      <w:pPr>
        <w:spacing w:after="0" w:line="335" w:lineRule="exact"/>
        <w:rPr>
          <w:sz w:val="20"/>
          <w:szCs w:val="20"/>
          <w:color w:val="auto"/>
        </w:rPr>
      </w:pPr>
    </w:p>
    <w:p>
      <w:pPr>
        <w:ind w:left="3860"/>
        <w:spacing w:after="0"/>
        <w:rPr>
          <w:sz w:val="20"/>
          <w:szCs w:val="20"/>
          <w:color w:val="auto"/>
        </w:rPr>
      </w:pPr>
      <w:r>
        <w:rPr>
          <w:rFonts w:ascii="Courier New" w:cs="Courier New" w:eastAsia="Courier New" w:hAnsi="Courier New"/>
          <w:sz w:val="15"/>
          <w:szCs w:val="15"/>
          <w:color w:val="auto"/>
        </w:rPr>
        <w:t>By</w:t>
      </w:r>
    </w:p>
    <w:p>
      <w:pPr>
        <w:spacing w:after="0" w:line="5" w:lineRule="exact"/>
        <w:rPr>
          <w:sz w:val="20"/>
          <w:szCs w:val="20"/>
          <w:color w:val="auto"/>
        </w:rPr>
      </w:pPr>
    </w:p>
    <w:p>
      <w:pPr>
        <w:ind w:left="412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4120"/>
        <w:spacing w:after="0"/>
        <w:rPr>
          <w:sz w:val="20"/>
          <w:szCs w:val="20"/>
          <w:color w:val="auto"/>
        </w:rPr>
      </w:pPr>
      <w:r>
        <w:rPr>
          <w:rFonts w:ascii="Courier New" w:cs="Courier New" w:eastAsia="Courier New" w:hAnsi="Courier New"/>
          <w:sz w:val="15"/>
          <w:szCs w:val="15"/>
          <w:color w:val="auto"/>
        </w:rPr>
        <w:t>Name:</w:t>
      </w:r>
    </w:p>
    <w:p>
      <w:pPr>
        <w:ind w:left="4120"/>
        <w:spacing w:after="0" w:line="237" w:lineRule="auto"/>
        <w:rPr>
          <w:sz w:val="20"/>
          <w:szCs w:val="20"/>
          <w:color w:val="auto"/>
        </w:rPr>
      </w:pPr>
      <w:r>
        <w:rPr>
          <w:rFonts w:ascii="Courier New" w:cs="Courier New" w:eastAsia="Courier New" w:hAnsi="Courier New"/>
          <w:sz w:val="15"/>
          <w:szCs w:val="15"/>
          <w:color w:val="auto"/>
        </w:rPr>
        <w:t>Title:</w:t>
      </w:r>
    </w:p>
    <w:p>
      <w:pPr>
        <w:sectPr>
          <w:pgSz w:w="11900" w:h="16838" w:orient="portrait"/>
          <w:cols w:equalWidth="0" w:num="1">
            <w:col w:w="10239"/>
          </w:cols>
          <w:pgMar w:left="220" w:top="792" w:right="1440" w:bottom="1440" w:gutter="0" w:footer="0" w:header="0"/>
        </w:sectPr>
      </w:pPr>
    </w:p>
    <w:p>
      <w:pPr>
        <w:spacing w:after="0" w:line="342" w:lineRule="exact"/>
        <w:rPr>
          <w:sz w:val="20"/>
          <w:szCs w:val="20"/>
          <w:color w:val="auto"/>
        </w:rPr>
      </w:pPr>
    </w:p>
    <w:p>
      <w:pPr>
        <w:ind w:left="3860"/>
        <w:spacing w:after="0"/>
        <w:rPr>
          <w:sz w:val="20"/>
          <w:szCs w:val="20"/>
          <w:color w:val="auto"/>
        </w:rPr>
      </w:pPr>
      <w:r>
        <w:rPr>
          <w:rFonts w:ascii="Courier New" w:cs="Courier New" w:eastAsia="Courier New" w:hAnsi="Courier New"/>
          <w:sz w:val="12"/>
          <w:szCs w:val="12"/>
          <w:color w:val="auto"/>
        </w:rPr>
        <w:t>[</w:t>
      </w:r>
    </w:p>
    <w:p>
      <w:pPr>
        <w:spacing w:after="0" w:line="20" w:lineRule="exact"/>
        <w:rPr>
          <w:sz w:val="20"/>
          <w:szCs w:val="20"/>
          <w:color w:val="auto"/>
        </w:rPr>
      </w:pPr>
      <w:r>
        <w:rPr>
          <w:sz w:val="20"/>
          <w:szCs w:val="20"/>
          <w:color w:val="auto"/>
        </w:rPr>
        <w:br w:type="column"/>
      </w:r>
    </w:p>
    <w:p>
      <w:pPr>
        <w:spacing w:after="0" w:line="322"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2"/>
          <w:szCs w:val="12"/>
          <w:color w:val="auto"/>
        </w:rPr>
        <w:t>]</w:t>
      </w:r>
    </w:p>
    <w:p>
      <w:pPr>
        <w:spacing w:after="0" w:line="200" w:lineRule="exact"/>
        <w:rPr>
          <w:sz w:val="20"/>
          <w:szCs w:val="20"/>
          <w:color w:val="auto"/>
        </w:rPr>
      </w:pPr>
    </w:p>
    <w:p>
      <w:pPr>
        <w:sectPr>
          <w:pgSz w:w="11900" w:h="16838" w:orient="portrait"/>
          <w:cols w:equalWidth="0" w:num="2">
            <w:col w:w="6200" w:space="720"/>
            <w:col w:w="3319"/>
          </w:cols>
          <w:pgMar w:left="220" w:top="792" w:right="1440" w:bottom="1440" w:gutter="0" w:footer="0" w:header="0"/>
          <w:type w:val="continuous"/>
        </w:sectPr>
      </w:pPr>
    </w:p>
    <w:p>
      <w:pPr>
        <w:spacing w:after="0" w:line="162" w:lineRule="exact"/>
        <w:rPr>
          <w:sz w:val="20"/>
          <w:szCs w:val="20"/>
          <w:color w:val="auto"/>
        </w:rPr>
      </w:pPr>
    </w:p>
    <w:p>
      <w:pPr>
        <w:ind w:left="3860"/>
        <w:spacing w:after="0"/>
        <w:rPr>
          <w:sz w:val="20"/>
          <w:szCs w:val="20"/>
          <w:color w:val="auto"/>
        </w:rPr>
      </w:pPr>
      <w:r>
        <w:rPr>
          <w:rFonts w:ascii="Courier New" w:cs="Courier New" w:eastAsia="Courier New" w:hAnsi="Courier New"/>
          <w:sz w:val="15"/>
          <w:szCs w:val="15"/>
          <w:color w:val="auto"/>
        </w:rPr>
        <w:t>By</w:t>
      </w:r>
    </w:p>
    <w:p>
      <w:pPr>
        <w:spacing w:after="0" w:line="5" w:lineRule="exact"/>
        <w:rPr>
          <w:sz w:val="20"/>
          <w:szCs w:val="20"/>
          <w:color w:val="auto"/>
        </w:rPr>
      </w:pPr>
    </w:p>
    <w:p>
      <w:pPr>
        <w:ind w:left="412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4120"/>
        <w:spacing w:after="0"/>
        <w:rPr>
          <w:sz w:val="20"/>
          <w:szCs w:val="20"/>
          <w:color w:val="auto"/>
        </w:rPr>
      </w:pPr>
      <w:r>
        <w:rPr>
          <w:rFonts w:ascii="Courier New" w:cs="Courier New" w:eastAsia="Courier New" w:hAnsi="Courier New"/>
          <w:sz w:val="15"/>
          <w:szCs w:val="15"/>
          <w:color w:val="auto"/>
        </w:rPr>
        <w:t>Name:</w:t>
      </w:r>
    </w:p>
    <w:p>
      <w:pPr>
        <w:ind w:left="4120"/>
        <w:spacing w:after="0" w:line="237" w:lineRule="auto"/>
        <w:rPr>
          <w:sz w:val="20"/>
          <w:szCs w:val="20"/>
          <w:color w:val="auto"/>
        </w:rPr>
      </w:pPr>
      <w:r>
        <w:rPr>
          <w:rFonts w:ascii="Courier New" w:cs="Courier New" w:eastAsia="Courier New" w:hAnsi="Courier New"/>
          <w:sz w:val="15"/>
          <w:szCs w:val="15"/>
          <w:color w:val="auto"/>
        </w:rPr>
        <w:t>Title:</w:t>
      </w:r>
    </w:p>
    <w:p>
      <w:pPr>
        <w:sectPr>
          <w:pgSz w:w="11900" w:h="16838" w:orient="portrait"/>
          <w:cols w:equalWidth="0" w:num="1">
            <w:col w:w="10239"/>
          </w:cols>
          <w:pgMar w:left="220" w:top="792"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39"/>
          </w:cols>
          <w:pgMar w:left="220" w:top="792" w:right="1440" w:bottom="1440" w:gutter="0" w:footer="0" w:header="0"/>
          <w:type w:val="continuous"/>
        </w:sectPr>
      </w:pPr>
    </w:p>
    <w:bookmarkStart w:id="274" w:name="page275"/>
    <w:bookmarkEnd w:id="274"/>
    <w:p>
      <w:pPr>
        <w:ind w:left="6220"/>
        <w:spacing w:after="0"/>
        <w:rPr>
          <w:sz w:val="20"/>
          <w:szCs w:val="20"/>
          <w:color w:val="auto"/>
        </w:rPr>
      </w:pPr>
      <w:r>
        <w:rPr>
          <w:rFonts w:ascii="Courier New" w:cs="Courier New" w:eastAsia="Courier New" w:hAnsi="Courier New"/>
          <w:sz w:val="14"/>
          <w:szCs w:val="14"/>
          <w:color w:val="auto"/>
        </w:rPr>
        <w:t>EXHIBIT A</w:t>
      </w:r>
    </w:p>
    <w:p>
      <w:pPr>
        <w:spacing w:after="0" w:line="340"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[FORM OF FACE OF RECEIPT]</w:t>
      </w:r>
    </w:p>
    <w:p>
      <w:pPr>
        <w:sectPr>
          <w:pgSz w:w="11900" w:h="16838" w:orient="portrait"/>
          <w:cols w:equalWidth="0" w:num="1">
            <w:col w:w="10239"/>
          </w:cols>
          <w:pgMar w:left="220" w:top="792" w:right="1440" w:bottom="1440" w:gutter="0" w:footer="0" w:header="0"/>
        </w:sectPr>
      </w:pP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NUMBER</w:t>
      </w:r>
    </w:p>
    <w:p>
      <w:pPr>
        <w:spacing w:after="0" w:line="20" w:lineRule="exact"/>
        <w:rPr>
          <w:sz w:val="20"/>
          <w:szCs w:val="20"/>
          <w:color w:val="auto"/>
        </w:rPr>
      </w:pPr>
      <w:r>
        <w:rPr>
          <w:sz w:val="20"/>
          <w:szCs w:val="20"/>
          <w:color w:val="auto"/>
        </w:rPr>
        <w:br w:type="column"/>
      </w:r>
    </w:p>
    <w:p>
      <w:pPr>
        <w:spacing w:after="0" w:line="32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DEPOSITARY SHARES</w:t>
      </w:r>
    </w:p>
    <w:p>
      <w:pPr>
        <w:spacing w:after="0" w:line="204" w:lineRule="exact"/>
        <w:rPr>
          <w:sz w:val="20"/>
          <w:szCs w:val="20"/>
          <w:color w:val="auto"/>
        </w:rPr>
      </w:pPr>
    </w:p>
    <w:p>
      <w:pPr>
        <w:sectPr>
          <w:pgSz w:w="11900" w:h="16838" w:orient="portrait"/>
          <w:cols w:equalWidth="0" w:num="2">
            <w:col w:w="4800" w:space="720"/>
            <w:col w:w="4719"/>
          </w:cols>
          <w:pgMar w:left="220" w:top="792" w:right="1440" w:bottom="1440" w:gutter="0" w:footer="0" w:header="0"/>
          <w:type w:val="continuous"/>
        </w:sectPr>
      </w:pPr>
    </w:p>
    <w:p>
      <w:pPr>
        <w:spacing w:after="0" w:line="1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DRB</w:t>
      </w:r>
    </w:p>
    <w:p>
      <w:pPr>
        <w:spacing w:after="0" w:line="341"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4"/>
          <w:szCs w:val="14"/>
          <w:color w:val="auto"/>
        </w:rPr>
        <w:t>DEPOSITARY RECEIPT FOR DEPOSITARY SHARES,</w:t>
      </w:r>
    </w:p>
    <w:p>
      <w:pPr>
        <w:spacing w:after="0" w:line="3"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REPRESENTING ____% PREFERRED STOCK OF</w:t>
      </w:r>
    </w:p>
    <w:p>
      <w:pPr>
        <w:spacing w:after="0" w:line="166"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COMCAST CORPORATION</w:t>
      </w:r>
    </w:p>
    <w:p>
      <w:pPr>
        <w:spacing w:after="0" w:line="335"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CUSIP_______________</w:t>
      </w:r>
    </w:p>
    <w:p>
      <w:pPr>
        <w:sectPr>
          <w:pgSz w:w="11900" w:h="16838" w:orient="portrait"/>
          <w:cols w:equalWidth="0" w:num="1">
            <w:col w:w="10239"/>
          </w:cols>
          <w:pgMar w:left="220" w:top="792" w:right="1440" w:bottom="1440" w:gutter="0" w:footer="0" w:header="0"/>
          <w:type w:val="continuous"/>
        </w:sectPr>
      </w:pPr>
    </w:p>
    <w:p>
      <w:pPr>
        <w:spacing w:after="0" w:line="200" w:lineRule="exact"/>
        <w:rPr>
          <w:sz w:val="20"/>
          <w:szCs w:val="20"/>
          <w:color w:val="auto"/>
        </w:rPr>
      </w:pPr>
    </w:p>
    <w:p>
      <w:pPr>
        <w:spacing w:after="0" w:line="303" w:lineRule="exact"/>
        <w:rPr>
          <w:sz w:val="20"/>
          <w:szCs w:val="20"/>
          <w:color w:val="auto"/>
        </w:rPr>
      </w:pPr>
    </w:p>
    <w:p>
      <w:pPr>
        <w:spacing w:after="0"/>
        <w:tabs>
          <w:tab w:leader="none" w:pos="5240" w:val="left"/>
        </w:tabs>
        <w:rPr>
          <w:sz w:val="20"/>
          <w:szCs w:val="20"/>
          <w:color w:val="auto"/>
        </w:rPr>
      </w:pPr>
      <w:r>
        <w:rPr>
          <w:rFonts w:ascii="Courier New" w:cs="Courier New" w:eastAsia="Courier New" w:hAnsi="Courier New"/>
          <w:sz w:val="15"/>
          <w:szCs w:val="15"/>
          <w:color w:val="auto"/>
        </w:rPr>
        <w:t>INCORPORATED UNDER THE LAWS OF THE STATE OF PENNSYLVANIA.</w:t>
      </w:r>
      <w:r>
        <w:rPr>
          <w:sz w:val="20"/>
          <w:szCs w:val="20"/>
          <w:color w:val="auto"/>
        </w:rPr>
        <w:tab/>
      </w:r>
      <w:r>
        <w:rPr>
          <w:rFonts w:ascii="Courier New" w:cs="Courier New" w:eastAsia="Courier New" w:hAnsi="Courier New"/>
          <w:sz w:val="14"/>
          <w:szCs w:val="14"/>
          <w:color w:val="auto"/>
        </w:rPr>
        <w:t>SEE REVERSE FOR CERTAIN DEFINITIONS</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[___________], as Depositary (the "Depositary"), hereby certifies that</w:t>
      </w:r>
    </w:p>
    <w:p>
      <w:pPr>
        <w:sectPr>
          <w:pgSz w:w="11900" w:h="16838" w:orient="portrait"/>
          <w:cols w:equalWidth="0" w:num="1">
            <w:col w:w="10239"/>
          </w:cols>
          <w:pgMar w:left="220" w:top="792" w:right="1440" w:bottom="1440" w:gutter="0" w:footer="0" w:header="0"/>
          <w:type w:val="continuous"/>
        </w:sectPr>
      </w:pPr>
    </w:p>
    <w:p>
      <w:pPr>
        <w:spacing w:after="0" w:line="34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is the registered owner of</w:t>
      </w:r>
    </w:p>
    <w:p>
      <w:pPr>
        <w:spacing w:after="0" w:line="20" w:lineRule="exact"/>
        <w:rPr>
          <w:sz w:val="20"/>
          <w:szCs w:val="20"/>
          <w:color w:val="auto"/>
        </w:rPr>
      </w:pPr>
      <w:r>
        <w:rPr>
          <w:sz w:val="20"/>
          <w:szCs w:val="20"/>
          <w:color w:val="auto"/>
        </w:rPr>
        <w:br w:type="column"/>
      </w:r>
    </w:p>
    <w:p>
      <w:pPr>
        <w:spacing w:after="0" w:line="321"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DEPOSITARY SHARES</w:t>
      </w:r>
    </w:p>
    <w:p>
      <w:pPr>
        <w:spacing w:after="0" w:line="178" w:lineRule="exact"/>
        <w:rPr>
          <w:sz w:val="20"/>
          <w:szCs w:val="20"/>
          <w:color w:val="auto"/>
        </w:rPr>
      </w:pPr>
    </w:p>
    <w:p>
      <w:pPr>
        <w:sectPr>
          <w:pgSz w:w="11900" w:h="16838" w:orient="portrait"/>
          <w:cols w:equalWidth="0" w:num="2">
            <w:col w:w="4800" w:space="720"/>
            <w:col w:w="4719"/>
          </w:cols>
          <w:pgMar w:left="220" w:top="792" w:right="1440" w:bottom="1440" w:gutter="0" w:footer="0" w:header="0"/>
          <w:type w:val="continuous"/>
        </w:sectPr>
      </w:pPr>
    </w:p>
    <w:p>
      <w:pPr>
        <w:ind w:right="3399"/>
        <w:spacing w:after="0" w:line="254" w:lineRule="auto"/>
        <w:rPr>
          <w:sz w:val="20"/>
          <w:szCs w:val="20"/>
          <w:color w:val="auto"/>
        </w:rPr>
      </w:pPr>
      <w:r>
        <w:rPr>
          <w:rFonts w:ascii="Courier New" w:cs="Courier New" w:eastAsia="Courier New" w:hAnsi="Courier New"/>
          <w:sz w:val="14"/>
          <w:szCs w:val="14"/>
          <w:color w:val="auto"/>
        </w:rPr>
        <w:t>("Depositary Shares"), each Depositary Share representing [specify fraction] Preferred Stock, without par value, stated value $___ per share (the "Stock"), of Comcast Corporation, a Pennsylvania corporation (the "Corporation"), on deposit with the Depositary, subject to the terms and entitled to the benefits of the Deposit Agreement dated as of ________, ____ (the "Deposit Agreement"),</w:t>
      </w:r>
    </w:p>
    <w:p>
      <w:pPr>
        <w:spacing w:after="0" w:line="2" w:lineRule="exact"/>
        <w:rPr>
          <w:sz w:val="20"/>
          <w:szCs w:val="20"/>
          <w:color w:val="auto"/>
        </w:rPr>
      </w:pPr>
    </w:p>
    <w:p>
      <w:pPr>
        <w:ind w:right="3319"/>
        <w:spacing w:after="0" w:line="255" w:lineRule="auto"/>
        <w:rPr>
          <w:sz w:val="20"/>
          <w:szCs w:val="20"/>
          <w:color w:val="auto"/>
        </w:rPr>
      </w:pPr>
      <w:r>
        <w:rPr>
          <w:rFonts w:ascii="Courier New" w:cs="Courier New" w:eastAsia="Courier New" w:hAnsi="Courier New"/>
          <w:sz w:val="14"/>
          <w:szCs w:val="14"/>
          <w:color w:val="auto"/>
        </w:rPr>
        <w:t>among the Corporation, the Depositary and the holders from time to time of the Depositary Receipts issued thereunder. By accepting this Depositary Receipt the holder hereof becomes a party to and agrees to be bound by all the terms and conditions of the Deposit Agreement. This Depositary Receipt shall not be valid or obligatory for any purpose or entitled to any benefits under the Deposit Agreement unless it shall have been executed by the Depositary by the manual signature of a duly authorized signatory or, if executed in facsimile by the Depositary, countersigned by a Registrar in respect of the Depositary Receipts by the manual signature of a duly authorized signatory thereof.</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Dated:</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Countersigned and Registered:</w:t>
      </w:r>
    </w:p>
    <w:p>
      <w:pPr>
        <w:sectPr>
          <w:pgSz w:w="11900" w:h="16838" w:orient="portrait"/>
          <w:cols w:equalWidth="0" w:num="1">
            <w:col w:w="10239"/>
          </w:cols>
          <w:pgMar w:left="220" w:top="792" w:right="1440" w:bottom="1440" w:gutter="0" w:footer="0" w:header="0"/>
          <w:type w:val="continuous"/>
        </w:sectPr>
      </w:pPr>
    </w:p>
    <w:p>
      <w:pPr>
        <w:spacing w:after="0" w:line="5" w:lineRule="exact"/>
        <w:rPr>
          <w:sz w:val="20"/>
          <w:szCs w:val="20"/>
          <w:color w:val="auto"/>
        </w:rPr>
      </w:pPr>
    </w:p>
    <w:p>
      <w:pPr>
        <w:spacing w:after="0"/>
        <w:tabs>
          <w:tab w:leader="none" w:pos="1660" w:val="left"/>
        </w:tabs>
        <w:rPr>
          <w:sz w:val="20"/>
          <w:szCs w:val="20"/>
          <w:color w:val="auto"/>
        </w:rPr>
      </w:pPr>
      <w:r>
        <w:rPr>
          <w:rFonts w:ascii="Courier New" w:cs="Courier New" w:eastAsia="Courier New" w:hAnsi="Courier New"/>
          <w:sz w:val="12"/>
          <w:szCs w:val="12"/>
          <w:color w:val="auto"/>
        </w:rPr>
        <w:t>[</w:t>
      </w:r>
      <w:r>
        <w:rPr>
          <w:sz w:val="20"/>
          <w:szCs w:val="20"/>
          <w:color w:val="auto"/>
        </w:rPr>
        <w:tab/>
      </w:r>
      <w:r>
        <w:rPr>
          <w:rFonts w:ascii="Courier New" w:cs="Courier New" w:eastAsia="Courier New" w:hAnsi="Courier New"/>
          <w:sz w:val="12"/>
          <w:szCs w:val="12"/>
          <w:color w:val="auto"/>
        </w:rPr>
        <w:t>]</w:t>
      </w:r>
    </w:p>
    <w:p>
      <w:pPr>
        <w:spacing w:after="0" w:line="20" w:lineRule="exact"/>
        <w:rPr>
          <w:sz w:val="20"/>
          <w:szCs w:val="20"/>
          <w:color w:val="auto"/>
        </w:rPr>
      </w:pPr>
      <w:r>
        <w:rPr>
          <w:sz w:val="20"/>
          <w:szCs w:val="20"/>
          <w:color w:val="auto"/>
        </w:rPr>
        <w:br w:type="column"/>
      </w:r>
    </w:p>
    <w:p>
      <w:pPr>
        <w:spacing w:after="0" w:line="237" w:lineRule="auto"/>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2"/>
          <w:szCs w:val="12"/>
          <w:color w:val="auto"/>
        </w:rPr>
        <w:t>]</w:t>
      </w:r>
    </w:p>
    <w:p>
      <w:pPr>
        <w:spacing w:after="0" w:line="32" w:lineRule="exact"/>
        <w:rPr>
          <w:sz w:val="20"/>
          <w:szCs w:val="20"/>
          <w:color w:val="auto"/>
        </w:rPr>
      </w:pPr>
    </w:p>
    <w:p>
      <w:pPr>
        <w:sectPr>
          <w:pgSz w:w="11900" w:h="16838" w:orient="portrait"/>
          <w:cols w:equalWidth="0" w:num="3">
            <w:col w:w="3920" w:space="720"/>
            <w:col w:w="1120" w:space="720"/>
            <w:col w:w="3759"/>
          </w:cols>
          <w:pgMar w:left="220" w:top="792"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Registrar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Depositary</w:t>
      </w:r>
    </w:p>
    <w:p>
      <w:pPr>
        <w:spacing w:after="0" w:line="171" w:lineRule="exact"/>
        <w:rPr>
          <w:sz w:val="20"/>
          <w:szCs w:val="20"/>
          <w:color w:val="auto"/>
        </w:rPr>
      </w:pPr>
    </w:p>
    <w:p>
      <w:pPr>
        <w:sectPr>
          <w:pgSz w:w="11900" w:h="16838" w:orient="portrait"/>
          <w:cols w:equalWidth="0" w:num="2">
            <w:col w:w="4020" w:space="720"/>
            <w:col w:w="5499"/>
          </w:cols>
          <w:pgMar w:left="220" w:top="792"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By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By</w:t>
      </w:r>
    </w:p>
    <w:p>
      <w:pPr>
        <w:spacing w:after="0" w:line="200" w:lineRule="exact"/>
        <w:rPr>
          <w:sz w:val="20"/>
          <w:szCs w:val="20"/>
          <w:color w:val="auto"/>
        </w:rPr>
      </w:pPr>
    </w:p>
    <w:p>
      <w:pPr>
        <w:sectPr>
          <w:pgSz w:w="11900" w:h="16838" w:orient="portrait"/>
          <w:cols w:equalWidth="0" w:num="2">
            <w:col w:w="3920" w:space="720"/>
            <w:col w:w="5599"/>
          </w:cols>
          <w:pgMar w:left="220" w:top="792" w:right="1440" w:bottom="1440" w:gutter="0" w:footer="0" w:header="0"/>
          <w:type w:val="continuous"/>
        </w:sectPr>
      </w:pPr>
    </w:p>
    <w:p>
      <w:pPr>
        <w:spacing w:after="0" w:line="30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239"/>
          </w:cols>
          <w:pgMar w:left="220" w:top="792" w:right="1440" w:bottom="1440" w:gutter="0" w:footer="0" w:header="0"/>
          <w:type w:val="continuous"/>
        </w:sectPr>
      </w:pPr>
    </w:p>
    <w:bookmarkStart w:id="275" w:name="page276"/>
    <w:bookmarkEnd w:id="275"/>
    <w:p>
      <w:pPr>
        <w:ind w:left="2280"/>
        <w:spacing w:after="0"/>
        <w:rPr>
          <w:sz w:val="20"/>
          <w:szCs w:val="20"/>
          <w:color w:val="auto"/>
        </w:rPr>
      </w:pPr>
      <w:r>
        <w:rPr>
          <w:rFonts w:ascii="Courier New" w:cs="Courier New" w:eastAsia="Courier New" w:hAnsi="Courier New"/>
          <w:sz w:val="15"/>
          <w:szCs w:val="15"/>
          <w:color w:val="auto"/>
        </w:rPr>
        <w:t>[FORM OF REVERSE OF RECEIPT]</w:t>
      </w:r>
    </w:p>
    <w:p>
      <w:pPr>
        <w:spacing w:after="0" w:line="166"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COMCAST CORPORATION</w:t>
      </w:r>
    </w:p>
    <w:p>
      <w:pPr>
        <w:spacing w:after="0" w:line="341"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THE CORPORATION WILL FURNISH WITHOUT CHARGE TO EACH RECEIPTHOLDER WHO SO REQUESTS A COPY OF THE DEPOSIT AGREEMENT AND A COPY OR SUMMARY OF THE CERTIFICATE OF THE DESIGNATIONS, POWERS, PREFERENCES AND RELATIVE, PARTICIPATING, OPTIONAL OR OTHER RIGHTS, AND OF THE QUALIFICATIONS, LIMITATIONS OR RESTRICTIONS THEREOF, OF THE STOCK OF THE CORPORATION. ANY SUCH REQUEST IS TO BE ADDRESSED TO THE DEPOSITARY NAMED ON THE FACE OF THIS RECEIPT.</w:t>
      </w:r>
    </w:p>
    <w:p>
      <w:pPr>
        <w:spacing w:after="0" w:line="160"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w:t>
      </w:r>
    </w:p>
    <w:p>
      <w:pPr>
        <w:spacing w:after="0" w:line="173"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The following abbreviations, when used in the instructions on the face of this receipt, shall be construed as though they were written out in full according to applicable laws or regulations.</w:t>
      </w:r>
    </w:p>
    <w:p>
      <w:pPr>
        <w:sectPr>
          <w:pgSz w:w="11900" w:h="16838" w:orient="portrait"/>
          <w:cols w:equalWidth="0" w:num="1">
            <w:col w:w="10239"/>
          </w:cols>
          <w:pgMar w:left="220" w:top="1122" w:right="1440" w:bottom="1440" w:gutter="0" w:footer="0" w:header="0"/>
        </w:sect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TEN COM - as tenants in common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UNIF GIFT MIN ACT - _________ Custodian _________</w:t>
      </w:r>
    </w:p>
    <w:p>
      <w:pPr>
        <w:spacing w:after="0" w:line="3" w:lineRule="exact"/>
        <w:rPr>
          <w:sz w:val="20"/>
          <w:szCs w:val="20"/>
          <w:color w:val="auto"/>
        </w:rPr>
      </w:pPr>
    </w:p>
    <w:p>
      <w:pPr>
        <w:ind w:left="1840"/>
        <w:spacing w:after="0"/>
        <w:tabs>
          <w:tab w:leader="none" w:pos="3660" w:val="left"/>
        </w:tabs>
        <w:rPr>
          <w:sz w:val="20"/>
          <w:szCs w:val="20"/>
          <w:color w:val="auto"/>
        </w:rPr>
      </w:pPr>
      <w:r>
        <w:rPr>
          <w:rFonts w:ascii="Courier New" w:cs="Courier New" w:eastAsia="Courier New" w:hAnsi="Courier New"/>
          <w:sz w:val="15"/>
          <w:szCs w:val="15"/>
          <w:color w:val="auto"/>
        </w:rPr>
        <w:t>(Minor)</w:t>
      </w:r>
      <w:r>
        <w:rPr>
          <w:sz w:val="20"/>
          <w:szCs w:val="20"/>
          <w:color w:val="auto"/>
        </w:rPr>
        <w:tab/>
      </w:r>
      <w:r>
        <w:rPr>
          <w:rFonts w:ascii="Courier New" w:cs="Courier New" w:eastAsia="Courier New" w:hAnsi="Courier New"/>
          <w:sz w:val="15"/>
          <w:szCs w:val="15"/>
          <w:color w:val="auto"/>
        </w:rPr>
        <w:t>(Cust)</w:t>
      </w:r>
    </w:p>
    <w:p>
      <w:pPr>
        <w:spacing w:after="0" w:line="173" w:lineRule="exact"/>
        <w:rPr>
          <w:sz w:val="20"/>
          <w:szCs w:val="20"/>
          <w:color w:val="auto"/>
        </w:rPr>
      </w:pPr>
    </w:p>
    <w:p>
      <w:pPr>
        <w:sectPr>
          <w:pgSz w:w="11900" w:h="16838" w:orient="portrait"/>
          <w:cols w:equalWidth="0" w:num="2">
            <w:col w:w="3480" w:space="720"/>
            <w:col w:w="6039"/>
          </w:cols>
          <w:pgMar w:left="220" w:top="1122"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TEN ENT - as tenants by the entireties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Under Uniform Gifts to Minors Act</w:t>
      </w:r>
    </w:p>
    <w:p>
      <w:pPr>
        <w:spacing w:after="0" w:line="178" w:lineRule="exact"/>
        <w:rPr>
          <w:sz w:val="20"/>
          <w:szCs w:val="20"/>
          <w:color w:val="auto"/>
        </w:rPr>
      </w:pPr>
    </w:p>
    <w:p>
      <w:pPr>
        <w:sectPr>
          <w:pgSz w:w="11900" w:h="16838" w:orient="portrait"/>
          <w:cols w:equalWidth="0" w:num="2">
            <w:col w:w="3480" w:space="720"/>
            <w:col w:w="6039"/>
          </w:cols>
          <w:pgMar w:left="220" w:top="1122"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JT TEN -</w:t>
      </w:r>
    </w:p>
    <w:p>
      <w:pPr>
        <w:spacing w:after="0" w:line="20" w:lineRule="exact"/>
        <w:rPr>
          <w:sz w:val="20"/>
          <w:szCs w:val="20"/>
          <w:color w:val="auto"/>
        </w:rPr>
      </w:pPr>
      <w:r>
        <w:rPr>
          <w:sz w:val="20"/>
          <w:szCs w:val="20"/>
          <w:color w:val="auto"/>
        </w:rPr>
        <w:br w:type="column"/>
      </w:r>
    </w:p>
    <w:p>
      <w:pPr>
        <w:ind w:hanging="174"/>
        <w:spacing w:after="0" w:line="235" w:lineRule="auto"/>
        <w:rPr>
          <w:sz w:val="20"/>
          <w:szCs w:val="20"/>
          <w:color w:val="auto"/>
        </w:rPr>
      </w:pPr>
      <w:r>
        <w:rPr>
          <w:rFonts w:ascii="Courier New" w:cs="Courier New" w:eastAsia="Courier New" w:hAnsi="Courier New"/>
          <w:sz w:val="15"/>
          <w:szCs w:val="15"/>
          <w:color w:val="auto"/>
        </w:rPr>
        <w:t>as joint tenants with right of survivorship and not as tenants in common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________________</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(State)</w:t>
      </w:r>
    </w:p>
    <w:p>
      <w:pPr>
        <w:spacing w:after="0" w:line="341" w:lineRule="exact"/>
        <w:rPr>
          <w:sz w:val="20"/>
          <w:szCs w:val="20"/>
          <w:color w:val="auto"/>
        </w:rPr>
      </w:pPr>
    </w:p>
    <w:p>
      <w:pPr>
        <w:sectPr>
          <w:pgSz w:w="11900" w:h="16838" w:orient="portrait"/>
          <w:cols w:equalWidth="0" w:num="3">
            <w:col w:w="700" w:space="360"/>
            <w:col w:w="2440" w:space="700"/>
            <w:col w:w="6039"/>
          </w:cols>
          <w:pgMar w:left="220" w:top="1122" w:right="1440" w:bottom="1440" w:gutter="0" w:footer="0" w:header="0"/>
          <w:type w:val="continuous"/>
        </w:sectPr>
      </w:pPr>
    </w:p>
    <w:p>
      <w:pPr>
        <w:ind w:right="3759"/>
        <w:spacing w:after="0" w:line="261" w:lineRule="auto"/>
        <w:rPr>
          <w:sz w:val="20"/>
          <w:szCs w:val="20"/>
          <w:color w:val="auto"/>
        </w:rPr>
      </w:pPr>
      <w:r>
        <w:rPr>
          <w:rFonts w:ascii="Courier New" w:cs="Courier New" w:eastAsia="Courier New" w:hAnsi="Courier New"/>
          <w:sz w:val="14"/>
          <w:szCs w:val="14"/>
          <w:color w:val="auto"/>
        </w:rPr>
        <w:t>Additional abbreviations may also be used though not in the above list. For value received, _______ hereby sell(s), assign(s) and transfer(s) unto</w:t>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PLEASE INSERT SOCIAL SECURITY OR OTHER</w:t>
      </w:r>
    </w:p>
    <w:p>
      <w:pPr>
        <w:spacing w:after="0" w:line="237" w:lineRule="auto"/>
        <w:rPr>
          <w:sz w:val="20"/>
          <w:szCs w:val="20"/>
          <w:color w:val="auto"/>
        </w:rPr>
      </w:pPr>
      <w:r>
        <w:rPr>
          <w:rFonts w:ascii="Courier New" w:cs="Courier New" w:eastAsia="Courier New" w:hAnsi="Courier New"/>
          <w:sz w:val="15"/>
          <w:szCs w:val="15"/>
          <w:color w:val="auto"/>
        </w:rPr>
        <w:t>IDENTIFYING NUMBER OF ASSIGNEE</w:t>
      </w:r>
    </w:p>
    <w:p>
      <w:pPr>
        <w:spacing w:after="0" w:line="167" w:lineRule="exact"/>
        <w:rPr>
          <w:sz w:val="20"/>
          <w:szCs w:val="20"/>
          <w:color w:val="auto"/>
        </w:rPr>
      </w:pPr>
    </w:p>
    <w:p>
      <w:pPr>
        <w:ind w:left="180" w:hanging="170"/>
        <w:spacing w:after="0"/>
        <w:tabs>
          <w:tab w:leader="none" w:pos="180" w:val="left"/>
        </w:tabs>
        <w:numPr>
          <w:ilvl w:val="0"/>
          <w:numId w:val="1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66" w:lineRule="exact"/>
        <w:rPr>
          <w:rFonts w:ascii="Courier New" w:cs="Courier New" w:eastAsia="Courier New" w:hAnsi="Courier New"/>
          <w:sz w:val="15"/>
          <w:szCs w:val="15"/>
          <w:color w:val="auto"/>
        </w:rPr>
      </w:pPr>
    </w:p>
    <w:p>
      <w:pPr>
        <w:ind w:left="180" w:hanging="170"/>
        <w:spacing w:after="0"/>
        <w:tabs>
          <w:tab w:leader="none" w:pos="180" w:val="left"/>
        </w:tabs>
        <w:numPr>
          <w:ilvl w:val="0"/>
          <w:numId w:val="1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37" w:lineRule="auto"/>
        <w:rPr>
          <w:sz w:val="20"/>
          <w:szCs w:val="20"/>
          <w:color w:val="auto"/>
        </w:rPr>
      </w:pPr>
      <w:r>
        <w:rPr>
          <w:rFonts w:ascii="Courier New" w:cs="Courier New" w:eastAsia="Courier New" w:hAnsi="Courier New"/>
          <w:sz w:val="15"/>
          <w:szCs w:val="15"/>
          <w:color w:val="auto"/>
        </w:rPr>
        <w:t>PLEASE PRINT OR TYPEWRITE NAME AND ADDRESS, INCLUDING ZIP CODE, OF ASSIGNEE</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 Depositary Shares represented by the within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Receipt, hereby irrevocably constituting and appointing</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______________________________ Attorney to transfer the said Depositary Shares</w:t>
      </w:r>
    </w:p>
    <w:p>
      <w:pPr>
        <w:spacing w:after="0" w:line="10" w:lineRule="exact"/>
        <w:rPr>
          <w:sz w:val="20"/>
          <w:szCs w:val="20"/>
          <w:color w:val="auto"/>
        </w:rPr>
      </w:pPr>
    </w:p>
    <w:p>
      <w:pPr>
        <w:ind w:right="3399"/>
        <w:spacing w:after="0" w:line="234" w:lineRule="auto"/>
        <w:rPr>
          <w:sz w:val="20"/>
          <w:szCs w:val="20"/>
          <w:color w:val="auto"/>
        </w:rPr>
      </w:pPr>
      <w:r>
        <w:rPr>
          <w:rFonts w:ascii="Courier New" w:cs="Courier New" w:eastAsia="Courier New" w:hAnsi="Courier New"/>
          <w:sz w:val="15"/>
          <w:szCs w:val="15"/>
          <w:color w:val="auto"/>
        </w:rPr>
        <w:t>on the books of the within named Depositary with full power of substitution in the premises.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Dated:</w:t>
      </w:r>
    </w:p>
    <w:p>
      <w:pPr>
        <w:ind w:left="620"/>
        <w:spacing w:after="0" w:line="237" w:lineRule="auto"/>
        <w:rPr>
          <w:sz w:val="20"/>
          <w:szCs w:val="20"/>
          <w:color w:val="auto"/>
        </w:rPr>
      </w:pPr>
      <w:r>
        <w:rPr>
          <w:rFonts w:ascii="Courier New" w:cs="Courier New" w:eastAsia="Courier New" w:hAnsi="Courier New"/>
          <w:sz w:val="15"/>
          <w:szCs w:val="15"/>
          <w:color w:val="auto"/>
        </w:rPr>
        <w:t>----------------</w:t>
      </w:r>
    </w:p>
    <w:p>
      <w:pPr>
        <w:spacing w:after="0" w:line="173" w:lineRule="exact"/>
        <w:rPr>
          <w:sz w:val="20"/>
          <w:szCs w:val="20"/>
          <w:color w:val="auto"/>
        </w:rPr>
      </w:pPr>
    </w:p>
    <w:p>
      <w:pPr>
        <w:ind w:left="316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3160"/>
        <w:spacing w:after="0"/>
        <w:tabs>
          <w:tab w:leader="none" w:pos="3920" w:val="left"/>
        </w:tabs>
        <w:rPr>
          <w:sz w:val="20"/>
          <w:szCs w:val="20"/>
          <w:color w:val="auto"/>
        </w:rPr>
      </w:pPr>
      <w:r>
        <w:rPr>
          <w:rFonts w:ascii="Courier New" w:cs="Courier New" w:eastAsia="Courier New" w:hAnsi="Courier New"/>
          <w:sz w:val="15"/>
          <w:szCs w:val="15"/>
          <w:color w:val="auto"/>
        </w:rPr>
        <w:t>NOTICE:</w:t>
        <w:tab/>
        <w:t>The signature to the assignment</w:t>
      </w:r>
    </w:p>
    <w:p>
      <w:pPr>
        <w:ind w:left="3160"/>
        <w:spacing w:after="0" w:line="237" w:lineRule="auto"/>
        <w:rPr>
          <w:sz w:val="20"/>
          <w:szCs w:val="20"/>
          <w:color w:val="auto"/>
        </w:rPr>
      </w:pPr>
      <w:r>
        <w:rPr>
          <w:rFonts w:ascii="Courier New" w:cs="Courier New" w:eastAsia="Courier New" w:hAnsi="Courier New"/>
          <w:sz w:val="15"/>
          <w:szCs w:val="15"/>
          <w:color w:val="auto"/>
        </w:rPr>
        <w:t>must correspond with the name as written</w:t>
      </w:r>
    </w:p>
    <w:p>
      <w:pPr>
        <w:ind w:left="3160"/>
        <w:spacing w:after="0" w:line="238" w:lineRule="auto"/>
        <w:rPr>
          <w:sz w:val="20"/>
          <w:szCs w:val="20"/>
          <w:color w:val="auto"/>
        </w:rPr>
      </w:pPr>
      <w:r>
        <w:rPr>
          <w:rFonts w:ascii="Courier New" w:cs="Courier New" w:eastAsia="Courier New" w:hAnsi="Courier New"/>
          <w:sz w:val="15"/>
          <w:szCs w:val="15"/>
          <w:color w:val="auto"/>
        </w:rPr>
        <w:t>upon the face of this Receipt in every</w:t>
      </w:r>
    </w:p>
    <w:p>
      <w:pPr>
        <w:ind w:left="3160"/>
        <w:spacing w:after="0" w:line="237" w:lineRule="auto"/>
        <w:rPr>
          <w:sz w:val="20"/>
          <w:szCs w:val="20"/>
          <w:color w:val="auto"/>
        </w:rPr>
      </w:pPr>
      <w:r>
        <w:rPr>
          <w:rFonts w:ascii="Courier New" w:cs="Courier New" w:eastAsia="Courier New" w:hAnsi="Courier New"/>
          <w:sz w:val="15"/>
          <w:szCs w:val="15"/>
          <w:color w:val="auto"/>
        </w:rPr>
        <w:t>particular, without alteration or</w:t>
      </w:r>
    </w:p>
    <w:p>
      <w:pPr>
        <w:ind w:left="3160"/>
        <w:spacing w:after="0" w:line="238" w:lineRule="auto"/>
        <w:rPr>
          <w:sz w:val="20"/>
          <w:szCs w:val="20"/>
          <w:color w:val="auto"/>
        </w:rPr>
      </w:pPr>
      <w:r>
        <w:rPr>
          <w:rFonts w:ascii="Courier New" w:cs="Courier New" w:eastAsia="Courier New" w:hAnsi="Courier New"/>
          <w:sz w:val="15"/>
          <w:szCs w:val="15"/>
          <w:color w:val="auto"/>
        </w:rPr>
        <w:t>enlargement or any change whatever</w:t>
      </w:r>
    </w:p>
    <w:p>
      <w:pPr>
        <w:spacing w:after="0" w:line="200" w:lineRule="exact"/>
        <w:rPr>
          <w:sz w:val="20"/>
          <w:szCs w:val="20"/>
          <w:color w:val="auto"/>
        </w:rPr>
      </w:pPr>
    </w:p>
    <w:p>
      <w:pPr>
        <w:spacing w:after="0" w:line="30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0239"/>
          </w:cols>
          <w:pgMar w:left="220" w:top="1122" w:right="1440" w:bottom="1440" w:gutter="0" w:footer="0" w:header="0"/>
          <w:type w:val="continuous"/>
        </w:sectPr>
      </w:pPr>
    </w:p>
    <w:bookmarkStart w:id="276" w:name="page277"/>
    <w:bookmarkEnd w:id="276"/>
    <w:tbl>
      <w:tblPr>
        <w:tblLayout w:type="fixed"/>
        <w:tblInd w:w="0" w:type="dxa"/>
        <w:tblCellMar>
          <w:top w:w="0" w:type="dxa"/>
          <w:left w:w="0" w:type="dxa"/>
          <w:bottom w:w="0" w:type="dxa"/>
          <w:right w:w="0" w:type="dxa"/>
        </w:tblCellMar>
      </w:tblPr>
      <w:tr>
        <w:trPr>
          <w:trHeight w:val="170"/>
        </w:trPr>
        <w:tc>
          <w:tcPr>
            <w:tcW w:w="43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18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EXHIBIT 12.1</w:t>
            </w:r>
          </w:p>
        </w:tc>
      </w:tr>
      <w:tr>
        <w:trPr>
          <w:trHeight w:val="505"/>
        </w:trPr>
        <w:tc>
          <w:tcPr>
            <w:tcW w:w="4340" w:type="dxa"/>
            <w:vAlign w:val="bottom"/>
          </w:tcPr>
          <w:p>
            <w:pPr>
              <w:spacing w:after="0"/>
              <w:rPr>
                <w:sz w:val="24"/>
                <w:szCs w:val="24"/>
                <w:color w:val="auto"/>
              </w:rPr>
            </w:pPr>
          </w:p>
        </w:tc>
        <w:tc>
          <w:tcPr>
            <w:tcW w:w="266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rPr>
              <w:t>COMCAST CORPORATION</w:t>
            </w:r>
          </w:p>
        </w:tc>
        <w:tc>
          <w:tcPr>
            <w:tcW w:w="1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68"/>
        </w:trPr>
        <w:tc>
          <w:tcPr>
            <w:tcW w:w="9280" w:type="dxa"/>
            <w:vAlign w:val="bottom"/>
            <w:gridSpan w:val="5"/>
          </w:tcPr>
          <w:p>
            <w:pPr>
              <w:jc w:val="right"/>
              <w:ind w:right="367"/>
              <w:spacing w:after="0" w:line="168" w:lineRule="exact"/>
              <w:rPr>
                <w:sz w:val="20"/>
                <w:szCs w:val="20"/>
                <w:color w:val="auto"/>
              </w:rPr>
            </w:pPr>
            <w:r>
              <w:rPr>
                <w:rFonts w:ascii="Courier New" w:cs="Courier New" w:eastAsia="Courier New" w:hAnsi="Courier New"/>
                <w:sz w:val="15"/>
                <w:szCs w:val="15"/>
                <w:color w:val="auto"/>
              </w:rPr>
              <w:t>STATEMENT REGARDING COMPUTATION OF RATIO OF EARNINGS TO FIXED CHARGES</w:t>
            </w:r>
          </w:p>
        </w:tc>
        <w:tc>
          <w:tcPr>
            <w:tcW w:w="110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8"/>
        </w:trPr>
        <w:tc>
          <w:tcPr>
            <w:tcW w:w="4340" w:type="dxa"/>
            <w:vAlign w:val="bottom"/>
          </w:tcPr>
          <w:p>
            <w:pPr>
              <w:spacing w:after="0"/>
              <w:rPr>
                <w:sz w:val="14"/>
                <w:szCs w:val="14"/>
                <w:color w:val="auto"/>
              </w:rPr>
            </w:pPr>
          </w:p>
        </w:tc>
        <w:tc>
          <w:tcPr>
            <w:tcW w:w="26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(dollars in millions)</w:t>
            </w:r>
          </w:p>
        </w:tc>
        <w:tc>
          <w:tcPr>
            <w:tcW w:w="1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336"/>
        </w:trPr>
        <w:tc>
          <w:tcPr>
            <w:tcW w:w="4340" w:type="dxa"/>
            <w:vAlign w:val="bottom"/>
          </w:tcPr>
          <w:p>
            <w:pPr>
              <w:spacing w:after="0"/>
              <w:rPr>
                <w:sz w:val="24"/>
                <w:szCs w:val="24"/>
                <w:color w:val="auto"/>
              </w:rPr>
            </w:pPr>
          </w:p>
        </w:tc>
        <w:tc>
          <w:tcPr>
            <w:tcW w:w="266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Nine Months Ended</w:t>
            </w:r>
          </w:p>
        </w:tc>
        <w:tc>
          <w:tcPr>
            <w:tcW w:w="1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68"/>
        </w:trPr>
        <w:tc>
          <w:tcPr>
            <w:tcW w:w="4340" w:type="dxa"/>
            <w:vAlign w:val="bottom"/>
          </w:tcPr>
          <w:p>
            <w:pPr>
              <w:spacing w:after="0"/>
              <w:rPr>
                <w:sz w:val="14"/>
                <w:szCs w:val="14"/>
                <w:color w:val="auto"/>
              </w:rPr>
            </w:pPr>
          </w:p>
        </w:tc>
        <w:tc>
          <w:tcPr>
            <w:tcW w:w="1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September 30,</w:t>
            </w:r>
          </w:p>
        </w:tc>
        <w:tc>
          <w:tcPr>
            <w:tcW w:w="3540" w:type="dxa"/>
            <w:vAlign w:val="bottom"/>
            <w:gridSpan w:val="3"/>
          </w:tcPr>
          <w:p>
            <w:pPr>
              <w:jc w:val="right"/>
              <w:ind w:right="447"/>
              <w:spacing w:after="0" w:line="168" w:lineRule="exact"/>
              <w:rPr>
                <w:sz w:val="20"/>
                <w:szCs w:val="20"/>
                <w:color w:val="auto"/>
              </w:rPr>
            </w:pPr>
            <w:r>
              <w:rPr>
                <w:rFonts w:ascii="Courier New" w:cs="Courier New" w:eastAsia="Courier New" w:hAnsi="Courier New"/>
                <w:sz w:val="15"/>
                <w:szCs w:val="15"/>
                <w:color w:val="auto"/>
              </w:rPr>
              <w:t>Years Ended December 31,</w:t>
            </w:r>
          </w:p>
        </w:tc>
        <w:tc>
          <w:tcPr>
            <w:tcW w:w="110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8"/>
        </w:trPr>
        <w:tc>
          <w:tcPr>
            <w:tcW w:w="4340" w:type="dxa"/>
            <w:vAlign w:val="bottom"/>
          </w:tcPr>
          <w:p>
            <w:pPr>
              <w:spacing w:after="0"/>
              <w:rPr>
                <w:sz w:val="14"/>
                <w:szCs w:val="14"/>
                <w:color w:val="auto"/>
              </w:rPr>
            </w:pPr>
          </w:p>
        </w:tc>
        <w:tc>
          <w:tcPr>
            <w:tcW w:w="7120" w:type="dxa"/>
            <w:vAlign w:val="bottom"/>
            <w:gridSpan w:val="6"/>
          </w:tcPr>
          <w:p>
            <w:pPr>
              <w:ind w:left="40"/>
              <w:spacing w:after="0" w:line="168" w:lineRule="exact"/>
              <w:rPr>
                <w:sz w:val="20"/>
                <w:szCs w:val="20"/>
                <w:color w:val="auto"/>
              </w:rPr>
            </w:pPr>
            <w:r>
              <w:rPr>
                <w:rFonts w:ascii="Courier New" w:cs="Courier New" w:eastAsia="Courier New" w:hAnsi="Courier New"/>
                <w:sz w:val="15"/>
                <w:szCs w:val="15"/>
                <w:color w:val="auto"/>
                <w:w w:val="96"/>
              </w:rPr>
              <w:t>------------------ --------------------------------------------------------------</w:t>
            </w:r>
          </w:p>
        </w:tc>
      </w:tr>
      <w:tr>
        <w:trPr>
          <w:trHeight w:val="168"/>
        </w:trPr>
        <w:tc>
          <w:tcPr>
            <w:tcW w:w="4340" w:type="dxa"/>
            <w:vAlign w:val="bottom"/>
          </w:tcPr>
          <w:p>
            <w:pPr>
              <w:spacing w:after="0"/>
              <w:rPr>
                <w:sz w:val="14"/>
                <w:szCs w:val="14"/>
                <w:color w:val="auto"/>
              </w:rPr>
            </w:pPr>
          </w:p>
        </w:tc>
        <w:tc>
          <w:tcPr>
            <w:tcW w:w="14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2002</w:t>
            </w:r>
          </w:p>
        </w:tc>
        <w:tc>
          <w:tcPr>
            <w:tcW w:w="12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2001</w:t>
            </w:r>
          </w:p>
        </w:tc>
        <w:tc>
          <w:tcPr>
            <w:tcW w:w="11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2000</w:t>
            </w:r>
          </w:p>
        </w:tc>
        <w:tc>
          <w:tcPr>
            <w:tcW w:w="11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1999</w:t>
            </w:r>
          </w:p>
        </w:tc>
        <w:tc>
          <w:tcPr>
            <w:tcW w:w="11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1998</w:t>
            </w:r>
          </w:p>
        </w:tc>
        <w:tc>
          <w:tcPr>
            <w:tcW w:w="108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1997</w:t>
            </w:r>
          </w:p>
        </w:tc>
      </w:tr>
      <w:tr>
        <w:trPr>
          <w:trHeight w:val="168"/>
        </w:trPr>
        <w:tc>
          <w:tcPr>
            <w:tcW w:w="4340" w:type="dxa"/>
            <w:vAlign w:val="bottom"/>
          </w:tcPr>
          <w:p>
            <w:pPr>
              <w:spacing w:after="0"/>
              <w:rPr>
                <w:sz w:val="14"/>
                <w:szCs w:val="14"/>
                <w:color w:val="auto"/>
              </w:rPr>
            </w:pPr>
          </w:p>
        </w:tc>
        <w:tc>
          <w:tcPr>
            <w:tcW w:w="14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340" w:type="dxa"/>
            <w:vAlign w:val="bottom"/>
          </w:tcPr>
          <w:p>
            <w:pPr>
              <w:spacing w:after="0"/>
              <w:rPr>
                <w:sz w:val="20"/>
                <w:szCs w:val="20"/>
                <w:color w:val="auto"/>
              </w:rPr>
            </w:pPr>
            <w:r>
              <w:rPr>
                <w:rFonts w:ascii="Courier New" w:cs="Courier New" w:eastAsia="Courier New" w:hAnsi="Courier New"/>
                <w:sz w:val="15"/>
                <w:szCs w:val="15"/>
                <w:color w:val="auto"/>
              </w:rPr>
              <w:t>Earnings (loss) before fixed charges (1):</w:t>
            </w:r>
          </w:p>
        </w:tc>
        <w:tc>
          <w:tcPr>
            <w:tcW w:w="14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336"/>
        </w:trPr>
        <w:tc>
          <w:tcPr>
            <w:tcW w:w="4340" w:type="dxa"/>
            <w:vAlign w:val="bottom"/>
          </w:tcPr>
          <w:p>
            <w:pPr>
              <w:ind w:left="180"/>
              <w:spacing w:after="0"/>
              <w:rPr>
                <w:sz w:val="20"/>
                <w:szCs w:val="20"/>
                <w:color w:val="auto"/>
              </w:rPr>
            </w:pPr>
            <w:r>
              <w:rPr>
                <w:rFonts w:ascii="Courier New" w:cs="Courier New" w:eastAsia="Courier New" w:hAnsi="Courier New"/>
                <w:sz w:val="15"/>
                <w:szCs w:val="15"/>
                <w:color w:val="auto"/>
              </w:rPr>
              <w:t>Earnings (loss) from continuing operations</w:t>
            </w:r>
          </w:p>
        </w:tc>
        <w:tc>
          <w:tcPr>
            <w:tcW w:w="14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68"/>
        </w:trPr>
        <w:tc>
          <w:tcPr>
            <w:tcW w:w="43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w w:val="97"/>
              </w:rPr>
              <w:t>before cumulative effect of accounting change</w:t>
            </w:r>
          </w:p>
        </w:tc>
        <w:tc>
          <w:tcPr>
            <w:tcW w:w="14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($222.9)</w:t>
            </w:r>
          </w:p>
        </w:tc>
        <w:tc>
          <w:tcPr>
            <w:tcW w:w="12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$224.1</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$2,021.5</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$729.9</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$1,003.5</w:t>
            </w:r>
          </w:p>
        </w:tc>
        <w:tc>
          <w:tcPr>
            <w:tcW w:w="10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($213.1)</w:t>
            </w:r>
          </w:p>
        </w:tc>
      </w:tr>
      <w:tr>
        <w:trPr>
          <w:trHeight w:val="336"/>
        </w:trPr>
        <w:tc>
          <w:tcPr>
            <w:tcW w:w="4340" w:type="dxa"/>
            <w:vAlign w:val="bottom"/>
          </w:tcPr>
          <w:p>
            <w:pPr>
              <w:ind w:left="180"/>
              <w:spacing w:after="0"/>
              <w:rPr>
                <w:sz w:val="20"/>
                <w:szCs w:val="20"/>
                <w:color w:val="auto"/>
              </w:rPr>
            </w:pPr>
            <w:r>
              <w:rPr>
                <w:rFonts w:ascii="Courier New" w:cs="Courier New" w:eastAsia="Courier New" w:hAnsi="Courier New"/>
                <w:sz w:val="15"/>
                <w:szCs w:val="15"/>
                <w:color w:val="auto"/>
              </w:rPr>
              <w:t>Minority Interest</w:t>
            </w:r>
          </w:p>
        </w:tc>
        <w:tc>
          <w:tcPr>
            <w:tcW w:w="14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126.0</w:t>
            </w:r>
          </w:p>
        </w:tc>
        <w:tc>
          <w:tcPr>
            <w:tcW w:w="12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160.4</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115.3</w:t>
            </w:r>
          </w:p>
        </w:tc>
        <w:tc>
          <w:tcPr>
            <w:tcW w:w="11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(4.6)</w:t>
            </w: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(44.3)</w:t>
            </w:r>
          </w:p>
        </w:tc>
        <w:tc>
          <w:tcPr>
            <w:tcW w:w="10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(76.2)</w:t>
            </w:r>
          </w:p>
        </w:tc>
      </w:tr>
      <w:tr>
        <w:trPr>
          <w:trHeight w:val="336"/>
        </w:trPr>
        <w:tc>
          <w:tcPr>
            <w:tcW w:w="4340" w:type="dxa"/>
            <w:vAlign w:val="bottom"/>
          </w:tcPr>
          <w:p>
            <w:pPr>
              <w:ind w:left="180"/>
              <w:spacing w:after="0"/>
              <w:rPr>
                <w:sz w:val="20"/>
                <w:szCs w:val="20"/>
                <w:color w:val="auto"/>
              </w:rPr>
            </w:pPr>
            <w:r>
              <w:rPr>
                <w:rFonts w:ascii="Courier New" w:cs="Courier New" w:eastAsia="Courier New" w:hAnsi="Courier New"/>
                <w:sz w:val="15"/>
                <w:szCs w:val="15"/>
                <w:color w:val="auto"/>
              </w:rPr>
              <w:t>Income tax (benefit) expense</w:t>
            </w:r>
          </w:p>
        </w:tc>
        <w:tc>
          <w:tcPr>
            <w:tcW w:w="14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52.3</w:t>
            </w:r>
          </w:p>
        </w:tc>
        <w:tc>
          <w:tcPr>
            <w:tcW w:w="12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469.4</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1,428.6</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696.2</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591.7</w:t>
            </w:r>
          </w:p>
        </w:tc>
        <w:tc>
          <w:tcPr>
            <w:tcW w:w="10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54.1</w:t>
            </w:r>
          </w:p>
        </w:tc>
      </w:tr>
      <w:tr>
        <w:trPr>
          <w:trHeight w:val="336"/>
        </w:trPr>
        <w:tc>
          <w:tcPr>
            <w:tcW w:w="4340" w:type="dxa"/>
            <w:vAlign w:val="bottom"/>
          </w:tcPr>
          <w:p>
            <w:pPr>
              <w:ind w:left="180"/>
              <w:spacing w:after="0"/>
              <w:rPr>
                <w:sz w:val="20"/>
                <w:szCs w:val="20"/>
                <w:color w:val="auto"/>
              </w:rPr>
            </w:pPr>
            <w:r>
              <w:rPr>
                <w:rFonts w:ascii="Courier New" w:cs="Courier New" w:eastAsia="Courier New" w:hAnsi="Courier New"/>
                <w:sz w:val="15"/>
                <w:szCs w:val="15"/>
                <w:color w:val="auto"/>
              </w:rPr>
              <w:t>Equity in net (income) losses of affiliates</w:t>
            </w:r>
          </w:p>
        </w:tc>
        <w:tc>
          <w:tcPr>
            <w:tcW w:w="14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59.9</w:t>
            </w:r>
          </w:p>
        </w:tc>
        <w:tc>
          <w:tcPr>
            <w:tcW w:w="12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28.5</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21.3</w:t>
            </w:r>
          </w:p>
        </w:tc>
        <w:tc>
          <w:tcPr>
            <w:tcW w:w="11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(1.4)</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515.9</w:t>
            </w:r>
          </w:p>
        </w:tc>
        <w:tc>
          <w:tcPr>
            <w:tcW w:w="10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343.8</w:t>
            </w:r>
          </w:p>
        </w:tc>
      </w:tr>
      <w:tr>
        <w:trPr>
          <w:trHeight w:val="336"/>
        </w:trPr>
        <w:tc>
          <w:tcPr>
            <w:tcW w:w="4340" w:type="dxa"/>
            <w:vAlign w:val="bottom"/>
          </w:tcPr>
          <w:p>
            <w:pPr>
              <w:ind w:left="180"/>
              <w:spacing w:after="0"/>
              <w:rPr>
                <w:sz w:val="20"/>
                <w:szCs w:val="20"/>
                <w:color w:val="auto"/>
              </w:rPr>
            </w:pPr>
            <w:r>
              <w:rPr>
                <w:rFonts w:ascii="Courier New" w:cs="Courier New" w:eastAsia="Courier New" w:hAnsi="Courier New"/>
                <w:sz w:val="15"/>
                <w:szCs w:val="15"/>
                <w:color w:val="auto"/>
              </w:rPr>
              <w:t>Fixed charges</w:t>
            </w:r>
          </w:p>
        </w:tc>
        <w:tc>
          <w:tcPr>
            <w:tcW w:w="14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543.5</w:t>
            </w:r>
          </w:p>
        </w:tc>
        <w:tc>
          <w:tcPr>
            <w:tcW w:w="12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734.1</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727.7</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616.8</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473.2</w:t>
            </w:r>
          </w:p>
        </w:tc>
        <w:tc>
          <w:tcPr>
            <w:tcW w:w="10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523.4</w:t>
            </w:r>
          </w:p>
        </w:tc>
      </w:tr>
      <w:tr>
        <w:trPr>
          <w:trHeight w:val="168"/>
        </w:trPr>
        <w:tc>
          <w:tcPr>
            <w:tcW w:w="4340" w:type="dxa"/>
            <w:vAlign w:val="bottom"/>
          </w:tcPr>
          <w:p>
            <w:pPr>
              <w:spacing w:after="0"/>
              <w:rPr>
                <w:sz w:val="14"/>
                <w:szCs w:val="14"/>
                <w:color w:val="auto"/>
              </w:rPr>
            </w:pPr>
          </w:p>
        </w:tc>
        <w:tc>
          <w:tcPr>
            <w:tcW w:w="14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5720" w:type="dxa"/>
            <w:vAlign w:val="bottom"/>
            <w:gridSpan w:val="5"/>
          </w:tcPr>
          <w:p>
            <w:pPr>
              <w:jc w:val="right"/>
              <w:ind w:right="187"/>
              <w:spacing w:after="0" w:line="168" w:lineRule="exact"/>
              <w:rPr>
                <w:sz w:val="20"/>
                <w:szCs w:val="20"/>
                <w:color w:val="auto"/>
              </w:rPr>
            </w:pPr>
            <w:r>
              <w:rPr>
                <w:rFonts w:ascii="Courier New" w:cs="Courier New" w:eastAsia="Courier New" w:hAnsi="Courier New"/>
                <w:sz w:val="15"/>
                <w:szCs w:val="15"/>
                <w:color w:val="auto"/>
                <w:w w:val="97"/>
              </w:rPr>
              <w:t>--------------------------------------------------------------</w:t>
            </w:r>
          </w:p>
        </w:tc>
      </w:tr>
      <w:tr>
        <w:trPr>
          <w:trHeight w:val="168"/>
        </w:trPr>
        <w:tc>
          <w:tcPr>
            <w:tcW w:w="4340" w:type="dxa"/>
            <w:vAlign w:val="bottom"/>
          </w:tcPr>
          <w:p>
            <w:pPr>
              <w:spacing w:after="0"/>
              <w:rPr>
                <w:sz w:val="14"/>
                <w:szCs w:val="14"/>
                <w:color w:val="auto"/>
              </w:rPr>
            </w:pPr>
          </w:p>
        </w:tc>
        <w:tc>
          <w:tcPr>
            <w:tcW w:w="1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$558.8</w:t>
            </w:r>
          </w:p>
        </w:tc>
        <w:tc>
          <w:tcPr>
            <w:tcW w:w="12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$1,616.5</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$4,314.4</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$2,036.9</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$2,540.0</w:t>
            </w:r>
          </w:p>
        </w:tc>
        <w:tc>
          <w:tcPr>
            <w:tcW w:w="10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$632.0</w:t>
            </w:r>
          </w:p>
        </w:tc>
      </w:tr>
      <w:tr>
        <w:trPr>
          <w:trHeight w:val="168"/>
        </w:trPr>
        <w:tc>
          <w:tcPr>
            <w:tcW w:w="4340" w:type="dxa"/>
            <w:vAlign w:val="bottom"/>
          </w:tcPr>
          <w:p>
            <w:pPr>
              <w:spacing w:after="0"/>
              <w:rPr>
                <w:sz w:val="14"/>
                <w:szCs w:val="14"/>
                <w:color w:val="auto"/>
              </w:rPr>
            </w:pPr>
          </w:p>
        </w:tc>
        <w:tc>
          <w:tcPr>
            <w:tcW w:w="14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5720" w:type="dxa"/>
            <w:vAlign w:val="bottom"/>
            <w:gridSpan w:val="5"/>
          </w:tcPr>
          <w:p>
            <w:pPr>
              <w:jc w:val="right"/>
              <w:ind w:right="187"/>
              <w:spacing w:after="0" w:line="168" w:lineRule="exact"/>
              <w:rPr>
                <w:sz w:val="20"/>
                <w:szCs w:val="20"/>
                <w:color w:val="auto"/>
              </w:rPr>
            </w:pPr>
            <w:r>
              <w:rPr>
                <w:rFonts w:ascii="Courier New" w:cs="Courier New" w:eastAsia="Courier New" w:hAnsi="Courier New"/>
                <w:sz w:val="15"/>
                <w:szCs w:val="15"/>
                <w:color w:val="auto"/>
                <w:w w:val="97"/>
              </w:rPr>
              <w:t>==============================================================</w:t>
            </w:r>
          </w:p>
        </w:tc>
      </w:tr>
      <w:tr>
        <w:trPr>
          <w:trHeight w:val="336"/>
        </w:trPr>
        <w:tc>
          <w:tcPr>
            <w:tcW w:w="4340" w:type="dxa"/>
            <w:vAlign w:val="bottom"/>
          </w:tcPr>
          <w:p>
            <w:pPr>
              <w:spacing w:after="0"/>
              <w:rPr>
                <w:sz w:val="20"/>
                <w:szCs w:val="20"/>
                <w:color w:val="auto"/>
              </w:rPr>
            </w:pPr>
            <w:r>
              <w:rPr>
                <w:rFonts w:ascii="Courier New" w:cs="Courier New" w:eastAsia="Courier New" w:hAnsi="Courier New"/>
                <w:sz w:val="15"/>
                <w:szCs w:val="15"/>
                <w:color w:val="auto"/>
              </w:rPr>
              <w:t>Fixed charges:</w:t>
            </w:r>
          </w:p>
        </w:tc>
        <w:tc>
          <w:tcPr>
            <w:tcW w:w="14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336"/>
        </w:trPr>
        <w:tc>
          <w:tcPr>
            <w:tcW w:w="4340" w:type="dxa"/>
            <w:vAlign w:val="bottom"/>
          </w:tcPr>
          <w:p>
            <w:pPr>
              <w:ind w:left="180"/>
              <w:spacing w:after="0"/>
              <w:rPr>
                <w:sz w:val="20"/>
                <w:szCs w:val="20"/>
                <w:color w:val="auto"/>
              </w:rPr>
            </w:pPr>
            <w:r>
              <w:rPr>
                <w:rFonts w:ascii="Courier New" w:cs="Courier New" w:eastAsia="Courier New" w:hAnsi="Courier New"/>
                <w:sz w:val="15"/>
                <w:szCs w:val="15"/>
                <w:color w:val="auto"/>
              </w:rPr>
              <w:t>Interest expense</w:t>
            </w:r>
          </w:p>
        </w:tc>
        <w:tc>
          <w:tcPr>
            <w:tcW w:w="14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$543.5</w:t>
            </w:r>
          </w:p>
        </w:tc>
        <w:tc>
          <w:tcPr>
            <w:tcW w:w="12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$734.1</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$727.7</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$616.8</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$473.2</w:t>
            </w:r>
          </w:p>
        </w:tc>
        <w:tc>
          <w:tcPr>
            <w:tcW w:w="10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$505.4</w:t>
            </w:r>
          </w:p>
        </w:tc>
      </w:tr>
      <w:tr>
        <w:trPr>
          <w:trHeight w:val="336"/>
        </w:trPr>
        <w:tc>
          <w:tcPr>
            <w:tcW w:w="4340" w:type="dxa"/>
            <w:vAlign w:val="bottom"/>
          </w:tcPr>
          <w:p>
            <w:pPr>
              <w:ind w:left="180"/>
              <w:spacing w:after="0"/>
              <w:rPr>
                <w:sz w:val="20"/>
                <w:szCs w:val="20"/>
                <w:color w:val="auto"/>
              </w:rPr>
            </w:pPr>
            <w:r>
              <w:rPr>
                <w:rFonts w:ascii="Courier New" w:cs="Courier New" w:eastAsia="Courier New" w:hAnsi="Courier New"/>
                <w:sz w:val="15"/>
                <w:szCs w:val="15"/>
                <w:color w:val="auto"/>
              </w:rPr>
              <w:t>Capitalized interest</w:t>
            </w:r>
          </w:p>
        </w:tc>
        <w:tc>
          <w:tcPr>
            <w:tcW w:w="14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18.0</w:t>
            </w:r>
          </w:p>
        </w:tc>
      </w:tr>
      <w:tr>
        <w:trPr>
          <w:trHeight w:val="168"/>
        </w:trPr>
        <w:tc>
          <w:tcPr>
            <w:tcW w:w="4340" w:type="dxa"/>
            <w:vAlign w:val="bottom"/>
          </w:tcPr>
          <w:p>
            <w:pPr>
              <w:spacing w:after="0"/>
              <w:rPr>
                <w:sz w:val="14"/>
                <w:szCs w:val="14"/>
                <w:color w:val="auto"/>
              </w:rPr>
            </w:pPr>
          </w:p>
        </w:tc>
        <w:tc>
          <w:tcPr>
            <w:tcW w:w="14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5720" w:type="dxa"/>
            <w:vAlign w:val="bottom"/>
            <w:gridSpan w:val="5"/>
          </w:tcPr>
          <w:p>
            <w:pPr>
              <w:jc w:val="right"/>
              <w:ind w:right="187"/>
              <w:spacing w:after="0" w:line="168" w:lineRule="exact"/>
              <w:rPr>
                <w:sz w:val="20"/>
                <w:szCs w:val="20"/>
                <w:color w:val="auto"/>
              </w:rPr>
            </w:pPr>
            <w:r>
              <w:rPr>
                <w:rFonts w:ascii="Courier New" w:cs="Courier New" w:eastAsia="Courier New" w:hAnsi="Courier New"/>
                <w:sz w:val="15"/>
                <w:szCs w:val="15"/>
                <w:color w:val="auto"/>
                <w:w w:val="97"/>
              </w:rPr>
              <w:t>--------------------------------------------------------------</w:t>
            </w:r>
          </w:p>
        </w:tc>
      </w:tr>
      <w:tr>
        <w:trPr>
          <w:trHeight w:val="168"/>
        </w:trPr>
        <w:tc>
          <w:tcPr>
            <w:tcW w:w="4340" w:type="dxa"/>
            <w:vAlign w:val="bottom"/>
          </w:tcPr>
          <w:p>
            <w:pPr>
              <w:spacing w:after="0"/>
              <w:rPr>
                <w:sz w:val="14"/>
                <w:szCs w:val="14"/>
                <w:color w:val="auto"/>
              </w:rPr>
            </w:pPr>
          </w:p>
        </w:tc>
        <w:tc>
          <w:tcPr>
            <w:tcW w:w="1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$543.5</w:t>
            </w:r>
          </w:p>
        </w:tc>
        <w:tc>
          <w:tcPr>
            <w:tcW w:w="12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$734.1</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$727.7</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$616.8</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$473.2</w:t>
            </w:r>
          </w:p>
        </w:tc>
        <w:tc>
          <w:tcPr>
            <w:tcW w:w="10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$523.4</w:t>
            </w:r>
          </w:p>
        </w:tc>
      </w:tr>
      <w:tr>
        <w:trPr>
          <w:trHeight w:val="168"/>
        </w:trPr>
        <w:tc>
          <w:tcPr>
            <w:tcW w:w="4340" w:type="dxa"/>
            <w:vAlign w:val="bottom"/>
          </w:tcPr>
          <w:p>
            <w:pPr>
              <w:spacing w:after="0"/>
              <w:rPr>
                <w:sz w:val="14"/>
                <w:szCs w:val="14"/>
                <w:color w:val="auto"/>
              </w:rPr>
            </w:pPr>
          </w:p>
        </w:tc>
        <w:tc>
          <w:tcPr>
            <w:tcW w:w="14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5720" w:type="dxa"/>
            <w:vAlign w:val="bottom"/>
            <w:gridSpan w:val="5"/>
          </w:tcPr>
          <w:p>
            <w:pPr>
              <w:jc w:val="right"/>
              <w:ind w:right="187"/>
              <w:spacing w:after="0" w:line="168" w:lineRule="exact"/>
              <w:rPr>
                <w:sz w:val="20"/>
                <w:szCs w:val="20"/>
                <w:color w:val="auto"/>
              </w:rPr>
            </w:pPr>
            <w:r>
              <w:rPr>
                <w:rFonts w:ascii="Courier New" w:cs="Courier New" w:eastAsia="Courier New" w:hAnsi="Courier New"/>
                <w:sz w:val="15"/>
                <w:szCs w:val="15"/>
                <w:color w:val="auto"/>
                <w:w w:val="97"/>
              </w:rPr>
              <w:t>==============================================================</w:t>
            </w:r>
          </w:p>
        </w:tc>
      </w:tr>
      <w:tr>
        <w:trPr>
          <w:trHeight w:val="505"/>
        </w:trPr>
        <w:tc>
          <w:tcPr>
            <w:tcW w:w="4340" w:type="dxa"/>
            <w:vAlign w:val="bottom"/>
          </w:tcPr>
          <w:p>
            <w:pPr>
              <w:spacing w:after="0"/>
              <w:rPr>
                <w:sz w:val="20"/>
                <w:szCs w:val="20"/>
                <w:color w:val="auto"/>
              </w:rPr>
            </w:pPr>
            <w:r>
              <w:rPr>
                <w:rFonts w:ascii="Courier New" w:cs="Courier New" w:eastAsia="Courier New" w:hAnsi="Courier New"/>
                <w:sz w:val="15"/>
                <w:szCs w:val="15"/>
                <w:color w:val="auto"/>
              </w:rPr>
              <w:t>Ratio of earnings to fixed charges (1)</w:t>
            </w:r>
          </w:p>
        </w:tc>
        <w:tc>
          <w:tcPr>
            <w:tcW w:w="14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1.03</w:t>
            </w:r>
          </w:p>
        </w:tc>
        <w:tc>
          <w:tcPr>
            <w:tcW w:w="12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2.20</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5.93</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3.30</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5.37</w:t>
            </w:r>
          </w:p>
        </w:tc>
        <w:tc>
          <w:tcPr>
            <w:tcW w:w="10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1.21</w:t>
            </w:r>
          </w:p>
        </w:tc>
      </w:tr>
      <w:tr>
        <w:trPr>
          <w:trHeight w:val="505"/>
        </w:trPr>
        <w:tc>
          <w:tcPr>
            <w:tcW w:w="4340" w:type="dxa"/>
            <w:vAlign w:val="bottom"/>
          </w:tcPr>
          <w:p>
            <w:pPr>
              <w:spacing w:after="0"/>
              <w:rPr>
                <w:sz w:val="20"/>
                <w:szCs w:val="20"/>
                <w:color w:val="auto"/>
              </w:rPr>
            </w:pPr>
            <w:r>
              <w:rPr>
                <w:rFonts w:ascii="Courier New" w:cs="Courier New" w:eastAsia="Courier New" w:hAnsi="Courier New"/>
                <w:sz w:val="15"/>
                <w:szCs w:val="15"/>
                <w:color w:val="auto"/>
                <w:w w:val="97"/>
              </w:rPr>
              <w:t>- -----------------------------------------------</w:t>
            </w:r>
          </w:p>
        </w:tc>
        <w:tc>
          <w:tcPr>
            <w:tcW w:w="14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80" w:type="dxa"/>
            <w:vAlign w:val="bottom"/>
          </w:tcPr>
          <w:p>
            <w:pPr>
              <w:spacing w:after="0"/>
              <w:rPr>
                <w:sz w:val="24"/>
                <w:szCs w:val="24"/>
                <w:color w:val="auto"/>
              </w:rPr>
            </w:pPr>
          </w:p>
        </w:tc>
      </w:tr>
    </w:tbl>
    <w:p>
      <w:pPr>
        <w:spacing w:after="0" w:line="173" w:lineRule="exact"/>
        <w:rPr>
          <w:sz w:val="20"/>
          <w:szCs w:val="20"/>
          <w:color w:val="auto"/>
        </w:rPr>
      </w:pPr>
    </w:p>
    <w:p>
      <w:pPr>
        <w:ind w:firstLine="10"/>
        <w:spacing w:after="0" w:line="235" w:lineRule="auto"/>
        <w:tabs>
          <w:tab w:leader="none" w:pos="350" w:val="left"/>
        </w:tabs>
        <w:numPr>
          <w:ilvl w:val="0"/>
          <w:numId w:val="1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purposes of calculating the ratio of earnings to fixed charges, earnings consist of income (loss) from continuing operations before income taxes, cumulative effect of accounting changes, minority interest, equity in net (income) losses of affiliates and fixed charges. Fixed charges consist of interest expense and capitalized interest.</w:t>
      </w:r>
    </w:p>
    <w:p>
      <w:pPr>
        <w:sectPr>
          <w:pgSz w:w="11900" w:h="16838" w:orient="portrait"/>
          <w:cols w:equalWidth="0" w:num="1">
            <w:col w:w="11540"/>
          </w:cols>
          <w:pgMar w:left="220" w:top="471" w:right="139" w:bottom="1440" w:gutter="0" w:footer="0" w:header="0"/>
        </w:sectPr>
      </w:pPr>
    </w:p>
    <w:bookmarkStart w:id="277" w:name="page278"/>
    <w:bookmarkEnd w:id="277"/>
    <w:p>
      <w:pPr>
        <w:jc w:val="right"/>
        <w:spacing w:after="0"/>
        <w:rPr>
          <w:sz w:val="20"/>
          <w:szCs w:val="20"/>
          <w:color w:val="auto"/>
        </w:rPr>
      </w:pPr>
      <w:r>
        <w:rPr>
          <w:rFonts w:ascii="Courier New" w:cs="Courier New" w:eastAsia="Courier New" w:hAnsi="Courier New"/>
          <w:sz w:val="15"/>
          <w:szCs w:val="15"/>
          <w:color w:val="auto"/>
        </w:rPr>
        <w:t>EXHIBIT 12.2</w:t>
      </w:r>
    </w:p>
    <w:p>
      <w:pPr>
        <w:spacing w:after="0" w:line="166" w:lineRule="exact"/>
        <w:rPr>
          <w:sz w:val="20"/>
          <w:szCs w:val="20"/>
          <w:color w:val="auto"/>
        </w:rPr>
      </w:pPr>
    </w:p>
    <w:p>
      <w:pPr>
        <w:jc w:val="center"/>
        <w:ind w:right="-19"/>
        <w:spacing w:after="0"/>
        <w:rPr>
          <w:sz w:val="20"/>
          <w:szCs w:val="20"/>
          <w:color w:val="auto"/>
        </w:rPr>
      </w:pPr>
      <w:r>
        <w:rPr>
          <w:rFonts w:ascii="Courier New" w:cs="Courier New" w:eastAsia="Courier New" w:hAnsi="Courier New"/>
          <w:sz w:val="15"/>
          <w:szCs w:val="15"/>
          <w:color w:val="auto"/>
        </w:rPr>
        <w:t>COMCAST CABLE COMMUNICATIONS, INC.</w:t>
      </w:r>
    </w:p>
    <w:p>
      <w:pPr>
        <w:jc w:val="center"/>
        <w:ind w:right="-19"/>
        <w:spacing w:after="0" w:line="237" w:lineRule="auto"/>
        <w:rPr>
          <w:sz w:val="20"/>
          <w:szCs w:val="20"/>
          <w:color w:val="auto"/>
        </w:rPr>
      </w:pPr>
      <w:r>
        <w:rPr>
          <w:rFonts w:ascii="Courier New" w:cs="Courier New" w:eastAsia="Courier New" w:hAnsi="Courier New"/>
          <w:sz w:val="15"/>
          <w:szCs w:val="15"/>
          <w:color w:val="auto"/>
        </w:rPr>
        <w:t>STATEMENT REGARDING COMPUTATION OF RATIOS OF EARNINGS TO FIXED CHARGES</w:t>
      </w:r>
    </w:p>
    <w:p>
      <w:pPr>
        <w:jc w:val="center"/>
        <w:ind w:right="-119"/>
        <w:spacing w:after="0" w:line="238" w:lineRule="auto"/>
        <w:rPr>
          <w:sz w:val="20"/>
          <w:szCs w:val="20"/>
          <w:color w:val="auto"/>
        </w:rPr>
      </w:pPr>
      <w:r>
        <w:rPr>
          <w:rFonts w:ascii="Courier New" w:cs="Courier New" w:eastAsia="Courier New" w:hAnsi="Courier New"/>
          <w:sz w:val="15"/>
          <w:szCs w:val="15"/>
          <w:color w:val="auto"/>
        </w:rPr>
        <w:t>(dollars in millions)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380" w:type="dxa"/>
            <w:vAlign w:val="bottom"/>
          </w:tcPr>
          <w:p>
            <w:pPr>
              <w:spacing w:after="0"/>
              <w:rPr>
                <w:sz w:val="14"/>
                <w:szCs w:val="14"/>
                <w:color w:val="auto"/>
              </w:rPr>
            </w:pPr>
          </w:p>
        </w:tc>
        <w:tc>
          <w:tcPr>
            <w:tcW w:w="1580" w:type="dxa"/>
            <w:vAlign w:val="bottom"/>
          </w:tcPr>
          <w:p>
            <w:pPr>
              <w:jc w:val="right"/>
              <w:spacing w:after="0"/>
              <w:rPr>
                <w:sz w:val="20"/>
                <w:szCs w:val="20"/>
                <w:color w:val="auto"/>
              </w:rPr>
            </w:pPr>
            <w:r>
              <w:rPr>
                <w:rFonts w:ascii="Courier New" w:cs="Courier New" w:eastAsia="Courier New" w:hAnsi="Courier New"/>
                <w:sz w:val="15"/>
                <w:szCs w:val="15"/>
                <w:color w:val="auto"/>
              </w:rPr>
              <w:t>Nine Months Ended</w:t>
            </w:r>
          </w:p>
        </w:tc>
        <w:tc>
          <w:tcPr>
            <w:tcW w:w="1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4380" w:type="dxa"/>
            <w:vAlign w:val="bottom"/>
          </w:tcPr>
          <w:p>
            <w:pPr>
              <w:spacing w:after="0"/>
              <w:rPr>
                <w:sz w:val="14"/>
                <w:szCs w:val="14"/>
                <w:color w:val="auto"/>
              </w:rPr>
            </w:pPr>
          </w:p>
        </w:tc>
        <w:tc>
          <w:tcPr>
            <w:tcW w:w="15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September 30,</w:t>
            </w:r>
          </w:p>
        </w:tc>
        <w:tc>
          <w:tcPr>
            <w:tcW w:w="1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3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Years Ended December 31,</w:t>
            </w:r>
          </w:p>
        </w:tc>
        <w:tc>
          <w:tcPr>
            <w:tcW w:w="840" w:type="dxa"/>
            <w:vAlign w:val="bottom"/>
          </w:tcPr>
          <w:p>
            <w:pPr>
              <w:spacing w:after="0"/>
              <w:rPr>
                <w:sz w:val="14"/>
                <w:szCs w:val="14"/>
                <w:color w:val="auto"/>
              </w:rPr>
            </w:pPr>
          </w:p>
        </w:tc>
      </w:tr>
      <w:tr>
        <w:trPr>
          <w:trHeight w:val="168"/>
        </w:trPr>
        <w:tc>
          <w:tcPr>
            <w:tcW w:w="4380" w:type="dxa"/>
            <w:vAlign w:val="bottom"/>
          </w:tcPr>
          <w:p>
            <w:pPr>
              <w:spacing w:after="0"/>
              <w:rPr>
                <w:sz w:val="14"/>
                <w:szCs w:val="14"/>
                <w:color w:val="auto"/>
              </w:rPr>
            </w:pPr>
          </w:p>
        </w:tc>
        <w:tc>
          <w:tcPr>
            <w:tcW w:w="1580" w:type="dxa"/>
            <w:vAlign w:val="bottom"/>
          </w:tcPr>
          <w:p>
            <w:pPr>
              <w:spacing w:after="0" w:line="168" w:lineRule="exact"/>
              <w:rPr>
                <w:sz w:val="20"/>
                <w:szCs w:val="20"/>
                <w:color w:val="auto"/>
              </w:rPr>
            </w:pPr>
            <w:r>
              <w:rPr>
                <w:rFonts w:ascii="Courier New" w:cs="Courier New" w:eastAsia="Courier New" w:hAnsi="Courier New"/>
                <w:sz w:val="15"/>
                <w:szCs w:val="15"/>
                <w:color w:val="auto"/>
                <w:w w:val="91"/>
              </w:rPr>
              <w:t>-------------------</w:t>
            </w:r>
          </w:p>
        </w:tc>
        <w:tc>
          <w:tcPr>
            <w:tcW w:w="5340" w:type="dxa"/>
            <w:vAlign w:val="bottom"/>
            <w:gridSpan w:val="5"/>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380" w:type="dxa"/>
            <w:vAlign w:val="bottom"/>
          </w:tcPr>
          <w:p>
            <w:pPr>
              <w:spacing w:after="0"/>
              <w:rPr>
                <w:sz w:val="14"/>
                <w:szCs w:val="14"/>
                <w:color w:val="auto"/>
              </w:rPr>
            </w:pPr>
          </w:p>
        </w:tc>
        <w:tc>
          <w:tcPr>
            <w:tcW w:w="158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2002</w:t>
            </w:r>
          </w:p>
        </w:tc>
        <w:tc>
          <w:tcPr>
            <w:tcW w:w="13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2001</w:t>
            </w:r>
          </w:p>
        </w:tc>
        <w:tc>
          <w:tcPr>
            <w:tcW w:w="8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2000</w:t>
            </w:r>
          </w:p>
        </w:tc>
        <w:tc>
          <w:tcPr>
            <w:tcW w:w="11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1999</w:t>
            </w:r>
          </w:p>
        </w:tc>
        <w:tc>
          <w:tcPr>
            <w:tcW w:w="118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1998</w:t>
            </w:r>
          </w:p>
        </w:tc>
        <w:tc>
          <w:tcPr>
            <w:tcW w:w="8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1997</w:t>
            </w:r>
          </w:p>
        </w:tc>
      </w:tr>
      <w:tr>
        <w:trPr>
          <w:trHeight w:val="168"/>
        </w:trPr>
        <w:tc>
          <w:tcPr>
            <w:tcW w:w="4380" w:type="dxa"/>
            <w:vAlign w:val="bottom"/>
          </w:tcPr>
          <w:p>
            <w:pPr>
              <w:spacing w:after="0"/>
              <w:rPr>
                <w:sz w:val="14"/>
                <w:szCs w:val="14"/>
                <w:color w:val="auto"/>
              </w:rPr>
            </w:pPr>
          </w:p>
        </w:tc>
        <w:tc>
          <w:tcPr>
            <w:tcW w:w="158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380" w:type="dxa"/>
            <w:vAlign w:val="bottom"/>
          </w:tcPr>
          <w:p>
            <w:pPr>
              <w:spacing w:after="0"/>
              <w:rPr>
                <w:sz w:val="20"/>
                <w:szCs w:val="20"/>
                <w:color w:val="auto"/>
              </w:rPr>
            </w:pPr>
            <w:r>
              <w:rPr>
                <w:rFonts w:ascii="Courier New" w:cs="Courier New" w:eastAsia="Courier New" w:hAnsi="Courier New"/>
                <w:sz w:val="15"/>
                <w:szCs w:val="15"/>
                <w:color w:val="auto"/>
              </w:rPr>
              <w:t>Earnings (loss) before fixed charges (1):</w:t>
            </w:r>
          </w:p>
        </w:tc>
        <w:tc>
          <w:tcPr>
            <w:tcW w:w="15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336"/>
        </w:trPr>
        <w:tc>
          <w:tcPr>
            <w:tcW w:w="4380" w:type="dxa"/>
            <w:vAlign w:val="bottom"/>
          </w:tcPr>
          <w:p>
            <w:pPr>
              <w:ind w:left="180"/>
              <w:spacing w:after="0"/>
              <w:rPr>
                <w:sz w:val="20"/>
                <w:szCs w:val="20"/>
                <w:color w:val="auto"/>
              </w:rPr>
            </w:pPr>
            <w:r>
              <w:rPr>
                <w:rFonts w:ascii="Courier New" w:cs="Courier New" w:eastAsia="Courier New" w:hAnsi="Courier New"/>
                <w:sz w:val="15"/>
                <w:szCs w:val="15"/>
                <w:color w:val="auto"/>
              </w:rPr>
              <w:t>Income (loss) before cumulative effect</w:t>
            </w:r>
          </w:p>
        </w:tc>
        <w:tc>
          <w:tcPr>
            <w:tcW w:w="15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68"/>
        </w:trPr>
        <w:tc>
          <w:tcPr>
            <w:tcW w:w="43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of accounting changes</w:t>
            </w:r>
          </w:p>
        </w:tc>
        <w:tc>
          <w:tcPr>
            <w:tcW w:w="15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$360.7</w:t>
            </w:r>
          </w:p>
        </w:tc>
        <w:tc>
          <w:tcPr>
            <w:tcW w:w="13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($360.9)</w:t>
            </w:r>
          </w:p>
        </w:tc>
        <w:tc>
          <w:tcPr>
            <w:tcW w:w="8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$106.0</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$(253.7)</w:t>
            </w: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($97.3)</w:t>
            </w: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9"/>
              </w:rPr>
              <w:t>($128.8)</w:t>
            </w:r>
          </w:p>
        </w:tc>
      </w:tr>
      <w:tr>
        <w:trPr>
          <w:trHeight w:val="336"/>
        </w:trPr>
        <w:tc>
          <w:tcPr>
            <w:tcW w:w="4380" w:type="dxa"/>
            <w:vAlign w:val="bottom"/>
          </w:tcPr>
          <w:p>
            <w:pPr>
              <w:ind w:left="180"/>
              <w:spacing w:after="0"/>
              <w:rPr>
                <w:sz w:val="20"/>
                <w:szCs w:val="20"/>
                <w:color w:val="auto"/>
              </w:rPr>
            </w:pPr>
            <w:r>
              <w:rPr>
                <w:rFonts w:ascii="Courier New" w:cs="Courier New" w:eastAsia="Courier New" w:hAnsi="Courier New"/>
                <w:sz w:val="15"/>
                <w:szCs w:val="15"/>
                <w:color w:val="auto"/>
              </w:rPr>
              <w:t>Minority Interest</w:t>
            </w:r>
          </w:p>
        </w:tc>
        <w:tc>
          <w:tcPr>
            <w:tcW w:w="15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(107.9)</w:t>
            </w:r>
          </w:p>
        </w:tc>
        <w:tc>
          <w:tcPr>
            <w:tcW w:w="11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(17.0)</w:t>
            </w:r>
          </w:p>
        </w:tc>
        <w:tc>
          <w:tcPr>
            <w:tcW w:w="8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(21.0)</w:t>
            </w:r>
          </w:p>
        </w:tc>
      </w:tr>
      <w:tr>
        <w:trPr>
          <w:trHeight w:val="336"/>
        </w:trPr>
        <w:tc>
          <w:tcPr>
            <w:tcW w:w="4380" w:type="dxa"/>
            <w:vAlign w:val="bottom"/>
          </w:tcPr>
          <w:p>
            <w:pPr>
              <w:ind w:left="180"/>
              <w:spacing w:after="0"/>
              <w:rPr>
                <w:sz w:val="20"/>
                <w:szCs w:val="20"/>
                <w:color w:val="auto"/>
              </w:rPr>
            </w:pPr>
            <w:r>
              <w:rPr>
                <w:rFonts w:ascii="Courier New" w:cs="Courier New" w:eastAsia="Courier New" w:hAnsi="Courier New"/>
                <w:sz w:val="15"/>
                <w:szCs w:val="15"/>
                <w:color w:val="auto"/>
              </w:rPr>
              <w:t>Income tax (benefit) expense</w:t>
            </w:r>
          </w:p>
        </w:tc>
        <w:tc>
          <w:tcPr>
            <w:tcW w:w="15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219.5</w:t>
            </w:r>
          </w:p>
        </w:tc>
        <w:tc>
          <w:tcPr>
            <w:tcW w:w="13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(36.6)</w:t>
            </w:r>
          </w:p>
        </w:tc>
        <w:tc>
          <w:tcPr>
            <w:tcW w:w="8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296.1</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(49.5)</w:t>
            </w:r>
          </w:p>
        </w:tc>
        <w:tc>
          <w:tcPr>
            <w:tcW w:w="11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(35.9)</w:t>
            </w:r>
          </w:p>
        </w:tc>
        <w:tc>
          <w:tcPr>
            <w:tcW w:w="8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(52.6)</w:t>
            </w:r>
          </w:p>
        </w:tc>
      </w:tr>
      <w:tr>
        <w:trPr>
          <w:trHeight w:val="336"/>
        </w:trPr>
        <w:tc>
          <w:tcPr>
            <w:tcW w:w="4380" w:type="dxa"/>
            <w:vAlign w:val="bottom"/>
          </w:tcPr>
          <w:p>
            <w:pPr>
              <w:ind w:left="180"/>
              <w:spacing w:after="0"/>
              <w:rPr>
                <w:sz w:val="20"/>
                <w:szCs w:val="20"/>
                <w:color w:val="auto"/>
              </w:rPr>
            </w:pPr>
            <w:r>
              <w:rPr>
                <w:rFonts w:ascii="Courier New" w:cs="Courier New" w:eastAsia="Courier New" w:hAnsi="Courier New"/>
                <w:sz w:val="15"/>
                <w:szCs w:val="15"/>
                <w:color w:val="auto"/>
              </w:rPr>
              <w:t>Equity in net (income) losses of affiliates</w:t>
            </w:r>
          </w:p>
        </w:tc>
        <w:tc>
          <w:tcPr>
            <w:tcW w:w="15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(4.0)</w:t>
            </w:r>
          </w:p>
        </w:tc>
        <w:tc>
          <w:tcPr>
            <w:tcW w:w="13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7.5</w:t>
            </w:r>
          </w:p>
        </w:tc>
        <w:tc>
          <w:tcPr>
            <w:tcW w:w="8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9.3</w:t>
            </w:r>
          </w:p>
        </w:tc>
        <w:tc>
          <w:tcPr>
            <w:tcW w:w="11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2.4</w:t>
            </w:r>
          </w:p>
        </w:tc>
        <w:tc>
          <w:tcPr>
            <w:tcW w:w="11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0.4</w:t>
            </w:r>
          </w:p>
        </w:tc>
        <w:tc>
          <w:tcPr>
            <w:tcW w:w="8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336"/>
        </w:trPr>
        <w:tc>
          <w:tcPr>
            <w:tcW w:w="4380" w:type="dxa"/>
            <w:vAlign w:val="bottom"/>
          </w:tcPr>
          <w:p>
            <w:pPr>
              <w:ind w:left="180"/>
              <w:spacing w:after="0"/>
              <w:rPr>
                <w:sz w:val="20"/>
                <w:szCs w:val="20"/>
                <w:color w:val="auto"/>
              </w:rPr>
            </w:pPr>
            <w:r>
              <w:rPr>
                <w:rFonts w:ascii="Courier New" w:cs="Courier New" w:eastAsia="Courier New" w:hAnsi="Courier New"/>
                <w:sz w:val="15"/>
                <w:szCs w:val="15"/>
                <w:color w:val="auto"/>
              </w:rPr>
              <w:t>Fixed charges</w:t>
            </w:r>
          </w:p>
        </w:tc>
        <w:tc>
          <w:tcPr>
            <w:tcW w:w="15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427.2</w:t>
            </w:r>
          </w:p>
        </w:tc>
        <w:tc>
          <w:tcPr>
            <w:tcW w:w="13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585.4</w:t>
            </w:r>
          </w:p>
        </w:tc>
        <w:tc>
          <w:tcPr>
            <w:tcW w:w="8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542.8</w:t>
            </w:r>
          </w:p>
        </w:tc>
        <w:tc>
          <w:tcPr>
            <w:tcW w:w="11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372.4</w:t>
            </w:r>
          </w:p>
        </w:tc>
        <w:tc>
          <w:tcPr>
            <w:tcW w:w="11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275.9</w:t>
            </w:r>
          </w:p>
        </w:tc>
        <w:tc>
          <w:tcPr>
            <w:tcW w:w="8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290.9</w:t>
            </w:r>
          </w:p>
        </w:tc>
      </w:tr>
      <w:tr>
        <w:trPr>
          <w:trHeight w:val="168"/>
        </w:trPr>
        <w:tc>
          <w:tcPr>
            <w:tcW w:w="4380" w:type="dxa"/>
            <w:vAlign w:val="bottom"/>
          </w:tcPr>
          <w:p>
            <w:pPr>
              <w:spacing w:after="0"/>
              <w:rPr>
                <w:sz w:val="14"/>
                <w:szCs w:val="14"/>
                <w:color w:val="auto"/>
              </w:rPr>
            </w:pPr>
          </w:p>
        </w:tc>
        <w:tc>
          <w:tcPr>
            <w:tcW w:w="158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5340" w:type="dxa"/>
            <w:vAlign w:val="bottom"/>
            <w:gridSpan w:val="5"/>
          </w:tcPr>
          <w:p>
            <w:pPr>
              <w:jc w:val="right"/>
              <w:ind w:right="27"/>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4380" w:type="dxa"/>
            <w:vAlign w:val="bottom"/>
          </w:tcPr>
          <w:p>
            <w:pPr>
              <w:spacing w:after="0"/>
              <w:rPr>
                <w:sz w:val="14"/>
                <w:szCs w:val="14"/>
                <w:color w:val="auto"/>
              </w:rPr>
            </w:pPr>
          </w:p>
        </w:tc>
        <w:tc>
          <w:tcPr>
            <w:tcW w:w="15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$1,003.4</w:t>
            </w:r>
          </w:p>
        </w:tc>
        <w:tc>
          <w:tcPr>
            <w:tcW w:w="13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$195.4</w:t>
            </w:r>
          </w:p>
        </w:tc>
        <w:tc>
          <w:tcPr>
            <w:tcW w:w="8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$954.2</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$(36.3)</w:t>
            </w:r>
          </w:p>
        </w:tc>
        <w:tc>
          <w:tcPr>
            <w:tcW w:w="11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$126.1</w:t>
            </w: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$88.5</w:t>
            </w:r>
          </w:p>
        </w:tc>
      </w:tr>
      <w:tr>
        <w:trPr>
          <w:trHeight w:val="168"/>
        </w:trPr>
        <w:tc>
          <w:tcPr>
            <w:tcW w:w="4380" w:type="dxa"/>
            <w:vAlign w:val="bottom"/>
          </w:tcPr>
          <w:p>
            <w:pPr>
              <w:spacing w:after="0"/>
              <w:rPr>
                <w:sz w:val="14"/>
                <w:szCs w:val="14"/>
                <w:color w:val="auto"/>
              </w:rPr>
            </w:pPr>
          </w:p>
        </w:tc>
        <w:tc>
          <w:tcPr>
            <w:tcW w:w="158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5340" w:type="dxa"/>
            <w:vAlign w:val="bottom"/>
            <w:gridSpan w:val="5"/>
          </w:tcPr>
          <w:p>
            <w:pPr>
              <w:jc w:val="right"/>
              <w:ind w:right="27"/>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336"/>
        </w:trPr>
        <w:tc>
          <w:tcPr>
            <w:tcW w:w="4380" w:type="dxa"/>
            <w:vAlign w:val="bottom"/>
          </w:tcPr>
          <w:p>
            <w:pPr>
              <w:spacing w:after="0"/>
              <w:rPr>
                <w:sz w:val="20"/>
                <w:szCs w:val="20"/>
                <w:color w:val="auto"/>
              </w:rPr>
            </w:pPr>
            <w:r>
              <w:rPr>
                <w:rFonts w:ascii="Courier New" w:cs="Courier New" w:eastAsia="Courier New" w:hAnsi="Courier New"/>
                <w:sz w:val="15"/>
                <w:szCs w:val="15"/>
                <w:color w:val="auto"/>
              </w:rPr>
              <w:t>Fixed charges (1):</w:t>
            </w:r>
          </w:p>
        </w:tc>
        <w:tc>
          <w:tcPr>
            <w:tcW w:w="15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336"/>
        </w:trPr>
        <w:tc>
          <w:tcPr>
            <w:tcW w:w="4380" w:type="dxa"/>
            <w:vAlign w:val="bottom"/>
          </w:tcPr>
          <w:p>
            <w:pPr>
              <w:ind w:left="180"/>
              <w:spacing w:after="0"/>
              <w:rPr>
                <w:sz w:val="20"/>
                <w:szCs w:val="20"/>
                <w:color w:val="auto"/>
              </w:rPr>
            </w:pPr>
            <w:r>
              <w:rPr>
                <w:rFonts w:ascii="Courier New" w:cs="Courier New" w:eastAsia="Courier New" w:hAnsi="Courier New"/>
                <w:sz w:val="15"/>
                <w:szCs w:val="15"/>
                <w:color w:val="auto"/>
              </w:rPr>
              <w:t>Interest expense</w:t>
            </w:r>
          </w:p>
        </w:tc>
        <w:tc>
          <w:tcPr>
            <w:tcW w:w="15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$427.2</w:t>
            </w:r>
          </w:p>
        </w:tc>
        <w:tc>
          <w:tcPr>
            <w:tcW w:w="13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$546.1</w:t>
            </w:r>
          </w:p>
        </w:tc>
        <w:tc>
          <w:tcPr>
            <w:tcW w:w="8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$526.6</w:t>
            </w:r>
          </w:p>
        </w:tc>
        <w:tc>
          <w:tcPr>
            <w:tcW w:w="11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$362.4</w:t>
            </w:r>
          </w:p>
        </w:tc>
        <w:tc>
          <w:tcPr>
            <w:tcW w:w="11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$223.8</w:t>
            </w:r>
          </w:p>
        </w:tc>
        <w:tc>
          <w:tcPr>
            <w:tcW w:w="8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$253.6</w:t>
            </w:r>
          </w:p>
        </w:tc>
      </w:tr>
      <w:tr>
        <w:trPr>
          <w:trHeight w:val="336"/>
        </w:trPr>
        <w:tc>
          <w:tcPr>
            <w:tcW w:w="4380" w:type="dxa"/>
            <w:vAlign w:val="bottom"/>
          </w:tcPr>
          <w:p>
            <w:pPr>
              <w:ind w:left="180"/>
              <w:spacing w:after="0"/>
              <w:rPr>
                <w:sz w:val="20"/>
                <w:szCs w:val="20"/>
                <w:color w:val="auto"/>
              </w:rPr>
            </w:pPr>
            <w:r>
              <w:rPr>
                <w:rFonts w:ascii="Courier New" w:cs="Courier New" w:eastAsia="Courier New" w:hAnsi="Courier New"/>
                <w:sz w:val="15"/>
                <w:szCs w:val="15"/>
                <w:color w:val="auto"/>
                <w:w w:val="98"/>
              </w:rPr>
              <w:t>Interest expense on notes payable to affiliates</w:t>
            </w:r>
          </w:p>
        </w:tc>
        <w:tc>
          <w:tcPr>
            <w:tcW w:w="1580" w:type="dxa"/>
            <w:vAlign w:val="bottom"/>
          </w:tcPr>
          <w:p>
            <w:pPr>
              <w:spacing w:after="0"/>
              <w:rPr>
                <w:sz w:val="24"/>
                <w:szCs w:val="24"/>
                <w:color w:val="auto"/>
              </w:rPr>
            </w:pPr>
          </w:p>
        </w:tc>
        <w:tc>
          <w:tcPr>
            <w:tcW w:w="13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39.3</w:t>
            </w:r>
          </w:p>
        </w:tc>
        <w:tc>
          <w:tcPr>
            <w:tcW w:w="8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16.2</w:t>
            </w:r>
          </w:p>
        </w:tc>
        <w:tc>
          <w:tcPr>
            <w:tcW w:w="11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10.0</w:t>
            </w:r>
          </w:p>
        </w:tc>
        <w:tc>
          <w:tcPr>
            <w:tcW w:w="11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52.1</w:t>
            </w:r>
          </w:p>
        </w:tc>
        <w:tc>
          <w:tcPr>
            <w:tcW w:w="8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37.3</w:t>
            </w:r>
          </w:p>
        </w:tc>
      </w:tr>
      <w:tr>
        <w:trPr>
          <w:trHeight w:val="168"/>
        </w:trPr>
        <w:tc>
          <w:tcPr>
            <w:tcW w:w="4380" w:type="dxa"/>
            <w:vAlign w:val="bottom"/>
          </w:tcPr>
          <w:p>
            <w:pPr>
              <w:spacing w:after="0"/>
              <w:rPr>
                <w:sz w:val="14"/>
                <w:szCs w:val="14"/>
                <w:color w:val="auto"/>
              </w:rPr>
            </w:pPr>
          </w:p>
        </w:tc>
        <w:tc>
          <w:tcPr>
            <w:tcW w:w="158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5340" w:type="dxa"/>
            <w:vAlign w:val="bottom"/>
            <w:gridSpan w:val="5"/>
          </w:tcPr>
          <w:p>
            <w:pPr>
              <w:jc w:val="right"/>
              <w:ind w:right="27"/>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4380" w:type="dxa"/>
            <w:vAlign w:val="bottom"/>
          </w:tcPr>
          <w:p>
            <w:pPr>
              <w:spacing w:after="0"/>
              <w:rPr>
                <w:sz w:val="14"/>
                <w:szCs w:val="14"/>
                <w:color w:val="auto"/>
              </w:rPr>
            </w:pPr>
          </w:p>
        </w:tc>
        <w:tc>
          <w:tcPr>
            <w:tcW w:w="15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$427.2</w:t>
            </w:r>
          </w:p>
        </w:tc>
        <w:tc>
          <w:tcPr>
            <w:tcW w:w="13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$585.4</w:t>
            </w:r>
          </w:p>
        </w:tc>
        <w:tc>
          <w:tcPr>
            <w:tcW w:w="8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$542.8</w:t>
            </w:r>
          </w:p>
        </w:tc>
        <w:tc>
          <w:tcPr>
            <w:tcW w:w="11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$372.4</w:t>
            </w:r>
          </w:p>
        </w:tc>
        <w:tc>
          <w:tcPr>
            <w:tcW w:w="11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$275.9</w:t>
            </w: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$290.9</w:t>
            </w:r>
          </w:p>
        </w:tc>
      </w:tr>
      <w:tr>
        <w:trPr>
          <w:trHeight w:val="168"/>
        </w:trPr>
        <w:tc>
          <w:tcPr>
            <w:tcW w:w="4380" w:type="dxa"/>
            <w:vAlign w:val="bottom"/>
          </w:tcPr>
          <w:p>
            <w:pPr>
              <w:spacing w:after="0"/>
              <w:rPr>
                <w:sz w:val="14"/>
                <w:szCs w:val="14"/>
                <w:color w:val="auto"/>
              </w:rPr>
            </w:pPr>
          </w:p>
        </w:tc>
        <w:tc>
          <w:tcPr>
            <w:tcW w:w="158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5340" w:type="dxa"/>
            <w:vAlign w:val="bottom"/>
            <w:gridSpan w:val="5"/>
          </w:tcPr>
          <w:p>
            <w:pPr>
              <w:jc w:val="right"/>
              <w:ind w:right="27"/>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336"/>
        </w:trPr>
        <w:tc>
          <w:tcPr>
            <w:tcW w:w="4380" w:type="dxa"/>
            <w:vAlign w:val="bottom"/>
          </w:tcPr>
          <w:p>
            <w:pPr>
              <w:spacing w:after="0"/>
              <w:rPr>
                <w:sz w:val="20"/>
                <w:szCs w:val="20"/>
                <w:color w:val="auto"/>
              </w:rPr>
            </w:pPr>
            <w:r>
              <w:rPr>
                <w:rFonts w:ascii="Courier New" w:cs="Courier New" w:eastAsia="Courier New" w:hAnsi="Courier New"/>
                <w:sz w:val="15"/>
                <w:szCs w:val="15"/>
                <w:color w:val="auto"/>
              </w:rPr>
              <w:t>Rate of earnings to fixed charges (2)</w:t>
            </w:r>
          </w:p>
        </w:tc>
        <w:tc>
          <w:tcPr>
            <w:tcW w:w="15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2.35</w:t>
            </w:r>
          </w:p>
        </w:tc>
        <w:tc>
          <w:tcPr>
            <w:tcW w:w="13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1.76</w:t>
            </w:r>
          </w:p>
        </w:tc>
        <w:tc>
          <w:tcPr>
            <w:tcW w:w="11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336"/>
        </w:trPr>
        <w:tc>
          <w:tcPr>
            <w:tcW w:w="4380" w:type="dxa"/>
            <w:vAlign w:val="bottom"/>
          </w:tcPr>
          <w:p>
            <w:pPr>
              <w:spacing w:after="0"/>
              <w:rPr>
                <w:sz w:val="20"/>
                <w:szCs w:val="20"/>
                <w:color w:val="auto"/>
              </w:rPr>
            </w:pPr>
            <w:r>
              <w:rPr>
                <w:rFonts w:ascii="Courier New" w:cs="Courier New" w:eastAsia="Courier New" w:hAnsi="Courier New"/>
                <w:sz w:val="15"/>
                <w:szCs w:val="15"/>
                <w:color w:val="auto"/>
                <w:w w:val="96"/>
              </w:rPr>
              <w:t>- ------------------------------------------------</w:t>
            </w:r>
          </w:p>
        </w:tc>
        <w:tc>
          <w:tcPr>
            <w:tcW w:w="15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40" w:type="dxa"/>
            <w:vAlign w:val="bottom"/>
          </w:tcPr>
          <w:p>
            <w:pPr>
              <w:spacing w:after="0"/>
              <w:rPr>
                <w:sz w:val="24"/>
                <w:szCs w:val="24"/>
                <w:color w:val="auto"/>
              </w:rPr>
            </w:pPr>
          </w:p>
        </w:tc>
      </w:tr>
    </w:tbl>
    <w:p>
      <w:pPr>
        <w:spacing w:after="0" w:line="173" w:lineRule="exact"/>
        <w:rPr>
          <w:sz w:val="20"/>
          <w:szCs w:val="20"/>
          <w:color w:val="auto"/>
        </w:rPr>
      </w:pPr>
    </w:p>
    <w:p>
      <w:pPr>
        <w:ind w:left="440" w:right="240" w:hanging="430"/>
        <w:spacing w:after="0" w:line="258" w:lineRule="auto"/>
        <w:tabs>
          <w:tab w:leader="none" w:pos="440" w:val="left"/>
        </w:tabs>
        <w:numPr>
          <w:ilvl w:val="0"/>
          <w:numId w:val="1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the purpose of calculating the ratio of earnings to fixed charges, earnings consist of income (loss) from continuing operations before income taxes, cumulative effect of accounting changes, minority interest, equity in net (income) losses of affiliates and fixed charges. Fixed charges consist of interest expense and interest expense on notes payable to affiliates.</w:t>
      </w:r>
    </w:p>
    <w:p>
      <w:pPr>
        <w:spacing w:after="0" w:line="161" w:lineRule="exact"/>
        <w:rPr>
          <w:rFonts w:ascii="Courier New" w:cs="Courier New" w:eastAsia="Courier New" w:hAnsi="Courier New"/>
          <w:sz w:val="14"/>
          <w:szCs w:val="14"/>
          <w:color w:val="auto"/>
        </w:rPr>
      </w:pPr>
    </w:p>
    <w:p>
      <w:pPr>
        <w:ind w:left="440" w:right="80" w:hanging="430"/>
        <w:spacing w:after="0" w:line="234" w:lineRule="auto"/>
        <w:tabs>
          <w:tab w:leader="none" w:pos="440" w:val="left"/>
        </w:tabs>
        <w:numPr>
          <w:ilvl w:val="0"/>
          <w:numId w:val="1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the years ended December 31, 2001, 1999, 1998 and 1997, earnings, as defined above, were inadequate to cover fixed charges by $390.0 million, $408.7 million, $149.8 million and $202.4 million, respectively.</w:t>
      </w:r>
    </w:p>
    <w:p>
      <w:pPr>
        <w:sectPr>
          <w:pgSz w:w="11900" w:h="16838" w:orient="portrait"/>
          <w:cols w:equalWidth="0" w:num="1">
            <w:col w:w="11540"/>
          </w:cols>
          <w:pgMar w:left="220" w:top="639" w:right="139" w:bottom="1440" w:gutter="0" w:footer="0" w:header="0"/>
        </w:sectPr>
      </w:pPr>
    </w:p>
    <w:bookmarkStart w:id="278" w:name="page279"/>
    <w:bookmarkEnd w:id="278"/>
    <w:p>
      <w:pPr>
        <w:jc w:val="right"/>
        <w:ind w:right="3239"/>
        <w:spacing w:after="0"/>
        <w:rPr>
          <w:sz w:val="20"/>
          <w:szCs w:val="20"/>
          <w:color w:val="auto"/>
        </w:rPr>
      </w:pPr>
      <w:r>
        <w:rPr>
          <w:rFonts w:ascii="Courier New" w:cs="Courier New" w:eastAsia="Courier New" w:hAnsi="Courier New"/>
          <w:sz w:val="15"/>
          <w:szCs w:val="15"/>
          <w:color w:val="auto"/>
        </w:rPr>
        <w:t>EXHIBIT 12.3</w:t>
      </w:r>
    </w:p>
    <w:p>
      <w:pPr>
        <w:spacing w:after="0" w:line="335"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COMCAST CABLE COMMUNICATIONS HOLDINGS, INC.</w:t>
      </w:r>
    </w:p>
    <w:p>
      <w:pPr>
        <w:jc w:val="center"/>
        <w:ind w:right="3139"/>
        <w:spacing w:after="0" w:line="237" w:lineRule="auto"/>
        <w:rPr>
          <w:sz w:val="20"/>
          <w:szCs w:val="20"/>
          <w:color w:val="auto"/>
        </w:rPr>
      </w:pPr>
      <w:r>
        <w:rPr>
          <w:rFonts w:ascii="Courier New" w:cs="Courier New" w:eastAsia="Courier New" w:hAnsi="Courier New"/>
          <w:sz w:val="15"/>
          <w:szCs w:val="15"/>
          <w:color w:val="auto"/>
        </w:rPr>
        <w:t>Statement Regarding Computation of Ratio of Earnings to Fixed Charges</w:t>
      </w:r>
    </w:p>
    <w:p>
      <w:pPr>
        <w:jc w:val="center"/>
        <w:ind w:right="3319"/>
        <w:spacing w:after="0" w:line="238" w:lineRule="auto"/>
        <w:rPr>
          <w:sz w:val="20"/>
          <w:szCs w:val="20"/>
          <w:color w:val="auto"/>
        </w:rPr>
      </w:pPr>
      <w:r>
        <w:rPr>
          <w:rFonts w:ascii="Courier New" w:cs="Courier New" w:eastAsia="Courier New" w:hAnsi="Courier New"/>
          <w:sz w:val="15"/>
          <w:szCs w:val="15"/>
          <w:color w:val="auto"/>
        </w:rPr>
        <w:t>(Unaudited)</w:t>
      </w:r>
    </w:p>
    <w:p>
      <w:pPr>
        <w:spacing w:after="0" w:line="341" w:lineRule="exact"/>
        <w:rPr>
          <w:sz w:val="20"/>
          <w:szCs w:val="20"/>
          <w:color w:val="auto"/>
        </w:rPr>
      </w:pPr>
    </w:p>
    <w:p>
      <w:pPr>
        <w:ind w:right="3499"/>
        <w:spacing w:after="0" w:line="236" w:lineRule="auto"/>
        <w:rPr>
          <w:sz w:val="20"/>
          <w:szCs w:val="20"/>
          <w:color w:val="auto"/>
        </w:rPr>
      </w:pPr>
      <w:r>
        <w:rPr>
          <w:rFonts w:ascii="Courier New" w:cs="Courier New" w:eastAsia="Courier New" w:hAnsi="Courier New"/>
          <w:sz w:val="15"/>
          <w:szCs w:val="15"/>
          <w:color w:val="auto"/>
        </w:rPr>
        <w:t>Comcast Cable Communications Holdings, Inc's loss for the nine months ended September 30, 2002, the years ended December 31, 2001 and 2000, and the ten month period ended December 31, 1999 was inadequate to cover fixed charges in the amount of $19.2 billion, $9.2 billion, $10.4 billion and $2.0 billion, respectively.</w:t>
      </w:r>
    </w:p>
    <w:p>
      <w:pPr>
        <w:sectPr>
          <w:pgSz w:w="11900" w:h="16838" w:orient="portrait"/>
          <w:cols w:equalWidth="0" w:num="1">
            <w:col w:w="10239"/>
          </w:cols>
          <w:pgMar w:left="220" w:top="303" w:right="1440" w:bottom="1440" w:gutter="0" w:footer="0" w:header="0"/>
        </w:sectPr>
      </w:pPr>
    </w:p>
    <w:bookmarkStart w:id="279" w:name="page280"/>
    <w:bookmarkEnd w:id="279"/>
    <w:p>
      <w:pPr>
        <w:jc w:val="right"/>
        <w:ind w:right="3239"/>
        <w:spacing w:after="0"/>
        <w:rPr>
          <w:sz w:val="20"/>
          <w:szCs w:val="20"/>
          <w:color w:val="auto"/>
        </w:rPr>
      </w:pPr>
      <w:r>
        <w:rPr>
          <w:rFonts w:ascii="Courier New" w:cs="Courier New" w:eastAsia="Courier New" w:hAnsi="Courier New"/>
          <w:sz w:val="15"/>
          <w:szCs w:val="15"/>
          <w:color w:val="auto"/>
        </w:rPr>
        <w:t>EXHIBIT 12.4</w:t>
      </w:r>
    </w:p>
    <w:p>
      <w:pPr>
        <w:spacing w:after="0" w:line="335"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COMCAST CABLE HOLDINGS, LLC</w:t>
      </w:r>
    </w:p>
    <w:p>
      <w:pPr>
        <w:jc w:val="center"/>
        <w:ind w:right="3139"/>
        <w:spacing w:after="0" w:line="237" w:lineRule="auto"/>
        <w:rPr>
          <w:sz w:val="20"/>
          <w:szCs w:val="20"/>
          <w:color w:val="auto"/>
        </w:rPr>
      </w:pPr>
      <w:r>
        <w:rPr>
          <w:rFonts w:ascii="Courier New" w:cs="Courier New" w:eastAsia="Courier New" w:hAnsi="Courier New"/>
          <w:sz w:val="15"/>
          <w:szCs w:val="15"/>
          <w:color w:val="auto"/>
        </w:rPr>
        <w:t>Statement Regarding Computation of Ratio of Earnings to Fixed Charges</w:t>
      </w:r>
    </w:p>
    <w:p>
      <w:pPr>
        <w:jc w:val="center"/>
        <w:ind w:right="3319"/>
        <w:spacing w:after="0" w:line="238" w:lineRule="auto"/>
        <w:rPr>
          <w:sz w:val="20"/>
          <w:szCs w:val="20"/>
          <w:color w:val="auto"/>
        </w:rPr>
      </w:pPr>
      <w:r>
        <w:rPr>
          <w:rFonts w:ascii="Courier New" w:cs="Courier New" w:eastAsia="Courier New" w:hAnsi="Courier New"/>
          <w:sz w:val="15"/>
          <w:szCs w:val="15"/>
          <w:color w:val="auto"/>
        </w:rPr>
        <w:t>(Unaudited)</w:t>
      </w:r>
    </w:p>
    <w:p>
      <w:pPr>
        <w:spacing w:after="0" w:line="341" w:lineRule="exact"/>
        <w:rPr>
          <w:sz w:val="20"/>
          <w:szCs w:val="20"/>
          <w:color w:val="auto"/>
        </w:rPr>
      </w:pPr>
    </w:p>
    <w:p>
      <w:pPr>
        <w:ind w:right="3399"/>
        <w:spacing w:after="0" w:line="235" w:lineRule="auto"/>
        <w:rPr>
          <w:sz w:val="20"/>
          <w:szCs w:val="20"/>
          <w:color w:val="auto"/>
        </w:rPr>
      </w:pPr>
      <w:r>
        <w:rPr>
          <w:rFonts w:ascii="Courier New" w:cs="Courier New" w:eastAsia="Courier New" w:hAnsi="Courier New"/>
          <w:sz w:val="15"/>
          <w:szCs w:val="15"/>
          <w:color w:val="auto"/>
        </w:rPr>
        <w:t>Comcast Cable Holdings, LLC's loss for the nine months ended September 30, 2002, the years ended December 31, 2001 and 2000, and the ten month period ended December 31, 1999 was inadequate to cover fixed charges in the amount of $1.1 billion, $1.5 billion, $1.9 billion and $1.3 billion, respectively.</w:t>
      </w:r>
    </w:p>
    <w:p>
      <w:pPr>
        <w:sectPr>
          <w:pgSz w:w="11900" w:h="16838" w:orient="portrait"/>
          <w:cols w:equalWidth="0" w:num="1">
            <w:col w:w="10239"/>
          </w:cols>
          <w:pgMar w:left="220" w:top="303" w:right="1440" w:bottom="1440" w:gutter="0" w:footer="0" w:header="0"/>
        </w:sectPr>
      </w:pPr>
    </w:p>
    <w:bookmarkStart w:id="280" w:name="page281"/>
    <w:bookmarkEnd w:id="280"/>
    <w:p>
      <w:pPr>
        <w:jc w:val="right"/>
        <w:ind w:right="3239"/>
        <w:spacing w:after="0"/>
        <w:rPr>
          <w:sz w:val="20"/>
          <w:szCs w:val="20"/>
          <w:color w:val="auto"/>
        </w:rPr>
      </w:pPr>
      <w:r>
        <w:rPr>
          <w:rFonts w:ascii="Courier New" w:cs="Courier New" w:eastAsia="Courier New" w:hAnsi="Courier New"/>
          <w:sz w:val="15"/>
          <w:szCs w:val="15"/>
          <w:color w:val="auto"/>
        </w:rPr>
        <w:t>EXHIBIT 12.5</w:t>
      </w:r>
    </w:p>
    <w:p>
      <w:pPr>
        <w:spacing w:after="0" w:line="335"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COMCAST MO GROUP, INC.</w:t>
      </w:r>
    </w:p>
    <w:p>
      <w:pPr>
        <w:jc w:val="center"/>
        <w:ind w:right="3319"/>
        <w:spacing w:after="0" w:line="237" w:lineRule="auto"/>
        <w:rPr>
          <w:sz w:val="20"/>
          <w:szCs w:val="20"/>
          <w:color w:val="auto"/>
        </w:rPr>
      </w:pPr>
      <w:r>
        <w:rPr>
          <w:rFonts w:ascii="Courier New" w:cs="Courier New" w:eastAsia="Courier New" w:hAnsi="Courier New"/>
          <w:sz w:val="15"/>
          <w:szCs w:val="15"/>
          <w:color w:val="auto"/>
        </w:rPr>
        <w:t>Statement Regarding Computation of Ratio of Earnings to Fixed Charges</w:t>
      </w:r>
    </w:p>
    <w:p>
      <w:pPr>
        <w:jc w:val="center"/>
        <w:ind w:right="3319"/>
        <w:spacing w:after="0" w:line="238" w:lineRule="auto"/>
        <w:rPr>
          <w:sz w:val="20"/>
          <w:szCs w:val="20"/>
          <w:color w:val="auto"/>
        </w:rPr>
      </w:pPr>
      <w:r>
        <w:rPr>
          <w:rFonts w:ascii="Courier New" w:cs="Courier New" w:eastAsia="Courier New" w:hAnsi="Courier New"/>
          <w:sz w:val="15"/>
          <w:szCs w:val="15"/>
          <w:color w:val="auto"/>
        </w:rPr>
        <w:t>(Dollars in Millions)</w:t>
      </w:r>
    </w:p>
    <w:p>
      <w:pPr>
        <w:jc w:val="center"/>
        <w:ind w:right="3319"/>
        <w:spacing w:after="0" w:line="237" w:lineRule="auto"/>
        <w:rPr>
          <w:sz w:val="20"/>
          <w:szCs w:val="20"/>
          <w:color w:val="auto"/>
        </w:rPr>
      </w:pPr>
      <w:r>
        <w:rPr>
          <w:rFonts w:ascii="Courier New" w:cs="Courier New" w:eastAsia="Courier New" w:hAnsi="Courier New"/>
          <w:sz w:val="15"/>
          <w:szCs w:val="15"/>
          <w:color w:val="auto"/>
        </w:rPr>
        <w:t>(Unaudited)</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900" w:type="dxa"/>
            <w:vAlign w:val="bottom"/>
            <w:gridSpan w:val="2"/>
          </w:tcPr>
          <w:p>
            <w:pPr>
              <w:jc w:val="center"/>
              <w:ind w:left="3707"/>
              <w:spacing w:after="0"/>
              <w:rPr>
                <w:sz w:val="20"/>
                <w:szCs w:val="20"/>
                <w:color w:val="auto"/>
              </w:rPr>
            </w:pPr>
            <w:r>
              <w:rPr>
                <w:rFonts w:ascii="Courier New" w:cs="Courier New" w:eastAsia="Courier New" w:hAnsi="Courier New"/>
                <w:sz w:val="15"/>
                <w:szCs w:val="15"/>
                <w:color w:val="auto"/>
                <w:w w:val="96"/>
              </w:rPr>
              <w:t>Nine Months</w:t>
            </w:r>
          </w:p>
        </w:tc>
        <w:tc>
          <w:tcPr>
            <w:tcW w:w="920" w:type="dxa"/>
            <w:vAlign w:val="bottom"/>
            <w:gridSpan w:val="2"/>
          </w:tcPr>
          <w:p>
            <w:pPr>
              <w:ind w:left="280"/>
              <w:spacing w:after="0"/>
              <w:rPr>
                <w:sz w:val="20"/>
                <w:szCs w:val="20"/>
                <w:color w:val="auto"/>
              </w:rPr>
            </w:pPr>
            <w:r>
              <w:rPr>
                <w:rFonts w:ascii="Courier New" w:cs="Courier New" w:eastAsia="Courier New" w:hAnsi="Courier New"/>
                <w:sz w:val="15"/>
                <w:szCs w:val="15"/>
                <w:color w:val="auto"/>
              </w:rPr>
              <w:t>Year</w:t>
            </w:r>
          </w:p>
        </w:tc>
        <w:tc>
          <w:tcPr>
            <w:tcW w:w="11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Period</w:t>
            </w:r>
          </w:p>
        </w:tc>
      </w:tr>
      <w:tr>
        <w:trPr>
          <w:trHeight w:val="168"/>
        </w:trPr>
        <w:tc>
          <w:tcPr>
            <w:tcW w:w="4900" w:type="dxa"/>
            <w:vAlign w:val="bottom"/>
            <w:gridSpan w:val="2"/>
          </w:tcPr>
          <w:p>
            <w:pPr>
              <w:jc w:val="center"/>
              <w:ind w:left="3707"/>
              <w:spacing w:after="0" w:line="168" w:lineRule="exact"/>
              <w:rPr>
                <w:sz w:val="20"/>
                <w:szCs w:val="20"/>
                <w:color w:val="auto"/>
              </w:rPr>
            </w:pPr>
            <w:r>
              <w:rPr>
                <w:rFonts w:ascii="Courier New" w:cs="Courier New" w:eastAsia="Courier New" w:hAnsi="Courier New"/>
                <w:sz w:val="15"/>
                <w:szCs w:val="15"/>
                <w:color w:val="auto"/>
                <w:w w:val="97"/>
              </w:rPr>
              <w:t>ended</w:t>
            </w:r>
          </w:p>
        </w:tc>
        <w:tc>
          <w:tcPr>
            <w:tcW w:w="920" w:type="dxa"/>
            <w:vAlign w:val="bottom"/>
            <w:gridSpan w:val="2"/>
          </w:tcPr>
          <w:p>
            <w:pPr>
              <w:ind w:left="280"/>
              <w:spacing w:after="0" w:line="168" w:lineRule="exact"/>
              <w:rPr>
                <w:sz w:val="20"/>
                <w:szCs w:val="20"/>
                <w:color w:val="auto"/>
              </w:rPr>
            </w:pPr>
            <w:r>
              <w:rPr>
                <w:rFonts w:ascii="Courier New" w:cs="Courier New" w:eastAsia="Courier New" w:hAnsi="Courier New"/>
                <w:sz w:val="15"/>
                <w:szCs w:val="15"/>
                <w:color w:val="auto"/>
              </w:rPr>
              <w:t>ended</w:t>
            </w:r>
          </w:p>
        </w:tc>
        <w:tc>
          <w:tcPr>
            <w:tcW w:w="11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ended</w:t>
            </w:r>
          </w:p>
        </w:tc>
      </w:tr>
      <w:tr>
        <w:trPr>
          <w:trHeight w:val="168"/>
        </w:trPr>
        <w:tc>
          <w:tcPr>
            <w:tcW w:w="4900" w:type="dxa"/>
            <w:vAlign w:val="bottom"/>
            <w:gridSpan w:val="2"/>
          </w:tcPr>
          <w:p>
            <w:pPr>
              <w:jc w:val="center"/>
              <w:ind w:left="3707"/>
              <w:spacing w:after="0" w:line="168" w:lineRule="exact"/>
              <w:rPr>
                <w:sz w:val="20"/>
                <w:szCs w:val="20"/>
                <w:color w:val="auto"/>
              </w:rPr>
            </w:pPr>
            <w:r>
              <w:rPr>
                <w:rFonts w:ascii="Courier New" w:cs="Courier New" w:eastAsia="Courier New" w:hAnsi="Courier New"/>
                <w:sz w:val="15"/>
                <w:szCs w:val="15"/>
                <w:color w:val="auto"/>
                <w:w w:val="98"/>
              </w:rPr>
              <w:t>September</w:t>
            </w:r>
          </w:p>
        </w:tc>
        <w:tc>
          <w:tcPr>
            <w:tcW w:w="92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December</w:t>
            </w:r>
          </w:p>
        </w:tc>
        <w:tc>
          <w:tcPr>
            <w:tcW w:w="11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December</w:t>
            </w:r>
          </w:p>
        </w:tc>
      </w:tr>
      <w:tr>
        <w:trPr>
          <w:trHeight w:val="168"/>
        </w:trPr>
        <w:tc>
          <w:tcPr>
            <w:tcW w:w="4200" w:type="dxa"/>
            <w:vAlign w:val="bottom"/>
          </w:tcPr>
          <w:p>
            <w:pPr>
              <w:ind w:left="3940"/>
              <w:spacing w:after="0" w:line="168" w:lineRule="exact"/>
              <w:rPr>
                <w:sz w:val="20"/>
                <w:szCs w:val="20"/>
                <w:color w:val="auto"/>
              </w:rPr>
            </w:pPr>
            <w:r>
              <w:rPr>
                <w:rFonts w:ascii="Courier New" w:cs="Courier New" w:eastAsia="Courier New" w:hAnsi="Courier New"/>
                <w:sz w:val="15"/>
                <w:szCs w:val="15"/>
                <w:color w:val="auto"/>
                <w:w w:val="88"/>
              </w:rPr>
              <w:t>30,</w:t>
            </w: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2002</w:t>
            </w:r>
          </w:p>
        </w:tc>
        <w:tc>
          <w:tcPr>
            <w:tcW w:w="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31,</w:t>
            </w:r>
          </w:p>
        </w:tc>
        <w:tc>
          <w:tcPr>
            <w:tcW w:w="5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2001</w:t>
            </w: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31, 2000(a)</w:t>
            </w:r>
          </w:p>
        </w:tc>
      </w:tr>
      <w:tr>
        <w:trPr>
          <w:trHeight w:val="168"/>
        </w:trPr>
        <w:tc>
          <w:tcPr>
            <w:tcW w:w="6920" w:type="dxa"/>
            <w:vAlign w:val="bottom"/>
            <w:gridSpan w:val="5"/>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200" w:type="dxa"/>
            <w:vAlign w:val="bottom"/>
          </w:tcPr>
          <w:p>
            <w:pPr>
              <w:spacing w:after="0"/>
              <w:rPr>
                <w:sz w:val="20"/>
                <w:szCs w:val="20"/>
                <w:color w:val="auto"/>
              </w:rPr>
            </w:pPr>
            <w:r>
              <w:rPr>
                <w:rFonts w:ascii="Courier New" w:cs="Courier New" w:eastAsia="Courier New" w:hAnsi="Courier New"/>
                <w:sz w:val="15"/>
                <w:szCs w:val="15"/>
                <w:color w:val="auto"/>
              </w:rPr>
              <w:t>Income before income taxes</w:t>
            </w:r>
          </w:p>
        </w:tc>
        <w:tc>
          <w:tcPr>
            <w:tcW w:w="700" w:type="dxa"/>
            <w:vAlign w:val="bottom"/>
          </w:tcPr>
          <w:p>
            <w:pPr>
              <w:jc w:val="right"/>
              <w:ind w:right="267"/>
              <w:spacing w:after="0"/>
              <w:rPr>
                <w:sz w:val="20"/>
                <w:szCs w:val="20"/>
                <w:color w:val="auto"/>
              </w:rPr>
            </w:pPr>
            <w:r>
              <w:rPr>
                <w:rFonts w:ascii="Courier New" w:cs="Courier New" w:eastAsia="Courier New" w:hAnsi="Courier New"/>
                <w:sz w:val="15"/>
                <w:szCs w:val="15"/>
                <w:color w:val="auto"/>
                <w:w w:val="94"/>
              </w:rPr>
              <w:t>$244</w:t>
            </w:r>
          </w:p>
        </w:tc>
        <w:tc>
          <w:tcPr>
            <w:tcW w:w="92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$712</w:t>
            </w:r>
          </w:p>
        </w:tc>
        <w:tc>
          <w:tcPr>
            <w:tcW w:w="11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 --</w:t>
            </w:r>
          </w:p>
        </w:tc>
      </w:tr>
      <w:tr>
        <w:trPr>
          <w:trHeight w:val="336"/>
        </w:trPr>
        <w:tc>
          <w:tcPr>
            <w:tcW w:w="4200" w:type="dxa"/>
            <w:vAlign w:val="bottom"/>
          </w:tcPr>
          <w:p>
            <w:pPr>
              <w:spacing w:after="0"/>
              <w:rPr>
                <w:sz w:val="20"/>
                <w:szCs w:val="20"/>
                <w:color w:val="auto"/>
              </w:rPr>
            </w:pPr>
            <w:r>
              <w:rPr>
                <w:rFonts w:ascii="Courier New" w:cs="Courier New" w:eastAsia="Courier New" w:hAnsi="Courier New"/>
                <w:sz w:val="15"/>
                <w:szCs w:val="15"/>
                <w:color w:val="auto"/>
              </w:rPr>
              <w:t>Add fixed charges</w:t>
            </w:r>
          </w:p>
        </w:tc>
        <w:tc>
          <w:tcPr>
            <w:tcW w:w="7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159</w:t>
            </w:r>
          </w:p>
        </w:tc>
        <w:tc>
          <w:tcPr>
            <w:tcW w:w="360" w:type="dxa"/>
            <w:vAlign w:val="bottom"/>
          </w:tcPr>
          <w:p>
            <w:pPr>
              <w:spacing w:after="0"/>
              <w:rPr>
                <w:sz w:val="24"/>
                <w:szCs w:val="24"/>
                <w:color w:val="auto"/>
              </w:rPr>
            </w:pPr>
          </w:p>
        </w:tc>
        <w:tc>
          <w:tcPr>
            <w:tcW w:w="560" w:type="dxa"/>
            <w:vAlign w:val="bottom"/>
          </w:tcPr>
          <w:p>
            <w:pPr>
              <w:jc w:val="right"/>
              <w:ind w:right="227"/>
              <w:spacing w:after="0"/>
              <w:rPr>
                <w:sz w:val="20"/>
                <w:szCs w:val="20"/>
                <w:color w:val="auto"/>
              </w:rPr>
            </w:pPr>
            <w:r>
              <w:rPr>
                <w:rFonts w:ascii="Courier New" w:cs="Courier New" w:eastAsia="Courier New" w:hAnsi="Courier New"/>
                <w:sz w:val="15"/>
                <w:szCs w:val="15"/>
                <w:color w:val="auto"/>
                <w:w w:val="88"/>
              </w:rPr>
              <w:t>180</w:t>
            </w:r>
          </w:p>
        </w:tc>
        <w:tc>
          <w:tcPr>
            <w:tcW w:w="11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r>
      <w:tr>
        <w:trPr>
          <w:trHeight w:val="336"/>
        </w:trPr>
        <w:tc>
          <w:tcPr>
            <w:tcW w:w="4200" w:type="dxa"/>
            <w:vAlign w:val="bottom"/>
          </w:tcPr>
          <w:p>
            <w:pPr>
              <w:spacing w:after="0"/>
              <w:rPr>
                <w:sz w:val="20"/>
                <w:szCs w:val="20"/>
                <w:color w:val="auto"/>
              </w:rPr>
            </w:pPr>
            <w:r>
              <w:rPr>
                <w:rFonts w:ascii="Courier New" w:cs="Courier New" w:eastAsia="Courier New" w:hAnsi="Courier New"/>
                <w:sz w:val="15"/>
                <w:szCs w:val="15"/>
                <w:color w:val="auto"/>
              </w:rPr>
              <w:t>Total earnings before income</w:t>
            </w:r>
          </w:p>
        </w:tc>
        <w:tc>
          <w:tcPr>
            <w:tcW w:w="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68"/>
        </w:trPr>
        <w:tc>
          <w:tcPr>
            <w:tcW w:w="42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taxes and fixed charges</w:t>
            </w:r>
          </w:p>
        </w:tc>
        <w:tc>
          <w:tcPr>
            <w:tcW w:w="7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w w:val="94"/>
              </w:rPr>
              <w:t>$403</w:t>
            </w:r>
          </w:p>
        </w:tc>
        <w:tc>
          <w:tcPr>
            <w:tcW w:w="92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$892</w:t>
            </w:r>
          </w:p>
        </w:tc>
        <w:tc>
          <w:tcPr>
            <w:tcW w:w="11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200" w:type="dxa"/>
            <w:vAlign w:val="bottom"/>
          </w:tcPr>
          <w:p>
            <w:pPr>
              <w:spacing w:after="0"/>
              <w:rPr>
                <w:sz w:val="20"/>
                <w:szCs w:val="20"/>
                <w:color w:val="auto"/>
              </w:rPr>
            </w:pPr>
            <w:r>
              <w:rPr>
                <w:rFonts w:ascii="Courier New" w:cs="Courier New" w:eastAsia="Courier New" w:hAnsi="Courier New"/>
                <w:sz w:val="15"/>
                <w:szCs w:val="15"/>
                <w:color w:val="auto"/>
              </w:rPr>
              <w:t>Fixed charges:</w:t>
            </w:r>
          </w:p>
        </w:tc>
        <w:tc>
          <w:tcPr>
            <w:tcW w:w="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336"/>
        </w:trPr>
        <w:tc>
          <w:tcPr>
            <w:tcW w:w="4200" w:type="dxa"/>
            <w:vAlign w:val="bottom"/>
          </w:tcPr>
          <w:p>
            <w:pPr>
              <w:spacing w:after="0"/>
              <w:rPr>
                <w:sz w:val="20"/>
                <w:szCs w:val="20"/>
                <w:color w:val="auto"/>
              </w:rPr>
            </w:pPr>
            <w:r>
              <w:rPr>
                <w:rFonts w:ascii="Courier New" w:cs="Courier New" w:eastAsia="Courier New" w:hAnsi="Courier New"/>
                <w:sz w:val="15"/>
                <w:szCs w:val="15"/>
                <w:color w:val="auto"/>
              </w:rPr>
              <w:t>Interest expense</w:t>
            </w:r>
          </w:p>
        </w:tc>
        <w:tc>
          <w:tcPr>
            <w:tcW w:w="700" w:type="dxa"/>
            <w:vAlign w:val="bottom"/>
          </w:tcPr>
          <w:p>
            <w:pPr>
              <w:jc w:val="right"/>
              <w:ind w:right="267"/>
              <w:spacing w:after="0"/>
              <w:rPr>
                <w:sz w:val="20"/>
                <w:szCs w:val="20"/>
                <w:color w:val="auto"/>
              </w:rPr>
            </w:pPr>
            <w:r>
              <w:rPr>
                <w:rFonts w:ascii="Courier New" w:cs="Courier New" w:eastAsia="Courier New" w:hAnsi="Courier New"/>
                <w:sz w:val="15"/>
                <w:szCs w:val="15"/>
                <w:color w:val="auto"/>
                <w:w w:val="94"/>
              </w:rPr>
              <w:t>$159</w:t>
            </w:r>
          </w:p>
        </w:tc>
        <w:tc>
          <w:tcPr>
            <w:tcW w:w="92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$180</w:t>
            </w:r>
          </w:p>
        </w:tc>
        <w:tc>
          <w:tcPr>
            <w:tcW w:w="11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r>
      <w:tr>
        <w:trPr>
          <w:trHeight w:val="336"/>
        </w:trPr>
        <w:tc>
          <w:tcPr>
            <w:tcW w:w="4200" w:type="dxa"/>
            <w:vAlign w:val="bottom"/>
          </w:tcPr>
          <w:p>
            <w:pPr>
              <w:spacing w:after="0"/>
              <w:rPr>
                <w:sz w:val="20"/>
                <w:szCs w:val="20"/>
                <w:color w:val="auto"/>
              </w:rPr>
            </w:pPr>
            <w:r>
              <w:rPr>
                <w:rFonts w:ascii="Courier New" w:cs="Courier New" w:eastAsia="Courier New" w:hAnsi="Courier New"/>
                <w:sz w:val="15"/>
                <w:szCs w:val="15"/>
                <w:color w:val="auto"/>
              </w:rPr>
              <w:t>Ratio of earnings to fixed</w:t>
            </w:r>
          </w:p>
        </w:tc>
        <w:tc>
          <w:tcPr>
            <w:tcW w:w="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68"/>
        </w:trPr>
        <w:tc>
          <w:tcPr>
            <w:tcW w:w="42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charges</w:t>
            </w:r>
          </w:p>
        </w:tc>
        <w:tc>
          <w:tcPr>
            <w:tcW w:w="7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w w:val="94"/>
              </w:rPr>
              <w:t>2.53</w:t>
            </w:r>
          </w:p>
        </w:tc>
        <w:tc>
          <w:tcPr>
            <w:tcW w:w="360" w:type="dxa"/>
            <w:vAlign w:val="bottom"/>
          </w:tcPr>
          <w:p>
            <w:pPr>
              <w:spacing w:after="0"/>
              <w:rPr>
                <w:sz w:val="14"/>
                <w:szCs w:val="14"/>
                <w:color w:val="auto"/>
              </w:rPr>
            </w:pPr>
          </w:p>
        </w:tc>
        <w:tc>
          <w:tcPr>
            <w:tcW w:w="5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88"/>
              </w:rPr>
              <w:t>5.0</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(b)</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left="440" w:right="3399" w:hanging="430"/>
        <w:spacing w:after="0" w:line="234" w:lineRule="auto"/>
        <w:tabs>
          <w:tab w:leader="none" w:pos="440" w:val="left"/>
        </w:tabs>
        <w:numPr>
          <w:ilvl w:val="0"/>
          <w:numId w:val="1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Data is from date of acquisition of MediaOne Group by AT&amp;T Corporation on June 15, 2000 through December 31, 2000.</w:t>
      </w:r>
    </w:p>
    <w:p>
      <w:pPr>
        <w:spacing w:after="0" w:line="173" w:lineRule="exact"/>
        <w:rPr>
          <w:rFonts w:ascii="Courier New" w:cs="Courier New" w:eastAsia="Courier New" w:hAnsi="Courier New"/>
          <w:sz w:val="15"/>
          <w:szCs w:val="15"/>
          <w:color w:val="auto"/>
        </w:rPr>
      </w:pPr>
    </w:p>
    <w:p>
      <w:pPr>
        <w:ind w:left="440" w:right="4019" w:hanging="430"/>
        <w:spacing w:after="0" w:line="261" w:lineRule="auto"/>
        <w:tabs>
          <w:tab w:leader="none" w:pos="440" w:val="left"/>
        </w:tabs>
        <w:numPr>
          <w:ilvl w:val="0"/>
          <w:numId w:val="1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Comcast MO Group's loss for the period ended December 31, 2000 was inadequate to cover fixed charges in the amount of $0.4 billion.</w:t>
      </w:r>
    </w:p>
    <w:p>
      <w:pPr>
        <w:sectPr>
          <w:pgSz w:w="11900" w:h="16838" w:orient="portrait"/>
          <w:cols w:equalWidth="0" w:num="1">
            <w:col w:w="10239"/>
          </w:cols>
          <w:pgMar w:left="220" w:top="303" w:right="1440" w:bottom="1440" w:gutter="0" w:footer="0" w:header="0"/>
        </w:sectPr>
      </w:pPr>
    </w:p>
    <w:bookmarkStart w:id="281" w:name="page282"/>
    <w:bookmarkEnd w:id="281"/>
    <w:p>
      <w:pPr>
        <w:ind w:left="5960"/>
        <w:spacing w:after="0"/>
        <w:rPr>
          <w:sz w:val="20"/>
          <w:szCs w:val="20"/>
          <w:color w:val="auto"/>
        </w:rPr>
      </w:pPr>
      <w:r>
        <w:rPr>
          <w:rFonts w:ascii="Courier New" w:cs="Courier New" w:eastAsia="Courier New" w:hAnsi="Courier New"/>
          <w:sz w:val="14"/>
          <w:szCs w:val="14"/>
          <w:color w:val="auto"/>
        </w:rPr>
        <w:t>Exhibit 12.6</w:t>
      </w:r>
    </w:p>
    <w:p>
      <w:pPr>
        <w:spacing w:after="0" w:line="171"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COMCAST CORPORATION</w:t>
      </w:r>
    </w:p>
    <w:p>
      <w:pPr>
        <w:ind w:left="1680"/>
        <w:spacing w:after="0" w:line="237" w:lineRule="auto"/>
        <w:rPr>
          <w:sz w:val="20"/>
          <w:szCs w:val="20"/>
          <w:color w:val="auto"/>
        </w:rPr>
      </w:pPr>
      <w:r>
        <w:rPr>
          <w:rFonts w:ascii="Courier New" w:cs="Courier New" w:eastAsia="Courier New" w:hAnsi="Courier New"/>
          <w:sz w:val="15"/>
          <w:szCs w:val="15"/>
          <w:color w:val="auto"/>
        </w:rPr>
        <w:t>STATEMENT REGARDING COMPUTATION OF PROFORMA</w:t>
      </w:r>
    </w:p>
    <w:p>
      <w:pPr>
        <w:ind w:left="2020"/>
        <w:spacing w:after="0" w:line="238" w:lineRule="auto"/>
        <w:rPr>
          <w:sz w:val="20"/>
          <w:szCs w:val="20"/>
          <w:color w:val="auto"/>
        </w:rPr>
      </w:pPr>
      <w:r>
        <w:rPr>
          <w:rFonts w:ascii="Courier New" w:cs="Courier New" w:eastAsia="Courier New" w:hAnsi="Courier New"/>
          <w:sz w:val="15"/>
          <w:szCs w:val="15"/>
          <w:color w:val="auto"/>
        </w:rPr>
        <w:t>RATIO OF EARNINGS TO FIXED CHARGES</w:t>
      </w:r>
    </w:p>
    <w:p>
      <w:pPr>
        <w:ind w:left="2640"/>
        <w:spacing w:after="0" w:line="237" w:lineRule="auto"/>
        <w:rPr>
          <w:sz w:val="20"/>
          <w:szCs w:val="20"/>
          <w:color w:val="auto"/>
        </w:rPr>
      </w:pPr>
      <w:r>
        <w:rPr>
          <w:rFonts w:ascii="Courier New" w:cs="Courier New" w:eastAsia="Courier New" w:hAnsi="Courier New"/>
          <w:sz w:val="15"/>
          <w:szCs w:val="15"/>
          <w:color w:val="auto"/>
        </w:rPr>
        <w:t>(dollars in millions)</w:t>
      </w:r>
    </w:p>
    <w:p>
      <w:pPr>
        <w:sectPr>
          <w:pgSz w:w="11900" w:h="16838" w:orient="portrait"/>
          <w:cols w:equalWidth="0" w:num="1">
            <w:col w:w="10239"/>
          </w:cols>
          <w:pgMar w:left="220" w:top="142" w:right="1440" w:bottom="1440" w:gutter="0" w:footer="0" w:header="0"/>
        </w:sectPr>
      </w:pPr>
    </w:p>
    <w:p>
      <w:pPr>
        <w:spacing w:after="0" w:line="173" w:lineRule="exact"/>
        <w:rPr>
          <w:sz w:val="20"/>
          <w:szCs w:val="20"/>
          <w:color w:val="auto"/>
        </w:rPr>
      </w:pPr>
    </w:p>
    <w:p>
      <w:pPr>
        <w:ind w:left="3860"/>
        <w:spacing w:after="0"/>
        <w:rPr>
          <w:sz w:val="20"/>
          <w:szCs w:val="20"/>
          <w:color w:val="auto"/>
        </w:rPr>
      </w:pPr>
      <w:r>
        <w:rPr>
          <w:rFonts w:ascii="Courier New" w:cs="Courier New" w:eastAsia="Courier New" w:hAnsi="Courier New"/>
          <w:sz w:val="14"/>
          <w:szCs w:val="14"/>
          <w:color w:val="auto"/>
        </w:rPr>
        <w:t>Nine Months Ended</w:t>
      </w:r>
    </w:p>
    <w:p>
      <w:pPr>
        <w:spacing w:after="0" w:line="3" w:lineRule="exact"/>
        <w:rPr>
          <w:sz w:val="20"/>
          <w:szCs w:val="20"/>
          <w:color w:val="auto"/>
        </w:rPr>
      </w:pPr>
    </w:p>
    <w:p>
      <w:pPr>
        <w:ind w:left="4040"/>
        <w:spacing w:after="0"/>
        <w:rPr>
          <w:sz w:val="20"/>
          <w:szCs w:val="20"/>
          <w:color w:val="auto"/>
        </w:rPr>
      </w:pPr>
      <w:r>
        <w:rPr>
          <w:rFonts w:ascii="Courier New" w:cs="Courier New" w:eastAsia="Courier New" w:hAnsi="Courier New"/>
          <w:sz w:val="15"/>
          <w:szCs w:val="15"/>
          <w:color w:val="auto"/>
        </w:rPr>
        <w:t>September 30,</w:t>
      </w:r>
    </w:p>
    <w:p>
      <w:pPr>
        <w:spacing w:after="0" w:line="5" w:lineRule="exact"/>
        <w:rPr>
          <w:sz w:val="20"/>
          <w:szCs w:val="20"/>
          <w:color w:val="auto"/>
        </w:rPr>
      </w:pPr>
    </w:p>
    <w:p>
      <w:pPr>
        <w:ind w:left="386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4480"/>
        <w:spacing w:after="0"/>
        <w:rPr>
          <w:sz w:val="20"/>
          <w:szCs w:val="20"/>
          <w:color w:val="auto"/>
        </w:rPr>
      </w:pPr>
      <w:r>
        <w:rPr>
          <w:rFonts w:ascii="Courier New" w:cs="Courier New" w:eastAsia="Courier New" w:hAnsi="Courier New"/>
          <w:sz w:val="15"/>
          <w:szCs w:val="15"/>
          <w:color w:val="auto"/>
        </w:rPr>
        <w:t>2002</w:t>
      </w:r>
    </w:p>
    <w:p>
      <w:pPr>
        <w:ind w:left="4480"/>
        <w:spacing w:after="0" w:line="237" w:lineRule="auto"/>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Year Ended</w:t>
      </w:r>
    </w:p>
    <w:p>
      <w:pPr>
        <w:ind w:left="80"/>
        <w:spacing w:after="0" w:line="237" w:lineRule="auto"/>
        <w:rPr>
          <w:sz w:val="20"/>
          <w:szCs w:val="20"/>
          <w:color w:val="auto"/>
        </w:rPr>
      </w:pPr>
      <w:r>
        <w:rPr>
          <w:rFonts w:ascii="Courier New" w:cs="Courier New" w:eastAsia="Courier New" w:hAnsi="Courier New"/>
          <w:sz w:val="15"/>
          <w:szCs w:val="15"/>
          <w:color w:val="auto"/>
        </w:rPr>
        <w:t>December 31,</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2001</w:t>
      </w:r>
    </w:p>
    <w:p>
      <w:pPr>
        <w:ind w:left="440"/>
        <w:spacing w:after="0" w:line="237" w:lineRule="auto"/>
        <w:rPr>
          <w:sz w:val="20"/>
          <w:szCs w:val="20"/>
          <w:color w:val="auto"/>
        </w:rPr>
      </w:pPr>
      <w:r>
        <w:rPr>
          <w:rFonts w:ascii="Courier New" w:cs="Courier New" w:eastAsia="Courier New" w:hAnsi="Courier New"/>
          <w:sz w:val="15"/>
          <w:szCs w:val="15"/>
          <w:color w:val="auto"/>
        </w:rPr>
        <w:t>----</w:t>
      </w:r>
    </w:p>
    <w:p>
      <w:pPr>
        <w:spacing w:after="0" w:line="167" w:lineRule="exact"/>
        <w:rPr>
          <w:sz w:val="20"/>
          <w:szCs w:val="20"/>
          <w:color w:val="auto"/>
        </w:rPr>
      </w:pPr>
    </w:p>
    <w:p>
      <w:pPr>
        <w:sectPr>
          <w:pgSz w:w="11900" w:h="16838" w:orient="portrait"/>
          <w:cols w:equalWidth="0" w:num="2">
            <w:col w:w="5340" w:space="440"/>
            <w:col w:w="4459"/>
          </w:cols>
          <w:pgMar w:left="220" w:top="142"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Earnings (loss) before fixed charges (1):</w:t>
      </w:r>
    </w:p>
    <w:p>
      <w:pPr>
        <w:spacing w:after="0" w:line="173"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Earnings (loss) from continuing operations</w:t>
      </w:r>
    </w:p>
    <w:p>
      <w:pPr>
        <w:spacing w:after="0" w:line="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before extraordinary items and</w:t>
      </w:r>
    </w:p>
    <w:p>
      <w:pPr>
        <w:sectPr>
          <w:pgSz w:w="11900" w:h="16838" w:orient="portrait"/>
          <w:cols w:equalWidth="0" w:num="1">
            <w:col w:w="10239"/>
          </w:cols>
          <w:pgMar w:left="220" w:top="142" w:right="1440" w:bottom="1440" w:gutter="0" w:footer="0" w:header="0"/>
          <w:type w:val="continuous"/>
        </w:sectPr>
      </w:pPr>
    </w:p>
    <w:p>
      <w:pPr>
        <w:spacing w:after="0" w:line="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cumulative effect of accounting change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($14,424.0)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($3,048.1)</w:t>
      </w:r>
    </w:p>
    <w:p>
      <w:pPr>
        <w:spacing w:after="0" w:line="200" w:lineRule="exact"/>
        <w:rPr>
          <w:sz w:val="20"/>
          <w:szCs w:val="20"/>
          <w:color w:val="auto"/>
        </w:rPr>
      </w:pPr>
    </w:p>
    <w:p>
      <w:pPr>
        <w:sectPr>
          <w:pgSz w:w="11900" w:h="16838" w:orient="portrait"/>
          <w:cols w:equalWidth="0" w:num="3">
            <w:col w:w="3780" w:space="600"/>
            <w:col w:w="1040" w:space="720"/>
            <w:col w:w="4099"/>
          </w:cols>
          <w:pgMar w:left="220" w:top="142" w:right="1440" w:bottom="1440" w:gutter="0" w:footer="0" w:header="0"/>
          <w:type w:val="continuous"/>
        </w:sectPr>
      </w:pPr>
    </w:p>
    <w:p>
      <w:pPr>
        <w:spacing w:after="0" w:line="146"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Minority Interest</w:t>
      </w:r>
    </w:p>
    <w:p>
      <w:pPr>
        <w:spacing w:after="0" w:line="20" w:lineRule="exact"/>
        <w:rPr>
          <w:sz w:val="20"/>
          <w:szCs w:val="20"/>
          <w:color w:val="auto"/>
        </w:rPr>
      </w:pPr>
      <w:r>
        <w:rPr>
          <w:sz w:val="20"/>
          <w:szCs w:val="20"/>
          <w:color w:val="auto"/>
        </w:rPr>
        <w:br w:type="column"/>
      </w:r>
    </w:p>
    <w:p>
      <w:pPr>
        <w:spacing w:after="0" w:line="12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212.0</w:t>
      </w:r>
    </w:p>
    <w:p>
      <w:pPr>
        <w:spacing w:after="0" w:line="20" w:lineRule="exact"/>
        <w:rPr>
          <w:sz w:val="20"/>
          <w:szCs w:val="20"/>
          <w:color w:val="auto"/>
        </w:rPr>
      </w:pPr>
      <w:r>
        <w:rPr>
          <w:sz w:val="20"/>
          <w:szCs w:val="20"/>
          <w:color w:val="auto"/>
        </w:rPr>
        <w:br w:type="column"/>
      </w:r>
    </w:p>
    <w:p>
      <w:pPr>
        <w:spacing w:after="0" w:line="12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(808.6)</w:t>
      </w:r>
    </w:p>
    <w:p>
      <w:pPr>
        <w:spacing w:after="0" w:line="178" w:lineRule="exact"/>
        <w:rPr>
          <w:sz w:val="20"/>
          <w:szCs w:val="20"/>
          <w:color w:val="auto"/>
        </w:rPr>
      </w:pPr>
    </w:p>
    <w:p>
      <w:pPr>
        <w:sectPr>
          <w:pgSz w:w="11900" w:h="16838" w:orient="portrait"/>
          <w:cols w:equalWidth="0" w:num="3">
            <w:col w:w="4100" w:space="720"/>
            <w:col w:w="860" w:space="720"/>
            <w:col w:w="3839"/>
          </w:cols>
          <w:pgMar w:left="220" w:top="142" w:right="1440" w:bottom="1440" w:gutter="0" w:footer="0" w:header="0"/>
          <w:type w:val="continuous"/>
        </w:sectPr>
      </w:pPr>
    </w:p>
    <w:p>
      <w:pPr>
        <w:ind w:left="180"/>
        <w:spacing w:after="0"/>
        <w:rPr>
          <w:sz w:val="20"/>
          <w:szCs w:val="20"/>
          <w:color w:val="auto"/>
        </w:rPr>
      </w:pPr>
      <w:r>
        <w:rPr>
          <w:rFonts w:ascii="Courier New" w:cs="Courier New" w:eastAsia="Courier New" w:hAnsi="Courier New"/>
          <w:sz w:val="14"/>
          <w:szCs w:val="14"/>
          <w:color w:val="auto"/>
        </w:rPr>
        <w:t>Income tax (benefit) expense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(5,918.6)</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(2,113.0)</w:t>
      </w:r>
    </w:p>
    <w:p>
      <w:pPr>
        <w:spacing w:after="0" w:line="178" w:lineRule="exact"/>
        <w:rPr>
          <w:sz w:val="20"/>
          <w:szCs w:val="20"/>
          <w:color w:val="auto"/>
        </w:rPr>
      </w:pPr>
    </w:p>
    <w:p>
      <w:pPr>
        <w:sectPr>
          <w:pgSz w:w="11900" w:h="16838" w:orient="portrait"/>
          <w:cols w:equalWidth="0" w:num="3">
            <w:col w:w="3840" w:space="720"/>
            <w:col w:w="940" w:space="720"/>
            <w:col w:w="4019"/>
          </w:cols>
          <w:pgMar w:left="220" w:top="142" w:right="1440" w:bottom="1440" w:gutter="0" w:footer="0" w:header="0"/>
          <w:type w:val="continuous"/>
        </w:sectPr>
      </w:pPr>
    </w:p>
    <w:p>
      <w:pPr>
        <w:ind w:left="180"/>
        <w:spacing w:after="0"/>
        <w:rPr>
          <w:sz w:val="20"/>
          <w:szCs w:val="20"/>
          <w:color w:val="auto"/>
        </w:rPr>
      </w:pPr>
      <w:r>
        <w:rPr>
          <w:rFonts w:ascii="Courier New" w:cs="Courier New" w:eastAsia="Courier New" w:hAnsi="Courier New"/>
          <w:sz w:val="14"/>
          <w:szCs w:val="14"/>
          <w:color w:val="auto"/>
        </w:rPr>
        <w:t>Equity in net loss of affiliates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1,060.9</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(13.5)</w:t>
      </w:r>
    </w:p>
    <w:p>
      <w:pPr>
        <w:spacing w:after="0" w:line="171" w:lineRule="exact"/>
        <w:rPr>
          <w:sz w:val="20"/>
          <w:szCs w:val="20"/>
          <w:color w:val="auto"/>
        </w:rPr>
      </w:pPr>
    </w:p>
    <w:p>
      <w:pPr>
        <w:sectPr>
          <w:pgSz w:w="11900" w:h="16838" w:orient="portrait"/>
          <w:cols w:equalWidth="0" w:num="3">
            <w:col w:w="3920" w:space="720"/>
            <w:col w:w="1120" w:space="720"/>
            <w:col w:w="3759"/>
          </w:cols>
          <w:pgMar w:left="220" w:top="142" w:right="1440" w:bottom="1440" w:gutter="0" w:footer="0" w:header="0"/>
          <w:type w:val="continuous"/>
        </w:sectPr>
      </w:pP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Fixed charges</w:t>
      </w:r>
    </w:p>
    <w:p>
      <w:pPr>
        <w:spacing w:after="0" w:line="20" w:lineRule="exact"/>
        <w:rPr>
          <w:sz w:val="20"/>
          <w:szCs w:val="20"/>
          <w:color w:val="auto"/>
        </w:rPr>
      </w:pPr>
      <w:r>
        <w:rPr>
          <w:sz w:val="20"/>
          <w:szCs w:val="20"/>
          <w:color w:val="auto"/>
        </w:rPr>
        <w:br w:type="column"/>
      </w:r>
    </w:p>
    <w:p>
      <w:pPr>
        <w:jc w:val="right"/>
        <w:ind w:right="60"/>
        <w:spacing w:after="0"/>
        <w:rPr>
          <w:sz w:val="20"/>
          <w:szCs w:val="20"/>
          <w:color w:val="auto"/>
        </w:rPr>
      </w:pPr>
      <w:r>
        <w:rPr>
          <w:rFonts w:ascii="Courier New" w:cs="Courier New" w:eastAsia="Courier New" w:hAnsi="Courier New"/>
          <w:sz w:val="15"/>
          <w:szCs w:val="15"/>
          <w:color w:val="auto"/>
        </w:rPr>
        <w:t>1,780.5</w:t>
      </w:r>
    </w:p>
    <w:p>
      <w:pPr>
        <w:spacing w:after="0" w:line="5" w:lineRule="exact"/>
        <w:rPr>
          <w:sz w:val="20"/>
          <w:szCs w:val="20"/>
          <w:color w:val="auto"/>
        </w:rPr>
      </w:pPr>
    </w:p>
    <w:p>
      <w:pPr>
        <w:jc w:val="right"/>
        <w:ind w:right="6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ind w:left="260"/>
        <w:spacing w:after="0"/>
        <w:rPr>
          <w:sz w:val="20"/>
          <w:szCs w:val="20"/>
          <w:color w:val="auto"/>
        </w:rPr>
      </w:pPr>
      <w:r>
        <w:rPr>
          <w:rFonts w:ascii="Courier New" w:cs="Courier New" w:eastAsia="Courier New" w:hAnsi="Courier New"/>
          <w:sz w:val="15"/>
          <w:szCs w:val="15"/>
          <w:color w:val="auto"/>
        </w:rPr>
        <w:t>2,383.4</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8" w:lineRule="exact"/>
        <w:rPr>
          <w:sz w:val="20"/>
          <w:szCs w:val="20"/>
          <w:color w:val="auto"/>
        </w:rPr>
      </w:pPr>
    </w:p>
    <w:p>
      <w:pPr>
        <w:sectPr>
          <w:pgSz w:w="11900" w:h="16838" w:orient="portrait"/>
          <w:cols w:equalWidth="0" w:num="3">
            <w:col w:w="3480" w:space="720"/>
            <w:col w:w="1120" w:space="720"/>
            <w:col w:w="4199"/>
          </w:cols>
          <w:pgMar w:left="220" w:top="142" w:right="1440" w:bottom="1440" w:gutter="0" w:footer="0" w:header="0"/>
          <w:type w:val="continuous"/>
        </w:sectPr>
      </w:pPr>
    </w:p>
    <w:p>
      <w:pPr>
        <w:ind w:left="4380"/>
        <w:spacing w:after="0"/>
        <w:rPr>
          <w:sz w:val="20"/>
          <w:szCs w:val="20"/>
          <w:color w:val="auto"/>
        </w:rPr>
      </w:pPr>
      <w:r>
        <w:rPr>
          <w:rFonts w:ascii="Courier New" w:cs="Courier New" w:eastAsia="Courier New" w:hAnsi="Courier New"/>
          <w:sz w:val="14"/>
          <w:szCs w:val="14"/>
          <w:color w:val="auto"/>
        </w:rPr>
        <w:t>($17,289.2)</w:t>
      </w:r>
    </w:p>
    <w:p>
      <w:pPr>
        <w:spacing w:after="0" w:line="3" w:lineRule="exact"/>
        <w:rPr>
          <w:sz w:val="20"/>
          <w:szCs w:val="20"/>
          <w:color w:val="auto"/>
        </w:rPr>
      </w:pPr>
    </w:p>
    <w:p>
      <w:pPr>
        <w:ind w:left="4200"/>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ind w:left="100"/>
        <w:spacing w:after="0"/>
        <w:rPr>
          <w:sz w:val="20"/>
          <w:szCs w:val="20"/>
          <w:color w:val="auto"/>
        </w:rPr>
      </w:pPr>
      <w:r>
        <w:rPr>
          <w:rFonts w:ascii="Courier New" w:cs="Courier New" w:eastAsia="Courier New" w:hAnsi="Courier New"/>
          <w:sz w:val="14"/>
          <w:szCs w:val="14"/>
          <w:color w:val="auto"/>
        </w:rPr>
        <w:t>($3,599.8)</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7" w:lineRule="exact"/>
        <w:rPr>
          <w:sz w:val="20"/>
          <w:szCs w:val="20"/>
          <w:color w:val="auto"/>
        </w:rPr>
      </w:pPr>
    </w:p>
    <w:p>
      <w:pPr>
        <w:sectPr>
          <w:pgSz w:w="11900" w:h="16838" w:orient="portrait"/>
          <w:cols w:equalWidth="0" w:num="2">
            <w:col w:w="5340" w:space="700"/>
            <w:col w:w="4199"/>
          </w:cols>
          <w:pgMar w:left="220" w:top="142"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Combined fixed charges and preferred dividends:</w:t>
      </w:r>
    </w:p>
    <w:p>
      <w:pPr>
        <w:sectPr>
          <w:pgSz w:w="11900" w:h="16838" w:orient="portrait"/>
          <w:cols w:equalWidth="0" w:num="1">
            <w:col w:w="10239"/>
          </w:cols>
          <w:pgMar w:left="220" w:top="142" w:right="1440" w:bottom="1440" w:gutter="0" w:footer="0" w:header="0"/>
          <w:type w:val="continuous"/>
        </w:sectPr>
      </w:pPr>
    </w:p>
    <w:p>
      <w:pPr>
        <w:spacing w:after="0" w:line="178"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Interest expense</w:t>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$1,780.5</w:t>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$2,383.4</w:t>
      </w:r>
    </w:p>
    <w:p>
      <w:pPr>
        <w:spacing w:after="0" w:line="171" w:lineRule="exact"/>
        <w:rPr>
          <w:sz w:val="20"/>
          <w:szCs w:val="20"/>
          <w:color w:val="auto"/>
        </w:rPr>
      </w:pPr>
    </w:p>
    <w:p>
      <w:pPr>
        <w:sectPr>
          <w:pgSz w:w="11900" w:h="16838" w:orient="portrait"/>
          <w:cols w:equalWidth="0" w:num="3">
            <w:col w:w="3840" w:space="720"/>
            <w:col w:w="940" w:space="720"/>
            <w:col w:w="4019"/>
          </w:cols>
          <w:pgMar w:left="220" w:top="142" w:right="1440" w:bottom="1440" w:gutter="0" w:footer="0" w:header="0"/>
          <w:type w:val="continuous"/>
        </w:sectPr>
      </w:pP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Capitalized interest</w:t>
      </w:r>
    </w:p>
    <w:p>
      <w:pPr>
        <w:spacing w:after="0" w:line="20" w:lineRule="exact"/>
        <w:rPr>
          <w:sz w:val="20"/>
          <w:szCs w:val="20"/>
          <w:color w:val="auto"/>
        </w:rPr>
      </w:pPr>
      <w:r>
        <w:rPr>
          <w:sz w:val="20"/>
          <w:szCs w:val="20"/>
          <w:color w:val="auto"/>
        </w:rPr>
        <w:br w:type="column"/>
      </w:r>
    </w:p>
    <w:p>
      <w:pPr>
        <w:ind w:left="9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ind w:left="132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1" w:lineRule="exact"/>
        <w:rPr>
          <w:sz w:val="20"/>
          <w:szCs w:val="20"/>
          <w:color w:val="auto"/>
        </w:rPr>
      </w:pPr>
    </w:p>
    <w:p>
      <w:pPr>
        <w:sectPr>
          <w:pgSz w:w="11900" w:h="16838" w:orient="portrait"/>
          <w:cols w:equalWidth="0" w:num="3">
            <w:col w:w="3480" w:space="720"/>
            <w:col w:w="1140" w:space="180"/>
            <w:col w:w="4719"/>
          </w:cols>
          <w:pgMar w:left="220" w:top="142" w:right="1440" w:bottom="1440" w:gutter="0" w:footer="0" w:header="0"/>
          <w:type w:val="continuous"/>
        </w:sectPr>
      </w:pPr>
    </w:p>
    <w:p>
      <w:pPr>
        <w:ind w:left="4560"/>
        <w:spacing w:after="0"/>
        <w:rPr>
          <w:sz w:val="20"/>
          <w:szCs w:val="20"/>
          <w:color w:val="auto"/>
        </w:rPr>
      </w:pPr>
      <w:r>
        <w:rPr>
          <w:rFonts w:ascii="Courier New" w:cs="Courier New" w:eastAsia="Courier New" w:hAnsi="Courier New"/>
          <w:sz w:val="15"/>
          <w:szCs w:val="15"/>
          <w:color w:val="auto"/>
        </w:rPr>
        <w:t>$1,780.5</w:t>
      </w:r>
    </w:p>
    <w:p>
      <w:pPr>
        <w:spacing w:after="0" w:line="5" w:lineRule="exact"/>
        <w:rPr>
          <w:sz w:val="20"/>
          <w:szCs w:val="20"/>
          <w:color w:val="auto"/>
        </w:rPr>
      </w:pPr>
    </w:p>
    <w:p>
      <w:pPr>
        <w:ind w:left="420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ind w:left="700"/>
        <w:spacing w:after="0"/>
        <w:rPr>
          <w:sz w:val="20"/>
          <w:szCs w:val="20"/>
          <w:color w:val="auto"/>
        </w:rPr>
      </w:pPr>
      <w:r>
        <w:rPr>
          <w:rFonts w:ascii="Courier New" w:cs="Courier New" w:eastAsia="Courier New" w:hAnsi="Courier New"/>
          <w:sz w:val="15"/>
          <w:szCs w:val="15"/>
          <w:color w:val="auto"/>
        </w:rPr>
        <w:t>$2,383.4</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ectPr>
          <w:pgSz w:w="11900" w:h="16838" w:orient="portrait"/>
          <w:cols w:equalWidth="0" w:num="2">
            <w:col w:w="5340" w:space="180"/>
            <w:col w:w="4719"/>
          </w:cols>
          <w:pgMar w:left="220" w:top="142" w:right="1440" w:bottom="1440" w:gutter="0" w:footer="0" w:header="0"/>
          <w:type w:val="continuous"/>
        </w:sectPr>
      </w:pPr>
    </w:p>
    <w:p>
      <w:pPr>
        <w:spacing w:after="0" w:line="14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Ratio of earnings to fixed charges (1)</w:t>
      </w:r>
    </w:p>
    <w:p>
      <w:pPr>
        <w:spacing w:after="0" w:line="20" w:lineRule="exact"/>
        <w:rPr>
          <w:sz w:val="20"/>
          <w:szCs w:val="20"/>
          <w:color w:val="auto"/>
        </w:rPr>
      </w:pPr>
      <w:r>
        <w:rPr>
          <w:sz w:val="20"/>
          <w:szCs w:val="20"/>
          <w:color w:val="auto"/>
        </w:rPr>
        <w:br w:type="column"/>
      </w:r>
    </w:p>
    <w:p>
      <w:pPr>
        <w:spacing w:after="0" w:line="120" w:lineRule="exact"/>
        <w:rPr>
          <w:sz w:val="20"/>
          <w:szCs w:val="20"/>
          <w:color w:val="auto"/>
        </w:rPr>
      </w:pPr>
    </w:p>
    <w:p>
      <w:pPr>
        <w:jc w:val="center"/>
        <w:ind w:right="940"/>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126"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w:t>
      </w:r>
    </w:p>
    <w:p>
      <w:pPr>
        <w:spacing w:after="0" w:line="200" w:lineRule="exact"/>
        <w:rPr>
          <w:sz w:val="20"/>
          <w:szCs w:val="20"/>
          <w:color w:val="auto"/>
        </w:rPr>
      </w:pPr>
    </w:p>
    <w:p>
      <w:pPr>
        <w:sectPr>
          <w:pgSz w:w="11900" w:h="16838" w:orient="portrait"/>
          <w:cols w:equalWidth="0" w:num="3">
            <w:col w:w="4180" w:space="720"/>
            <w:col w:w="1040" w:space="720"/>
            <w:col w:w="3579"/>
          </w:cols>
          <w:pgMar w:left="220" w:top="142"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 -----------------------------------</w:t>
      </w:r>
    </w:p>
    <w:p>
      <w:pPr>
        <w:sectPr>
          <w:pgSz w:w="11900" w:h="16838" w:orient="portrait"/>
          <w:cols w:equalWidth="0" w:num="1">
            <w:col w:w="10239"/>
          </w:cols>
          <w:pgMar w:left="220" w:top="142" w:right="1440" w:bottom="1440" w:gutter="0" w:footer="0" w:header="0"/>
          <w:type w:val="continuous"/>
        </w:sectPr>
      </w:pPr>
    </w:p>
    <w:p>
      <w:pPr>
        <w:spacing w:after="0" w:line="3" w:lineRule="exact"/>
        <w:rPr>
          <w:sz w:val="20"/>
          <w:szCs w:val="20"/>
          <w:color w:val="auto"/>
        </w:rPr>
      </w:pPr>
    </w:p>
    <w:p>
      <w:pPr>
        <w:ind w:left="360" w:hanging="350"/>
        <w:spacing w:after="0"/>
        <w:tabs>
          <w:tab w:leader="none" w:pos="360" w:val="left"/>
        </w:tabs>
        <w:numPr>
          <w:ilvl w:val="0"/>
          <w:numId w:val="1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purposes of calculating the pro forma ratio of earnings to fixed</w:t>
      </w:r>
    </w:p>
    <w:p>
      <w:pPr>
        <w:spacing w:after="0" w:line="4" w:lineRule="exact"/>
        <w:rPr>
          <w:rFonts w:ascii="Courier New" w:cs="Courier New" w:eastAsia="Courier New" w:hAnsi="Courier New"/>
          <w:sz w:val="15"/>
          <w:szCs w:val="15"/>
          <w:color w:val="auto"/>
        </w:rPr>
      </w:pPr>
    </w:p>
    <w:p>
      <w:pPr>
        <w:ind w:right="3579"/>
        <w:spacing w:after="0" w:line="256"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charges, earnings consist of income (loss) from continuing operations before income taxes, extraordinary items, cumulative effect of accounting changes, minority interest, equity in net (income) losses of affiliates and fixed charges. Fixed charges consist of interest expense and capitalized interest.</w:t>
      </w:r>
    </w:p>
    <w:p>
      <w:pPr>
        <w:spacing w:after="0" w:line="164" w:lineRule="exact"/>
        <w:rPr>
          <w:rFonts w:ascii="Courier New" w:cs="Courier New" w:eastAsia="Courier New" w:hAnsi="Courier New"/>
          <w:sz w:val="15"/>
          <w:szCs w:val="15"/>
          <w:color w:val="auto"/>
        </w:rPr>
      </w:pPr>
    </w:p>
    <w:p>
      <w:pPr>
        <w:ind w:right="3239" w:firstLine="10"/>
        <w:spacing w:after="0" w:line="235" w:lineRule="auto"/>
        <w:tabs>
          <w:tab w:leader="none" w:pos="350" w:val="left"/>
        </w:tabs>
        <w:numPr>
          <w:ilvl w:val="0"/>
          <w:numId w:val="1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the nine months ended September 30, 2002 and for the year ended December 31, 2001, earnings, as defined above, were inadequate to cover fixed charges by $19.070 billion and $5.983 billion, respectively.</w:t>
      </w:r>
    </w:p>
    <w:p>
      <w:pPr>
        <w:sectPr>
          <w:pgSz w:w="11900" w:h="16838" w:orient="portrait"/>
          <w:cols w:equalWidth="0" w:num="1">
            <w:col w:w="10239"/>
          </w:cols>
          <w:pgMar w:left="220" w:top="142" w:right="1440" w:bottom="1440" w:gutter="0" w:footer="0" w:header="0"/>
          <w:type w:val="continuous"/>
        </w:sectPr>
      </w:pPr>
    </w:p>
    <w:bookmarkStart w:id="282" w:name="page283"/>
    <w:bookmarkEnd w:id="282"/>
    <w:p>
      <w:pPr>
        <w:jc w:val="right"/>
        <w:ind w:right="3239"/>
        <w:spacing w:after="0"/>
        <w:rPr>
          <w:sz w:val="20"/>
          <w:szCs w:val="20"/>
          <w:color w:val="auto"/>
        </w:rPr>
      </w:pPr>
      <w:r>
        <w:rPr>
          <w:rFonts w:ascii="Courier New" w:cs="Courier New" w:eastAsia="Courier New" w:hAnsi="Courier New"/>
          <w:sz w:val="15"/>
          <w:szCs w:val="15"/>
          <w:color w:val="auto"/>
        </w:rPr>
        <w:t>Exhibit 12.7</w:t>
      </w:r>
    </w:p>
    <w:p>
      <w:pPr>
        <w:spacing w:after="0" w:line="335"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COMCAST CORPORATION</w:t>
      </w:r>
    </w:p>
    <w:p>
      <w:pPr>
        <w:jc w:val="center"/>
        <w:ind w:right="3239"/>
        <w:spacing w:after="0" w:line="237" w:lineRule="auto"/>
        <w:rPr>
          <w:sz w:val="20"/>
          <w:szCs w:val="20"/>
          <w:color w:val="auto"/>
        </w:rPr>
      </w:pPr>
      <w:r>
        <w:rPr>
          <w:rFonts w:ascii="Courier New" w:cs="Courier New" w:eastAsia="Courier New" w:hAnsi="Courier New"/>
          <w:sz w:val="15"/>
          <w:szCs w:val="15"/>
          <w:color w:val="auto"/>
        </w:rPr>
        <w:t>STATEMENT REGARDING COMPUTATION OF PROFORMA RATIO OF</w:t>
      </w:r>
    </w:p>
    <w:p>
      <w:pPr>
        <w:jc w:val="center"/>
        <w:ind w:right="3239"/>
        <w:spacing w:after="0" w:line="238" w:lineRule="auto"/>
        <w:rPr>
          <w:sz w:val="20"/>
          <w:szCs w:val="20"/>
          <w:color w:val="auto"/>
        </w:rPr>
      </w:pPr>
      <w:r>
        <w:rPr>
          <w:rFonts w:ascii="Courier New" w:cs="Courier New" w:eastAsia="Courier New" w:hAnsi="Courier New"/>
          <w:sz w:val="15"/>
          <w:szCs w:val="15"/>
          <w:color w:val="auto"/>
        </w:rPr>
        <w:t>EARNINGS TO COMBINED FIXED CHARGES AND PREFERRED DIVIDENDS</w:t>
      </w:r>
    </w:p>
    <w:tbl>
      <w:tblPr>
        <w:tblLayout w:type="fixed"/>
        <w:tblInd w:w="0" w:type="dxa"/>
        <w:tblCellMar>
          <w:top w:w="0" w:type="dxa"/>
          <w:left w:w="0" w:type="dxa"/>
          <w:bottom w:w="0" w:type="dxa"/>
          <w:right w:w="0" w:type="dxa"/>
        </w:tblCellMar>
      </w:tblPr>
      <w:tr>
        <w:trPr>
          <w:trHeight w:val="168"/>
        </w:trPr>
        <w:tc>
          <w:tcPr>
            <w:tcW w:w="5660" w:type="dxa"/>
            <w:vAlign w:val="bottom"/>
            <w:gridSpan w:val="2"/>
          </w:tcPr>
          <w:p>
            <w:pPr>
              <w:jc w:val="right"/>
              <w:ind w:right="1107"/>
              <w:spacing w:after="0" w:line="168" w:lineRule="exact"/>
              <w:rPr>
                <w:sz w:val="20"/>
                <w:szCs w:val="20"/>
                <w:color w:val="auto"/>
              </w:rPr>
            </w:pPr>
            <w:r>
              <w:rPr>
                <w:rFonts w:ascii="Courier New" w:cs="Courier New" w:eastAsia="Courier New" w:hAnsi="Courier New"/>
                <w:sz w:val="15"/>
                <w:szCs w:val="15"/>
                <w:color w:val="auto"/>
              </w:rPr>
              <w:t>(dollars in millions)</w:t>
            </w:r>
          </w:p>
        </w:tc>
        <w:tc>
          <w:tcPr>
            <w:tcW w:w="1340" w:type="dxa"/>
            <w:vAlign w:val="bottom"/>
          </w:tcPr>
          <w:p>
            <w:pPr>
              <w:spacing w:after="0"/>
              <w:rPr>
                <w:sz w:val="14"/>
                <w:szCs w:val="14"/>
                <w:color w:val="auto"/>
              </w:rPr>
            </w:pPr>
          </w:p>
        </w:tc>
      </w:tr>
      <w:tr>
        <w:trPr>
          <w:trHeight w:val="505"/>
        </w:trPr>
        <w:tc>
          <w:tcPr>
            <w:tcW w:w="3860" w:type="dxa"/>
            <w:vAlign w:val="bottom"/>
          </w:tcPr>
          <w:p>
            <w:pPr>
              <w:spacing w:after="0"/>
              <w:rPr>
                <w:sz w:val="24"/>
                <w:szCs w:val="24"/>
                <w:color w:val="auto"/>
              </w:rPr>
            </w:pPr>
          </w:p>
        </w:tc>
        <w:tc>
          <w:tcPr>
            <w:tcW w:w="1800" w:type="dxa"/>
            <w:vAlign w:val="bottom"/>
          </w:tcPr>
          <w:p>
            <w:pPr>
              <w:jc w:val="center"/>
              <w:ind w:right="247"/>
              <w:spacing w:after="0"/>
              <w:rPr>
                <w:sz w:val="20"/>
                <w:szCs w:val="20"/>
                <w:color w:val="auto"/>
              </w:rPr>
            </w:pPr>
            <w:r>
              <w:rPr>
                <w:rFonts w:ascii="Courier New" w:cs="Courier New" w:eastAsia="Courier New" w:hAnsi="Courier New"/>
                <w:sz w:val="15"/>
                <w:szCs w:val="15"/>
                <w:color w:val="auto"/>
                <w:w w:val="96"/>
              </w:rPr>
              <w:t>Nine Months Ended</w:t>
            </w:r>
          </w:p>
        </w:tc>
        <w:tc>
          <w:tcPr>
            <w:tcW w:w="1340" w:type="dxa"/>
            <w:vAlign w:val="bottom"/>
          </w:tcPr>
          <w:p>
            <w:pPr>
              <w:ind w:left="300"/>
              <w:spacing w:after="0"/>
              <w:rPr>
                <w:sz w:val="20"/>
                <w:szCs w:val="20"/>
                <w:color w:val="auto"/>
              </w:rPr>
            </w:pPr>
            <w:r>
              <w:rPr>
                <w:rFonts w:ascii="Courier New" w:cs="Courier New" w:eastAsia="Courier New" w:hAnsi="Courier New"/>
                <w:sz w:val="15"/>
                <w:szCs w:val="15"/>
                <w:color w:val="auto"/>
              </w:rPr>
              <w:t>Year Ended</w:t>
            </w:r>
          </w:p>
        </w:tc>
      </w:tr>
      <w:tr>
        <w:trPr>
          <w:trHeight w:val="168"/>
        </w:trPr>
        <w:tc>
          <w:tcPr>
            <w:tcW w:w="3860" w:type="dxa"/>
            <w:vAlign w:val="bottom"/>
          </w:tcPr>
          <w:p>
            <w:pPr>
              <w:spacing w:after="0"/>
              <w:rPr>
                <w:sz w:val="14"/>
                <w:szCs w:val="14"/>
                <w:color w:val="auto"/>
              </w:rPr>
            </w:pPr>
          </w:p>
        </w:tc>
        <w:tc>
          <w:tcPr>
            <w:tcW w:w="1800" w:type="dxa"/>
            <w:vAlign w:val="bottom"/>
          </w:tcPr>
          <w:p>
            <w:pPr>
              <w:jc w:val="center"/>
              <w:ind w:right="227"/>
              <w:spacing w:after="0" w:line="168" w:lineRule="exact"/>
              <w:rPr>
                <w:sz w:val="20"/>
                <w:szCs w:val="20"/>
                <w:color w:val="auto"/>
              </w:rPr>
            </w:pPr>
            <w:r>
              <w:rPr>
                <w:rFonts w:ascii="Courier New" w:cs="Courier New" w:eastAsia="Courier New" w:hAnsi="Courier New"/>
                <w:sz w:val="15"/>
                <w:szCs w:val="15"/>
                <w:color w:val="auto"/>
                <w:w w:val="97"/>
              </w:rPr>
              <w:t>September 30,</w:t>
            </w:r>
          </w:p>
        </w:tc>
        <w:tc>
          <w:tcPr>
            <w:tcW w:w="134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w w:val="94"/>
              </w:rPr>
              <w:t>December 31,</w:t>
            </w:r>
          </w:p>
        </w:tc>
      </w:tr>
      <w:tr>
        <w:trPr>
          <w:trHeight w:val="168"/>
        </w:trPr>
        <w:tc>
          <w:tcPr>
            <w:tcW w:w="3860" w:type="dxa"/>
            <w:vAlign w:val="bottom"/>
          </w:tcPr>
          <w:p>
            <w:pPr>
              <w:spacing w:after="0"/>
              <w:rPr>
                <w:sz w:val="14"/>
                <w:szCs w:val="14"/>
                <w:color w:val="auto"/>
              </w:rPr>
            </w:pPr>
          </w:p>
        </w:tc>
        <w:tc>
          <w:tcPr>
            <w:tcW w:w="1800" w:type="dxa"/>
            <w:vAlign w:val="bottom"/>
          </w:tcPr>
          <w:p>
            <w:pPr>
              <w:jc w:val="center"/>
              <w:ind w:right="247"/>
              <w:spacing w:after="0" w:line="168" w:lineRule="exact"/>
              <w:rPr>
                <w:sz w:val="20"/>
                <w:szCs w:val="20"/>
                <w:color w:val="auto"/>
              </w:rPr>
            </w:pPr>
            <w:r>
              <w:rPr>
                <w:rFonts w:ascii="Courier New" w:cs="Courier New" w:eastAsia="Courier New" w:hAnsi="Courier New"/>
                <w:sz w:val="15"/>
                <w:szCs w:val="15"/>
                <w:color w:val="auto"/>
                <w:w w:val="96"/>
              </w:rPr>
              <w:t>-----------------</w:t>
            </w:r>
          </w:p>
        </w:tc>
        <w:tc>
          <w:tcPr>
            <w:tcW w:w="1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860" w:type="dxa"/>
            <w:vAlign w:val="bottom"/>
          </w:tcPr>
          <w:p>
            <w:pPr>
              <w:spacing w:after="0"/>
              <w:rPr>
                <w:sz w:val="14"/>
                <w:szCs w:val="14"/>
                <w:color w:val="auto"/>
              </w:rPr>
            </w:pPr>
          </w:p>
        </w:tc>
        <w:tc>
          <w:tcPr>
            <w:tcW w:w="1800" w:type="dxa"/>
            <w:vAlign w:val="bottom"/>
          </w:tcPr>
          <w:p>
            <w:pPr>
              <w:jc w:val="right"/>
              <w:ind w:right="767"/>
              <w:spacing w:after="0" w:line="168" w:lineRule="exact"/>
              <w:rPr>
                <w:sz w:val="20"/>
                <w:szCs w:val="20"/>
                <w:color w:val="auto"/>
              </w:rPr>
            </w:pPr>
            <w:r>
              <w:rPr>
                <w:rFonts w:ascii="Courier New" w:cs="Courier New" w:eastAsia="Courier New" w:hAnsi="Courier New"/>
                <w:sz w:val="15"/>
                <w:szCs w:val="15"/>
                <w:color w:val="auto"/>
              </w:rPr>
              <w:t>2002</w:t>
            </w:r>
          </w:p>
        </w:tc>
        <w:tc>
          <w:tcPr>
            <w:tcW w:w="13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2001</w:t>
            </w:r>
          </w:p>
        </w:tc>
      </w:tr>
      <w:tr>
        <w:trPr>
          <w:trHeight w:val="168"/>
        </w:trPr>
        <w:tc>
          <w:tcPr>
            <w:tcW w:w="3860" w:type="dxa"/>
            <w:vAlign w:val="bottom"/>
          </w:tcPr>
          <w:p>
            <w:pPr>
              <w:spacing w:after="0"/>
              <w:rPr>
                <w:sz w:val="14"/>
                <w:szCs w:val="14"/>
                <w:color w:val="auto"/>
              </w:rPr>
            </w:pPr>
          </w:p>
        </w:tc>
        <w:tc>
          <w:tcPr>
            <w:tcW w:w="1800" w:type="dxa"/>
            <w:vAlign w:val="bottom"/>
          </w:tcPr>
          <w:p>
            <w:pPr>
              <w:jc w:val="right"/>
              <w:ind w:right="767"/>
              <w:spacing w:after="0" w:line="168" w:lineRule="exact"/>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860" w:type="dxa"/>
            <w:vAlign w:val="bottom"/>
          </w:tcPr>
          <w:p>
            <w:pPr>
              <w:spacing w:after="0"/>
              <w:rPr>
                <w:sz w:val="20"/>
                <w:szCs w:val="20"/>
                <w:color w:val="auto"/>
              </w:rPr>
            </w:pPr>
            <w:r>
              <w:rPr>
                <w:rFonts w:ascii="Courier New" w:cs="Courier New" w:eastAsia="Courier New" w:hAnsi="Courier New"/>
                <w:sz w:val="15"/>
                <w:szCs w:val="15"/>
                <w:color w:val="auto"/>
              </w:rPr>
              <w:t>Earnings (loss) before fixed charges (1):</w:t>
            </w:r>
          </w:p>
        </w:tc>
        <w:tc>
          <w:tcPr>
            <w:tcW w:w="180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336"/>
        </w:trPr>
        <w:tc>
          <w:tcPr>
            <w:tcW w:w="3860" w:type="dxa"/>
            <w:vAlign w:val="bottom"/>
          </w:tcPr>
          <w:p>
            <w:pPr>
              <w:ind w:left="180"/>
              <w:spacing w:after="0"/>
              <w:rPr>
                <w:sz w:val="20"/>
                <w:szCs w:val="20"/>
                <w:color w:val="auto"/>
              </w:rPr>
            </w:pPr>
            <w:r>
              <w:rPr>
                <w:rFonts w:ascii="Courier New" w:cs="Courier New" w:eastAsia="Courier New" w:hAnsi="Courier New"/>
                <w:sz w:val="15"/>
                <w:szCs w:val="15"/>
                <w:color w:val="auto"/>
                <w:w w:val="96"/>
              </w:rPr>
              <w:t>Earnings (loss) from continuing operations</w:t>
            </w:r>
          </w:p>
        </w:tc>
        <w:tc>
          <w:tcPr>
            <w:tcW w:w="180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168"/>
        </w:trPr>
        <w:tc>
          <w:tcPr>
            <w:tcW w:w="38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before extraordinary items and</w:t>
            </w:r>
          </w:p>
        </w:tc>
        <w:tc>
          <w:tcPr>
            <w:tcW w:w="180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68"/>
        </w:trPr>
        <w:tc>
          <w:tcPr>
            <w:tcW w:w="38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w w:val="99"/>
              </w:rPr>
              <w:t>cumulative effect of accounting change</w:t>
            </w:r>
          </w:p>
        </w:tc>
        <w:tc>
          <w:tcPr>
            <w:tcW w:w="18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($14,424.0)</w:t>
            </w:r>
          </w:p>
        </w:tc>
        <w:tc>
          <w:tcPr>
            <w:tcW w:w="1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($3,048.1)</w:t>
            </w:r>
          </w:p>
        </w:tc>
      </w:tr>
      <w:tr>
        <w:trPr>
          <w:trHeight w:val="505"/>
        </w:trPr>
        <w:tc>
          <w:tcPr>
            <w:tcW w:w="3860" w:type="dxa"/>
            <w:vAlign w:val="bottom"/>
          </w:tcPr>
          <w:p>
            <w:pPr>
              <w:ind w:left="180"/>
              <w:spacing w:after="0"/>
              <w:rPr>
                <w:sz w:val="20"/>
                <w:szCs w:val="20"/>
                <w:color w:val="auto"/>
              </w:rPr>
            </w:pPr>
            <w:r>
              <w:rPr>
                <w:rFonts w:ascii="Courier New" w:cs="Courier New" w:eastAsia="Courier New" w:hAnsi="Courier New"/>
                <w:sz w:val="15"/>
                <w:szCs w:val="15"/>
                <w:color w:val="auto"/>
              </w:rPr>
              <w:t>Minority Interest</w:t>
            </w:r>
          </w:p>
        </w:tc>
        <w:tc>
          <w:tcPr>
            <w:tcW w:w="18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212.0</w:t>
            </w: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(808.6)</w:t>
            </w:r>
          </w:p>
        </w:tc>
      </w:tr>
      <w:tr>
        <w:trPr>
          <w:trHeight w:val="336"/>
        </w:trPr>
        <w:tc>
          <w:tcPr>
            <w:tcW w:w="3860" w:type="dxa"/>
            <w:vAlign w:val="bottom"/>
          </w:tcPr>
          <w:p>
            <w:pPr>
              <w:ind w:left="180"/>
              <w:spacing w:after="0"/>
              <w:rPr>
                <w:sz w:val="20"/>
                <w:szCs w:val="20"/>
                <w:color w:val="auto"/>
              </w:rPr>
            </w:pPr>
            <w:r>
              <w:rPr>
                <w:rFonts w:ascii="Courier New" w:cs="Courier New" w:eastAsia="Courier New" w:hAnsi="Courier New"/>
                <w:sz w:val="15"/>
                <w:szCs w:val="15"/>
                <w:color w:val="auto"/>
              </w:rPr>
              <w:t>Income tax (benefit) expense</w:t>
            </w:r>
          </w:p>
        </w:tc>
        <w:tc>
          <w:tcPr>
            <w:tcW w:w="180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(5,918.6)</w:t>
            </w: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(2,113.0)</w:t>
            </w:r>
          </w:p>
        </w:tc>
      </w:tr>
      <w:tr>
        <w:trPr>
          <w:trHeight w:val="336"/>
        </w:trPr>
        <w:tc>
          <w:tcPr>
            <w:tcW w:w="3860" w:type="dxa"/>
            <w:vAlign w:val="bottom"/>
          </w:tcPr>
          <w:p>
            <w:pPr>
              <w:ind w:left="180"/>
              <w:spacing w:after="0"/>
              <w:rPr>
                <w:sz w:val="20"/>
                <w:szCs w:val="20"/>
                <w:color w:val="auto"/>
              </w:rPr>
            </w:pPr>
            <w:r>
              <w:rPr>
                <w:rFonts w:ascii="Courier New" w:cs="Courier New" w:eastAsia="Courier New" w:hAnsi="Courier New"/>
                <w:sz w:val="15"/>
                <w:szCs w:val="15"/>
                <w:color w:val="auto"/>
              </w:rPr>
              <w:t>Equity in net loss of affiliates</w:t>
            </w:r>
          </w:p>
        </w:tc>
        <w:tc>
          <w:tcPr>
            <w:tcW w:w="18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1,060.9</w:t>
            </w: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(13.5)</w:t>
            </w:r>
          </w:p>
        </w:tc>
      </w:tr>
      <w:tr>
        <w:trPr>
          <w:trHeight w:val="168"/>
        </w:trPr>
        <w:tc>
          <w:tcPr>
            <w:tcW w:w="38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Combined fixed charges and</w:t>
            </w:r>
          </w:p>
        </w:tc>
        <w:tc>
          <w:tcPr>
            <w:tcW w:w="180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68"/>
        </w:trPr>
        <w:tc>
          <w:tcPr>
            <w:tcW w:w="38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preferred dividends</w:t>
            </w:r>
          </w:p>
        </w:tc>
        <w:tc>
          <w:tcPr>
            <w:tcW w:w="18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1,780.5</w:t>
            </w:r>
          </w:p>
        </w:tc>
        <w:tc>
          <w:tcPr>
            <w:tcW w:w="1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2,383.4</w:t>
            </w:r>
          </w:p>
        </w:tc>
      </w:tr>
      <w:tr>
        <w:trPr>
          <w:trHeight w:val="168"/>
        </w:trPr>
        <w:tc>
          <w:tcPr>
            <w:tcW w:w="3860" w:type="dxa"/>
            <w:vAlign w:val="bottom"/>
          </w:tcPr>
          <w:p>
            <w:pPr>
              <w:spacing w:after="0"/>
              <w:rPr>
                <w:sz w:val="14"/>
                <w:szCs w:val="14"/>
                <w:color w:val="auto"/>
              </w:rPr>
            </w:pPr>
          </w:p>
        </w:tc>
        <w:tc>
          <w:tcPr>
            <w:tcW w:w="18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860" w:type="dxa"/>
            <w:vAlign w:val="bottom"/>
          </w:tcPr>
          <w:p>
            <w:pPr>
              <w:spacing w:after="0"/>
              <w:rPr>
                <w:sz w:val="24"/>
                <w:szCs w:val="24"/>
                <w:color w:val="auto"/>
              </w:rPr>
            </w:pPr>
          </w:p>
        </w:tc>
        <w:tc>
          <w:tcPr>
            <w:tcW w:w="180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($17,289.2)</w:t>
            </w: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($3,599.8)</w:t>
            </w:r>
          </w:p>
        </w:tc>
      </w:tr>
      <w:tr>
        <w:trPr>
          <w:trHeight w:val="168"/>
        </w:trPr>
        <w:tc>
          <w:tcPr>
            <w:tcW w:w="3860" w:type="dxa"/>
            <w:vAlign w:val="bottom"/>
          </w:tcPr>
          <w:p>
            <w:pPr>
              <w:spacing w:after="0"/>
              <w:rPr>
                <w:sz w:val="14"/>
                <w:szCs w:val="14"/>
                <w:color w:val="auto"/>
              </w:rPr>
            </w:pPr>
          </w:p>
        </w:tc>
        <w:tc>
          <w:tcPr>
            <w:tcW w:w="18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660" w:type="dxa"/>
            <w:vAlign w:val="bottom"/>
            <w:gridSpan w:val="2"/>
          </w:tcPr>
          <w:p>
            <w:pPr>
              <w:spacing w:after="0"/>
              <w:rPr>
                <w:sz w:val="20"/>
                <w:szCs w:val="20"/>
                <w:color w:val="auto"/>
              </w:rPr>
            </w:pPr>
            <w:r>
              <w:rPr>
                <w:rFonts w:ascii="Courier New" w:cs="Courier New" w:eastAsia="Courier New" w:hAnsi="Courier New"/>
                <w:sz w:val="15"/>
                <w:szCs w:val="15"/>
                <w:color w:val="auto"/>
              </w:rPr>
              <w:t>Combined fixed charges and preferred dividends:</w:t>
            </w:r>
          </w:p>
        </w:tc>
        <w:tc>
          <w:tcPr>
            <w:tcW w:w="1340" w:type="dxa"/>
            <w:vAlign w:val="bottom"/>
          </w:tcPr>
          <w:p>
            <w:pPr>
              <w:spacing w:after="0"/>
              <w:rPr>
                <w:sz w:val="24"/>
                <w:szCs w:val="24"/>
                <w:color w:val="auto"/>
              </w:rPr>
            </w:pPr>
          </w:p>
        </w:tc>
      </w:tr>
      <w:tr>
        <w:trPr>
          <w:trHeight w:val="336"/>
        </w:trPr>
        <w:tc>
          <w:tcPr>
            <w:tcW w:w="3860" w:type="dxa"/>
            <w:vAlign w:val="bottom"/>
          </w:tcPr>
          <w:p>
            <w:pPr>
              <w:ind w:left="180"/>
              <w:spacing w:after="0"/>
              <w:rPr>
                <w:sz w:val="20"/>
                <w:szCs w:val="20"/>
                <w:color w:val="auto"/>
              </w:rPr>
            </w:pPr>
            <w:r>
              <w:rPr>
                <w:rFonts w:ascii="Courier New" w:cs="Courier New" w:eastAsia="Courier New" w:hAnsi="Courier New"/>
                <w:sz w:val="15"/>
                <w:szCs w:val="15"/>
                <w:color w:val="auto"/>
              </w:rPr>
              <w:t>Interest expense</w:t>
            </w:r>
          </w:p>
        </w:tc>
        <w:tc>
          <w:tcPr>
            <w:tcW w:w="18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$1,780.5</w:t>
            </w:r>
          </w:p>
        </w:tc>
        <w:tc>
          <w:tcPr>
            <w:tcW w:w="1340" w:type="dxa"/>
            <w:vAlign w:val="bottom"/>
          </w:tcPr>
          <w:p>
            <w:pPr>
              <w:jc w:val="right"/>
              <w:ind w:right="7"/>
              <w:spacing w:after="0"/>
              <w:rPr>
                <w:sz w:val="20"/>
                <w:szCs w:val="20"/>
                <w:color w:val="auto"/>
              </w:rPr>
            </w:pPr>
            <w:r>
              <w:rPr>
                <w:rFonts w:ascii="Courier New" w:cs="Courier New" w:eastAsia="Courier New" w:hAnsi="Courier New"/>
                <w:sz w:val="15"/>
                <w:szCs w:val="15"/>
                <w:color w:val="auto"/>
              </w:rPr>
              <w:t>$2,383.4</w:t>
            </w:r>
          </w:p>
        </w:tc>
      </w:tr>
      <w:tr>
        <w:trPr>
          <w:trHeight w:val="168"/>
        </w:trPr>
        <w:tc>
          <w:tcPr>
            <w:tcW w:w="38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Capitalized interest</w:t>
            </w:r>
          </w:p>
        </w:tc>
        <w:tc>
          <w:tcPr>
            <w:tcW w:w="18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8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Preferred dividends</w:t>
            </w:r>
          </w:p>
        </w:tc>
        <w:tc>
          <w:tcPr>
            <w:tcW w:w="18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860" w:type="dxa"/>
            <w:vAlign w:val="bottom"/>
          </w:tcPr>
          <w:p>
            <w:pPr>
              <w:spacing w:after="0"/>
              <w:rPr>
                <w:sz w:val="14"/>
                <w:szCs w:val="14"/>
                <w:color w:val="auto"/>
              </w:rPr>
            </w:pPr>
          </w:p>
        </w:tc>
        <w:tc>
          <w:tcPr>
            <w:tcW w:w="18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860" w:type="dxa"/>
            <w:vAlign w:val="bottom"/>
          </w:tcPr>
          <w:p>
            <w:pPr>
              <w:spacing w:after="0"/>
              <w:rPr>
                <w:sz w:val="24"/>
                <w:szCs w:val="24"/>
                <w:color w:val="auto"/>
              </w:rPr>
            </w:pPr>
          </w:p>
        </w:tc>
        <w:tc>
          <w:tcPr>
            <w:tcW w:w="18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$1,780.5</w:t>
            </w:r>
          </w:p>
        </w:tc>
        <w:tc>
          <w:tcPr>
            <w:tcW w:w="1340" w:type="dxa"/>
            <w:vAlign w:val="bottom"/>
          </w:tcPr>
          <w:p>
            <w:pPr>
              <w:jc w:val="right"/>
              <w:ind w:right="7"/>
              <w:spacing w:after="0"/>
              <w:rPr>
                <w:sz w:val="20"/>
                <w:szCs w:val="20"/>
                <w:color w:val="auto"/>
              </w:rPr>
            </w:pPr>
            <w:r>
              <w:rPr>
                <w:rFonts w:ascii="Courier New" w:cs="Courier New" w:eastAsia="Courier New" w:hAnsi="Courier New"/>
                <w:sz w:val="15"/>
                <w:szCs w:val="15"/>
                <w:color w:val="auto"/>
              </w:rPr>
              <w:t>$2,383.4</w:t>
            </w:r>
          </w:p>
        </w:tc>
      </w:tr>
      <w:tr>
        <w:trPr>
          <w:trHeight w:val="168"/>
        </w:trPr>
        <w:tc>
          <w:tcPr>
            <w:tcW w:w="3860" w:type="dxa"/>
            <w:vAlign w:val="bottom"/>
          </w:tcPr>
          <w:p>
            <w:pPr>
              <w:spacing w:after="0"/>
              <w:rPr>
                <w:sz w:val="14"/>
                <w:szCs w:val="14"/>
                <w:color w:val="auto"/>
              </w:rPr>
            </w:pPr>
          </w:p>
        </w:tc>
        <w:tc>
          <w:tcPr>
            <w:tcW w:w="18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860" w:type="dxa"/>
            <w:vAlign w:val="bottom"/>
          </w:tcPr>
          <w:p>
            <w:pPr>
              <w:spacing w:after="0"/>
              <w:rPr>
                <w:sz w:val="20"/>
                <w:szCs w:val="20"/>
                <w:color w:val="auto"/>
              </w:rPr>
            </w:pPr>
            <w:r>
              <w:rPr>
                <w:rFonts w:ascii="Courier New" w:cs="Courier New" w:eastAsia="Courier New" w:hAnsi="Courier New"/>
                <w:sz w:val="15"/>
                <w:szCs w:val="15"/>
                <w:color w:val="auto"/>
              </w:rPr>
              <w:t>Ratio of earnings to fixed charges (1)</w:t>
            </w:r>
          </w:p>
        </w:tc>
        <w:tc>
          <w:tcPr>
            <w:tcW w:w="18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336"/>
        </w:trPr>
        <w:tc>
          <w:tcPr>
            <w:tcW w:w="386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800" w:type="dxa"/>
            <w:vAlign w:val="bottom"/>
          </w:tcPr>
          <w:p>
            <w:pPr>
              <w:spacing w:after="0"/>
              <w:rPr>
                <w:sz w:val="24"/>
                <w:szCs w:val="24"/>
                <w:color w:val="auto"/>
              </w:rPr>
            </w:pPr>
          </w:p>
        </w:tc>
        <w:tc>
          <w:tcPr>
            <w:tcW w:w="1340" w:type="dxa"/>
            <w:vAlign w:val="bottom"/>
          </w:tcPr>
          <w:p>
            <w:pPr>
              <w:spacing w:after="0"/>
              <w:rPr>
                <w:sz w:val="24"/>
                <w:szCs w:val="24"/>
                <w:color w:val="auto"/>
              </w:rPr>
            </w:pPr>
          </w:p>
        </w:tc>
      </w:tr>
    </w:tbl>
    <w:p>
      <w:pPr>
        <w:spacing w:after="0" w:line="5" w:lineRule="exact"/>
        <w:rPr>
          <w:sz w:val="20"/>
          <w:szCs w:val="20"/>
          <w:color w:val="auto"/>
        </w:rPr>
      </w:pPr>
    </w:p>
    <w:p>
      <w:pPr>
        <w:ind w:right="3399" w:firstLine="10"/>
        <w:spacing w:after="0" w:line="236" w:lineRule="auto"/>
        <w:tabs>
          <w:tab w:leader="none" w:pos="350" w:val="left"/>
        </w:tabs>
        <w:numPr>
          <w:ilvl w:val="0"/>
          <w:numId w:val="1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purposes of calculating the pro forma ratio of earnings to combined fixed charges and preferred dividends, earnings consist of income (loss) from continuing operations before income taxes, extraordinary items, cumulative effect of accounting changes, minority interest, equity in net (income) losses of affiliates and combined fixed charges and preferred dividends. Combined fixed charges consist of interest expense, capitalized interest and preferred dividends.</w:t>
      </w:r>
    </w:p>
    <w:p>
      <w:pPr>
        <w:spacing w:after="0" w:line="175" w:lineRule="exact"/>
        <w:rPr>
          <w:rFonts w:ascii="Courier New" w:cs="Courier New" w:eastAsia="Courier New" w:hAnsi="Courier New"/>
          <w:sz w:val="15"/>
          <w:szCs w:val="15"/>
          <w:color w:val="auto"/>
        </w:rPr>
      </w:pPr>
    </w:p>
    <w:p>
      <w:pPr>
        <w:ind w:right="3239" w:firstLine="10"/>
        <w:spacing w:after="0" w:line="235" w:lineRule="auto"/>
        <w:tabs>
          <w:tab w:leader="none" w:pos="350" w:val="left"/>
        </w:tabs>
        <w:numPr>
          <w:ilvl w:val="0"/>
          <w:numId w:val="1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the nine months ended September 30, 2002 and for the year ended December 31, 2001, earnings, as defined above, were inadequate to cover fixed charges by $19.070 billion and $5.983 billion, respectively.</w:t>
      </w:r>
    </w:p>
    <w:p>
      <w:pPr>
        <w:sectPr>
          <w:pgSz w:w="11900" w:h="16838" w:orient="portrait"/>
          <w:cols w:equalWidth="0" w:num="1">
            <w:col w:w="10239"/>
          </w:cols>
          <w:pgMar w:left="220" w:top="135" w:right="1440" w:bottom="1440" w:gutter="0" w:footer="0" w:header="0"/>
        </w:sectPr>
      </w:pPr>
    </w:p>
    <w:bookmarkStart w:id="283" w:name="page284"/>
    <w:bookmarkEnd w:id="283"/>
    <w:tbl>
      <w:tblPr>
        <w:tblLayout w:type="fixed"/>
        <w:tblInd w:w="0" w:type="dxa"/>
        <w:tblCellMar>
          <w:top w:w="0" w:type="dxa"/>
          <w:left w:w="0" w:type="dxa"/>
          <w:bottom w:w="0" w:type="dxa"/>
          <w:right w:w="0" w:type="dxa"/>
        </w:tblCellMar>
      </w:tblPr>
      <w:tr>
        <w:trPr>
          <w:trHeight w:val="170"/>
        </w:trPr>
        <w:tc>
          <w:tcPr>
            <w:tcW w:w="35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EXHIBIT</w:t>
            </w:r>
          </w:p>
        </w:tc>
        <w:tc>
          <w:tcPr>
            <w:tcW w:w="7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12.8</w:t>
            </w:r>
          </w:p>
        </w:tc>
      </w:tr>
      <w:tr>
        <w:trPr>
          <w:trHeight w:val="505"/>
        </w:trPr>
        <w:tc>
          <w:tcPr>
            <w:tcW w:w="3500" w:type="dxa"/>
            <w:vAlign w:val="bottom"/>
          </w:tcPr>
          <w:p>
            <w:pPr>
              <w:spacing w:after="0"/>
              <w:rPr>
                <w:sz w:val="24"/>
                <w:szCs w:val="24"/>
                <w:color w:val="auto"/>
              </w:rPr>
            </w:pPr>
          </w:p>
        </w:tc>
        <w:tc>
          <w:tcPr>
            <w:tcW w:w="3760" w:type="dxa"/>
            <w:vAlign w:val="bottom"/>
            <w:gridSpan w:val="5"/>
          </w:tcPr>
          <w:p>
            <w:pPr>
              <w:jc w:val="right"/>
              <w:ind w:right="527"/>
              <w:spacing w:after="0"/>
              <w:rPr>
                <w:sz w:val="20"/>
                <w:szCs w:val="20"/>
                <w:color w:val="auto"/>
              </w:rPr>
            </w:pPr>
            <w:r>
              <w:rPr>
                <w:rFonts w:ascii="Courier New" w:cs="Courier New" w:eastAsia="Courier New" w:hAnsi="Courier New"/>
                <w:sz w:val="15"/>
                <w:szCs w:val="15"/>
                <w:color w:val="auto"/>
              </w:rPr>
              <w:t>COMCAST CORPORATION</w:t>
            </w:r>
          </w:p>
        </w:tc>
        <w:tc>
          <w:tcPr>
            <w:tcW w:w="3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68"/>
        </w:trPr>
        <w:tc>
          <w:tcPr>
            <w:tcW w:w="3500" w:type="dxa"/>
            <w:vAlign w:val="bottom"/>
          </w:tcPr>
          <w:p>
            <w:pPr>
              <w:spacing w:after="0"/>
              <w:rPr>
                <w:sz w:val="14"/>
                <w:szCs w:val="14"/>
                <w:color w:val="auto"/>
              </w:rPr>
            </w:pPr>
          </w:p>
        </w:tc>
        <w:tc>
          <w:tcPr>
            <w:tcW w:w="4940" w:type="dxa"/>
            <w:vAlign w:val="bottom"/>
            <w:gridSpan w:val="7"/>
          </w:tcPr>
          <w:p>
            <w:pPr>
              <w:jc w:val="right"/>
              <w:ind w:right="307"/>
              <w:spacing w:after="0" w:line="168" w:lineRule="exact"/>
              <w:rPr>
                <w:sz w:val="20"/>
                <w:szCs w:val="20"/>
                <w:color w:val="auto"/>
              </w:rPr>
            </w:pPr>
            <w:r>
              <w:rPr>
                <w:rFonts w:ascii="Courier New" w:cs="Courier New" w:eastAsia="Courier New" w:hAnsi="Courier New"/>
                <w:sz w:val="15"/>
                <w:szCs w:val="15"/>
                <w:color w:val="auto"/>
                <w:w w:val="96"/>
              </w:rPr>
              <w:t>STATEMENT REGARDING COMPUTATION OF RATIO OF EARNINGS</w:t>
            </w: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8"/>
        </w:trPr>
        <w:tc>
          <w:tcPr>
            <w:tcW w:w="3500" w:type="dxa"/>
            <w:vAlign w:val="bottom"/>
          </w:tcPr>
          <w:p>
            <w:pPr>
              <w:spacing w:after="0"/>
              <w:rPr>
                <w:sz w:val="14"/>
                <w:szCs w:val="14"/>
                <w:color w:val="auto"/>
              </w:rPr>
            </w:pPr>
          </w:p>
        </w:tc>
        <w:tc>
          <w:tcPr>
            <w:tcW w:w="4940" w:type="dxa"/>
            <w:vAlign w:val="bottom"/>
            <w:gridSpan w:val="7"/>
          </w:tcPr>
          <w:p>
            <w:pPr>
              <w:jc w:val="right"/>
              <w:ind w:right="407"/>
              <w:spacing w:after="0" w:line="168" w:lineRule="exact"/>
              <w:rPr>
                <w:sz w:val="20"/>
                <w:szCs w:val="20"/>
                <w:color w:val="auto"/>
              </w:rPr>
            </w:pPr>
            <w:r>
              <w:rPr>
                <w:rFonts w:ascii="Courier New" w:cs="Courier New" w:eastAsia="Courier New" w:hAnsi="Courier New"/>
                <w:sz w:val="15"/>
                <w:szCs w:val="15"/>
                <w:color w:val="auto"/>
              </w:rPr>
              <w:t>TO COMBINED FIXED CHARGES AND PREFERRED DIVIDENDS</w:t>
            </w: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8"/>
        </w:trPr>
        <w:tc>
          <w:tcPr>
            <w:tcW w:w="3500" w:type="dxa"/>
            <w:vAlign w:val="bottom"/>
          </w:tcPr>
          <w:p>
            <w:pPr>
              <w:spacing w:after="0"/>
              <w:rPr>
                <w:sz w:val="14"/>
                <w:szCs w:val="14"/>
                <w:color w:val="auto"/>
              </w:rPr>
            </w:pPr>
          </w:p>
        </w:tc>
        <w:tc>
          <w:tcPr>
            <w:tcW w:w="3760" w:type="dxa"/>
            <w:vAlign w:val="bottom"/>
            <w:gridSpan w:val="5"/>
          </w:tcPr>
          <w:p>
            <w:pPr>
              <w:jc w:val="right"/>
              <w:ind w:right="447"/>
              <w:spacing w:after="0" w:line="168" w:lineRule="exact"/>
              <w:rPr>
                <w:sz w:val="20"/>
                <w:szCs w:val="20"/>
                <w:color w:val="auto"/>
              </w:rPr>
            </w:pPr>
            <w:r>
              <w:rPr>
                <w:rFonts w:ascii="Courier New" w:cs="Courier New" w:eastAsia="Courier New" w:hAnsi="Courier New"/>
                <w:sz w:val="15"/>
                <w:szCs w:val="15"/>
                <w:color w:val="auto"/>
              </w:rPr>
              <w:t>(dollars in millions)</w:t>
            </w:r>
          </w:p>
        </w:tc>
        <w:tc>
          <w:tcPr>
            <w:tcW w:w="3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673"/>
        </w:trPr>
        <w:tc>
          <w:tcPr>
            <w:tcW w:w="3500" w:type="dxa"/>
            <w:vAlign w:val="bottom"/>
          </w:tcPr>
          <w:p>
            <w:pPr>
              <w:spacing w:after="0"/>
              <w:rPr>
                <w:sz w:val="24"/>
                <w:szCs w:val="24"/>
                <w:color w:val="auto"/>
              </w:rPr>
            </w:pPr>
          </w:p>
        </w:tc>
        <w:tc>
          <w:tcPr>
            <w:tcW w:w="1760" w:type="dxa"/>
            <w:vAlign w:val="bottom"/>
          </w:tcPr>
          <w:p>
            <w:pPr>
              <w:jc w:val="right"/>
              <w:ind w:right="7"/>
              <w:spacing w:after="0"/>
              <w:rPr>
                <w:sz w:val="20"/>
                <w:szCs w:val="20"/>
                <w:color w:val="auto"/>
              </w:rPr>
            </w:pPr>
            <w:r>
              <w:rPr>
                <w:rFonts w:ascii="Courier New" w:cs="Courier New" w:eastAsia="Courier New" w:hAnsi="Courier New"/>
                <w:sz w:val="15"/>
                <w:szCs w:val="15"/>
                <w:color w:val="auto"/>
              </w:rPr>
              <w:t>Nine Months Ended</w:t>
            </w: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68"/>
        </w:trPr>
        <w:tc>
          <w:tcPr>
            <w:tcW w:w="3500" w:type="dxa"/>
            <w:vAlign w:val="bottom"/>
          </w:tcPr>
          <w:p>
            <w:pPr>
              <w:spacing w:after="0"/>
              <w:rPr>
                <w:sz w:val="14"/>
                <w:szCs w:val="14"/>
                <w:color w:val="auto"/>
              </w:rPr>
            </w:pPr>
          </w:p>
        </w:tc>
        <w:tc>
          <w:tcPr>
            <w:tcW w:w="17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September 30,</w:t>
            </w: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300" w:type="dxa"/>
            <w:vAlign w:val="bottom"/>
            <w:gridSpan w:val="4"/>
          </w:tcPr>
          <w:p>
            <w:pPr>
              <w:jc w:val="right"/>
              <w:ind w:right="47"/>
              <w:spacing w:after="0" w:line="168" w:lineRule="exact"/>
              <w:rPr>
                <w:sz w:val="20"/>
                <w:szCs w:val="20"/>
                <w:color w:val="auto"/>
              </w:rPr>
            </w:pPr>
            <w:r>
              <w:rPr>
                <w:rFonts w:ascii="Courier New" w:cs="Courier New" w:eastAsia="Courier New" w:hAnsi="Courier New"/>
                <w:sz w:val="15"/>
                <w:szCs w:val="15"/>
                <w:color w:val="auto"/>
                <w:w w:val="99"/>
              </w:rPr>
              <w:t>Years Ended December 31,</w:t>
            </w: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8"/>
        </w:trPr>
        <w:tc>
          <w:tcPr>
            <w:tcW w:w="3500" w:type="dxa"/>
            <w:vAlign w:val="bottom"/>
          </w:tcPr>
          <w:p>
            <w:pPr>
              <w:spacing w:after="0"/>
              <w:rPr>
                <w:sz w:val="14"/>
                <w:szCs w:val="14"/>
                <w:color w:val="auto"/>
              </w:rPr>
            </w:pPr>
          </w:p>
        </w:tc>
        <w:tc>
          <w:tcPr>
            <w:tcW w:w="17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5080" w:type="dxa"/>
            <w:vAlign w:val="bottom"/>
            <w:gridSpan w:val="9"/>
          </w:tcPr>
          <w:p>
            <w:pPr>
              <w:jc w:val="right"/>
              <w:ind w:right="27"/>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3500" w:type="dxa"/>
            <w:vAlign w:val="bottom"/>
          </w:tcPr>
          <w:p>
            <w:pPr>
              <w:spacing w:after="0"/>
              <w:rPr>
                <w:sz w:val="14"/>
                <w:szCs w:val="14"/>
                <w:color w:val="auto"/>
              </w:rPr>
            </w:pPr>
          </w:p>
        </w:tc>
        <w:tc>
          <w:tcPr>
            <w:tcW w:w="176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2002</w:t>
            </w:r>
          </w:p>
        </w:tc>
        <w:tc>
          <w:tcPr>
            <w:tcW w:w="220" w:type="dxa"/>
            <w:vAlign w:val="bottom"/>
          </w:tcPr>
          <w:p>
            <w:pPr>
              <w:spacing w:after="0"/>
              <w:rPr>
                <w:sz w:val="14"/>
                <w:szCs w:val="14"/>
                <w:color w:val="auto"/>
              </w:rPr>
            </w:pPr>
          </w:p>
        </w:tc>
        <w:tc>
          <w:tcPr>
            <w:tcW w:w="66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w w:val="99"/>
              </w:rPr>
              <w:t>2001</w:t>
            </w:r>
          </w:p>
        </w:tc>
        <w:tc>
          <w:tcPr>
            <w:tcW w:w="340" w:type="dxa"/>
            <w:vAlign w:val="bottom"/>
          </w:tcPr>
          <w:p>
            <w:pPr>
              <w:spacing w:after="0"/>
              <w:rPr>
                <w:sz w:val="14"/>
                <w:szCs w:val="14"/>
                <w:color w:val="auto"/>
              </w:rPr>
            </w:pPr>
          </w:p>
        </w:tc>
        <w:tc>
          <w:tcPr>
            <w:tcW w:w="7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2000</w:t>
            </w:r>
          </w:p>
        </w:tc>
        <w:tc>
          <w:tcPr>
            <w:tcW w:w="320" w:type="dxa"/>
            <w:vAlign w:val="bottom"/>
          </w:tcPr>
          <w:p>
            <w:pPr>
              <w:spacing w:after="0"/>
              <w:rPr>
                <w:sz w:val="14"/>
                <w:szCs w:val="14"/>
                <w:color w:val="auto"/>
              </w:rPr>
            </w:pPr>
          </w:p>
        </w:tc>
        <w:tc>
          <w:tcPr>
            <w:tcW w:w="8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w w:val="99"/>
              </w:rPr>
              <w:t>1999</w:t>
            </w:r>
          </w:p>
        </w:tc>
        <w:tc>
          <w:tcPr>
            <w:tcW w:w="280" w:type="dxa"/>
            <w:vAlign w:val="bottom"/>
          </w:tcPr>
          <w:p>
            <w:pPr>
              <w:spacing w:after="0"/>
              <w:rPr>
                <w:sz w:val="14"/>
                <w:szCs w:val="14"/>
                <w:color w:val="auto"/>
              </w:rPr>
            </w:pPr>
          </w:p>
        </w:tc>
        <w:tc>
          <w:tcPr>
            <w:tcW w:w="8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w w:val="99"/>
              </w:rPr>
              <w:t>1998</w:t>
            </w:r>
          </w:p>
        </w:tc>
        <w:tc>
          <w:tcPr>
            <w:tcW w:w="7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1997</w:t>
            </w:r>
          </w:p>
        </w:tc>
      </w:tr>
      <w:tr>
        <w:trPr>
          <w:trHeight w:val="168"/>
        </w:trPr>
        <w:tc>
          <w:tcPr>
            <w:tcW w:w="3500" w:type="dxa"/>
            <w:vAlign w:val="bottom"/>
          </w:tcPr>
          <w:p>
            <w:pPr>
              <w:spacing w:after="0"/>
              <w:rPr>
                <w:sz w:val="14"/>
                <w:szCs w:val="14"/>
                <w:color w:val="auto"/>
              </w:rPr>
            </w:pPr>
          </w:p>
        </w:tc>
        <w:tc>
          <w:tcPr>
            <w:tcW w:w="17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500" w:type="dxa"/>
            <w:vAlign w:val="bottom"/>
          </w:tcPr>
          <w:p>
            <w:pPr>
              <w:spacing w:after="0"/>
              <w:rPr>
                <w:sz w:val="20"/>
                <w:szCs w:val="20"/>
                <w:color w:val="auto"/>
              </w:rPr>
            </w:pPr>
            <w:r>
              <w:rPr>
                <w:rFonts w:ascii="Courier New" w:cs="Courier New" w:eastAsia="Courier New" w:hAnsi="Courier New"/>
                <w:sz w:val="15"/>
                <w:szCs w:val="15"/>
                <w:color w:val="auto"/>
                <w:w w:val="96"/>
              </w:rPr>
              <w:t>Earnings (loss) before fixed charges(1):</w:t>
            </w:r>
          </w:p>
        </w:tc>
        <w:tc>
          <w:tcPr>
            <w:tcW w:w="1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336"/>
        </w:trPr>
        <w:tc>
          <w:tcPr>
            <w:tcW w:w="5260" w:type="dxa"/>
            <w:vAlign w:val="bottom"/>
            <w:gridSpan w:val="2"/>
          </w:tcPr>
          <w:p>
            <w:pPr>
              <w:spacing w:after="0"/>
              <w:rPr>
                <w:sz w:val="20"/>
                <w:szCs w:val="20"/>
                <w:color w:val="auto"/>
              </w:rPr>
            </w:pPr>
            <w:r>
              <w:rPr>
                <w:rFonts w:ascii="Courier New" w:cs="Courier New" w:eastAsia="Courier New" w:hAnsi="Courier New"/>
                <w:sz w:val="15"/>
                <w:szCs w:val="15"/>
                <w:color w:val="auto"/>
              </w:rPr>
              <w:t>Earnings (loss) from continuing operations</w:t>
            </w: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68"/>
        </w:trPr>
        <w:tc>
          <w:tcPr>
            <w:tcW w:w="35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before cumulative effect of</w:t>
            </w:r>
          </w:p>
        </w:tc>
        <w:tc>
          <w:tcPr>
            <w:tcW w:w="1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8"/>
        </w:trPr>
        <w:tc>
          <w:tcPr>
            <w:tcW w:w="35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accounting change</w:t>
            </w:r>
          </w:p>
        </w:tc>
        <w:tc>
          <w:tcPr>
            <w:tcW w:w="17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($222.9)</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224.1</w:t>
            </w:r>
          </w:p>
        </w:tc>
        <w:tc>
          <w:tcPr>
            <w:tcW w:w="112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$2,021.5</w:t>
            </w:r>
          </w:p>
        </w:tc>
        <w:tc>
          <w:tcPr>
            <w:tcW w:w="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729.9</w:t>
            </w:r>
          </w:p>
        </w:tc>
        <w:tc>
          <w:tcPr>
            <w:tcW w:w="114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$1,003.5</w:t>
            </w:r>
          </w:p>
        </w:tc>
        <w:tc>
          <w:tcPr>
            <w:tcW w:w="7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($213.1)</w:t>
            </w:r>
          </w:p>
        </w:tc>
      </w:tr>
      <w:tr>
        <w:trPr>
          <w:trHeight w:val="336"/>
        </w:trPr>
        <w:tc>
          <w:tcPr>
            <w:tcW w:w="3500" w:type="dxa"/>
            <w:vAlign w:val="bottom"/>
          </w:tcPr>
          <w:p>
            <w:pPr>
              <w:spacing w:after="0"/>
              <w:rPr>
                <w:sz w:val="20"/>
                <w:szCs w:val="20"/>
                <w:color w:val="auto"/>
              </w:rPr>
            </w:pPr>
            <w:r>
              <w:rPr>
                <w:rFonts w:ascii="Courier New" w:cs="Courier New" w:eastAsia="Courier New" w:hAnsi="Courier New"/>
                <w:sz w:val="15"/>
                <w:szCs w:val="15"/>
                <w:color w:val="auto"/>
              </w:rPr>
              <w:t>Minority Interest</w:t>
            </w:r>
          </w:p>
        </w:tc>
        <w:tc>
          <w:tcPr>
            <w:tcW w:w="17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126.0</w:t>
            </w:r>
          </w:p>
        </w:tc>
        <w:tc>
          <w:tcPr>
            <w:tcW w:w="220" w:type="dxa"/>
            <w:vAlign w:val="bottom"/>
          </w:tcPr>
          <w:p>
            <w:pPr>
              <w:spacing w:after="0"/>
              <w:rPr>
                <w:sz w:val="24"/>
                <w:szCs w:val="24"/>
                <w:color w:val="auto"/>
              </w:rPr>
            </w:pPr>
          </w:p>
        </w:tc>
        <w:tc>
          <w:tcPr>
            <w:tcW w:w="6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160.4</w:t>
            </w:r>
          </w:p>
        </w:tc>
        <w:tc>
          <w:tcPr>
            <w:tcW w:w="340" w:type="dxa"/>
            <w:vAlign w:val="bottom"/>
          </w:tcPr>
          <w:p>
            <w:pPr>
              <w:spacing w:after="0"/>
              <w:rPr>
                <w:sz w:val="24"/>
                <w:szCs w:val="24"/>
                <w:color w:val="auto"/>
              </w:rPr>
            </w:pPr>
          </w:p>
        </w:tc>
        <w:tc>
          <w:tcPr>
            <w:tcW w:w="7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115.3</w:t>
            </w:r>
          </w:p>
        </w:tc>
        <w:tc>
          <w:tcPr>
            <w:tcW w:w="320" w:type="dxa"/>
            <w:vAlign w:val="bottom"/>
          </w:tcPr>
          <w:p>
            <w:pPr>
              <w:spacing w:after="0"/>
              <w:rPr>
                <w:sz w:val="24"/>
                <w:szCs w:val="24"/>
                <w:color w:val="auto"/>
              </w:rPr>
            </w:pPr>
          </w:p>
        </w:tc>
        <w:tc>
          <w:tcPr>
            <w:tcW w:w="860" w:type="dxa"/>
            <w:vAlign w:val="bottom"/>
          </w:tcPr>
          <w:p>
            <w:pPr>
              <w:jc w:val="right"/>
              <w:ind w:right="127"/>
              <w:spacing w:after="0"/>
              <w:rPr>
                <w:sz w:val="20"/>
                <w:szCs w:val="20"/>
                <w:color w:val="auto"/>
              </w:rPr>
            </w:pPr>
            <w:r>
              <w:rPr>
                <w:rFonts w:ascii="Courier New" w:cs="Courier New" w:eastAsia="Courier New" w:hAnsi="Courier New"/>
                <w:sz w:val="15"/>
                <w:szCs w:val="15"/>
                <w:color w:val="auto"/>
              </w:rPr>
              <w:t>(4.6)</w:t>
            </w:r>
          </w:p>
        </w:tc>
        <w:tc>
          <w:tcPr>
            <w:tcW w:w="280" w:type="dxa"/>
            <w:vAlign w:val="bottom"/>
          </w:tcPr>
          <w:p>
            <w:pPr>
              <w:spacing w:after="0"/>
              <w:rPr>
                <w:sz w:val="24"/>
                <w:szCs w:val="24"/>
                <w:color w:val="auto"/>
              </w:rPr>
            </w:pPr>
          </w:p>
        </w:tc>
        <w:tc>
          <w:tcPr>
            <w:tcW w:w="8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(44.3)</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(76.2)</w:t>
            </w:r>
          </w:p>
        </w:tc>
      </w:tr>
      <w:tr>
        <w:trPr>
          <w:trHeight w:val="336"/>
        </w:trPr>
        <w:tc>
          <w:tcPr>
            <w:tcW w:w="3500" w:type="dxa"/>
            <w:vAlign w:val="bottom"/>
          </w:tcPr>
          <w:p>
            <w:pPr>
              <w:spacing w:after="0"/>
              <w:rPr>
                <w:sz w:val="20"/>
                <w:szCs w:val="20"/>
                <w:color w:val="auto"/>
              </w:rPr>
            </w:pPr>
            <w:r>
              <w:rPr>
                <w:rFonts w:ascii="Courier New" w:cs="Courier New" w:eastAsia="Courier New" w:hAnsi="Courier New"/>
                <w:sz w:val="15"/>
                <w:szCs w:val="15"/>
                <w:color w:val="auto"/>
              </w:rPr>
              <w:t>Income tax (benefit) expense</w:t>
            </w:r>
          </w:p>
        </w:tc>
        <w:tc>
          <w:tcPr>
            <w:tcW w:w="17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52.3</w:t>
            </w:r>
          </w:p>
        </w:tc>
        <w:tc>
          <w:tcPr>
            <w:tcW w:w="220" w:type="dxa"/>
            <w:vAlign w:val="bottom"/>
          </w:tcPr>
          <w:p>
            <w:pPr>
              <w:spacing w:after="0"/>
              <w:rPr>
                <w:sz w:val="24"/>
                <w:szCs w:val="24"/>
                <w:color w:val="auto"/>
              </w:rPr>
            </w:pPr>
          </w:p>
        </w:tc>
        <w:tc>
          <w:tcPr>
            <w:tcW w:w="6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469.4</w:t>
            </w:r>
          </w:p>
        </w:tc>
        <w:tc>
          <w:tcPr>
            <w:tcW w:w="340" w:type="dxa"/>
            <w:vAlign w:val="bottom"/>
          </w:tcPr>
          <w:p>
            <w:pPr>
              <w:spacing w:after="0"/>
              <w:rPr>
                <w:sz w:val="24"/>
                <w:szCs w:val="24"/>
                <w:color w:val="auto"/>
              </w:rPr>
            </w:pPr>
          </w:p>
        </w:tc>
        <w:tc>
          <w:tcPr>
            <w:tcW w:w="780" w:type="dxa"/>
            <w:vAlign w:val="bottom"/>
          </w:tcPr>
          <w:p>
            <w:pPr>
              <w:jc w:val="right"/>
              <w:ind w:right="87"/>
              <w:spacing w:after="0"/>
              <w:rPr>
                <w:sz w:val="20"/>
                <w:szCs w:val="20"/>
                <w:color w:val="auto"/>
              </w:rPr>
            </w:pPr>
            <w:r>
              <w:rPr>
                <w:rFonts w:ascii="Courier New" w:cs="Courier New" w:eastAsia="Courier New" w:hAnsi="Courier New"/>
                <w:sz w:val="15"/>
                <w:szCs w:val="15"/>
                <w:color w:val="auto"/>
                <w:w w:val="95"/>
              </w:rPr>
              <w:t>1,428.6</w:t>
            </w:r>
          </w:p>
        </w:tc>
        <w:tc>
          <w:tcPr>
            <w:tcW w:w="320" w:type="dxa"/>
            <w:vAlign w:val="bottom"/>
          </w:tcPr>
          <w:p>
            <w:pPr>
              <w:spacing w:after="0"/>
              <w:rPr>
                <w:sz w:val="24"/>
                <w:szCs w:val="24"/>
                <w:color w:val="auto"/>
              </w:rPr>
            </w:pPr>
          </w:p>
        </w:tc>
        <w:tc>
          <w:tcPr>
            <w:tcW w:w="8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696.2</w:t>
            </w:r>
          </w:p>
        </w:tc>
        <w:tc>
          <w:tcPr>
            <w:tcW w:w="280" w:type="dxa"/>
            <w:vAlign w:val="bottom"/>
          </w:tcPr>
          <w:p>
            <w:pPr>
              <w:spacing w:after="0"/>
              <w:rPr>
                <w:sz w:val="24"/>
                <w:szCs w:val="24"/>
                <w:color w:val="auto"/>
              </w:rPr>
            </w:pPr>
          </w:p>
        </w:tc>
        <w:tc>
          <w:tcPr>
            <w:tcW w:w="8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591.7</w:t>
            </w:r>
          </w:p>
        </w:tc>
        <w:tc>
          <w:tcPr>
            <w:tcW w:w="7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54.1</w:t>
            </w:r>
          </w:p>
        </w:tc>
      </w:tr>
      <w:tr>
        <w:trPr>
          <w:trHeight w:val="336"/>
        </w:trPr>
        <w:tc>
          <w:tcPr>
            <w:tcW w:w="3500" w:type="dxa"/>
            <w:vAlign w:val="bottom"/>
          </w:tcPr>
          <w:p>
            <w:pPr>
              <w:spacing w:after="0"/>
              <w:rPr>
                <w:sz w:val="20"/>
                <w:szCs w:val="20"/>
                <w:color w:val="auto"/>
              </w:rPr>
            </w:pPr>
            <w:r>
              <w:rPr>
                <w:rFonts w:ascii="Courier New" w:cs="Courier New" w:eastAsia="Courier New" w:hAnsi="Courier New"/>
                <w:sz w:val="15"/>
                <w:szCs w:val="15"/>
                <w:color w:val="auto"/>
              </w:rPr>
              <w:t>Equity in net loss of affiliates</w:t>
            </w:r>
          </w:p>
        </w:tc>
        <w:tc>
          <w:tcPr>
            <w:tcW w:w="17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59.9</w:t>
            </w:r>
          </w:p>
        </w:tc>
        <w:tc>
          <w:tcPr>
            <w:tcW w:w="220" w:type="dxa"/>
            <w:vAlign w:val="bottom"/>
          </w:tcPr>
          <w:p>
            <w:pPr>
              <w:spacing w:after="0"/>
              <w:rPr>
                <w:sz w:val="24"/>
                <w:szCs w:val="24"/>
                <w:color w:val="auto"/>
              </w:rPr>
            </w:pPr>
          </w:p>
        </w:tc>
        <w:tc>
          <w:tcPr>
            <w:tcW w:w="6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28.5</w:t>
            </w:r>
          </w:p>
        </w:tc>
        <w:tc>
          <w:tcPr>
            <w:tcW w:w="340" w:type="dxa"/>
            <w:vAlign w:val="bottom"/>
          </w:tcPr>
          <w:p>
            <w:pPr>
              <w:spacing w:after="0"/>
              <w:rPr>
                <w:sz w:val="24"/>
                <w:szCs w:val="24"/>
                <w:color w:val="auto"/>
              </w:rPr>
            </w:pPr>
          </w:p>
        </w:tc>
        <w:tc>
          <w:tcPr>
            <w:tcW w:w="7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21.3</w:t>
            </w:r>
          </w:p>
        </w:tc>
        <w:tc>
          <w:tcPr>
            <w:tcW w:w="320" w:type="dxa"/>
            <w:vAlign w:val="bottom"/>
          </w:tcPr>
          <w:p>
            <w:pPr>
              <w:spacing w:after="0"/>
              <w:rPr>
                <w:sz w:val="24"/>
                <w:szCs w:val="24"/>
                <w:color w:val="auto"/>
              </w:rPr>
            </w:pPr>
          </w:p>
        </w:tc>
        <w:tc>
          <w:tcPr>
            <w:tcW w:w="860" w:type="dxa"/>
            <w:vAlign w:val="bottom"/>
          </w:tcPr>
          <w:p>
            <w:pPr>
              <w:jc w:val="right"/>
              <w:ind w:right="127"/>
              <w:spacing w:after="0"/>
              <w:rPr>
                <w:sz w:val="20"/>
                <w:szCs w:val="20"/>
                <w:color w:val="auto"/>
              </w:rPr>
            </w:pPr>
            <w:r>
              <w:rPr>
                <w:rFonts w:ascii="Courier New" w:cs="Courier New" w:eastAsia="Courier New" w:hAnsi="Courier New"/>
                <w:sz w:val="15"/>
                <w:szCs w:val="15"/>
                <w:color w:val="auto"/>
              </w:rPr>
              <w:t>(1.4)</w:t>
            </w:r>
          </w:p>
        </w:tc>
        <w:tc>
          <w:tcPr>
            <w:tcW w:w="280" w:type="dxa"/>
            <w:vAlign w:val="bottom"/>
          </w:tcPr>
          <w:p>
            <w:pPr>
              <w:spacing w:after="0"/>
              <w:rPr>
                <w:sz w:val="24"/>
                <w:szCs w:val="24"/>
                <w:color w:val="auto"/>
              </w:rPr>
            </w:pPr>
          </w:p>
        </w:tc>
        <w:tc>
          <w:tcPr>
            <w:tcW w:w="8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515.9</w:t>
            </w:r>
          </w:p>
        </w:tc>
        <w:tc>
          <w:tcPr>
            <w:tcW w:w="7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343.8</w:t>
            </w:r>
          </w:p>
        </w:tc>
      </w:tr>
      <w:tr>
        <w:trPr>
          <w:trHeight w:val="336"/>
        </w:trPr>
        <w:tc>
          <w:tcPr>
            <w:tcW w:w="3500" w:type="dxa"/>
            <w:vAlign w:val="bottom"/>
          </w:tcPr>
          <w:p>
            <w:pPr>
              <w:spacing w:after="0"/>
              <w:rPr>
                <w:sz w:val="20"/>
                <w:szCs w:val="20"/>
                <w:color w:val="auto"/>
              </w:rPr>
            </w:pPr>
            <w:r>
              <w:rPr>
                <w:rFonts w:ascii="Courier New" w:cs="Courier New" w:eastAsia="Courier New" w:hAnsi="Courier New"/>
                <w:sz w:val="15"/>
                <w:szCs w:val="15"/>
                <w:color w:val="auto"/>
              </w:rPr>
              <w:t>Combined fixed charges and</w:t>
            </w:r>
          </w:p>
        </w:tc>
        <w:tc>
          <w:tcPr>
            <w:tcW w:w="1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68"/>
        </w:trPr>
        <w:tc>
          <w:tcPr>
            <w:tcW w:w="35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preferred dividends</w:t>
            </w:r>
          </w:p>
        </w:tc>
        <w:tc>
          <w:tcPr>
            <w:tcW w:w="17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543.5</w:t>
            </w:r>
          </w:p>
        </w:tc>
        <w:tc>
          <w:tcPr>
            <w:tcW w:w="220" w:type="dxa"/>
            <w:vAlign w:val="bottom"/>
          </w:tcPr>
          <w:p>
            <w:pPr>
              <w:spacing w:after="0"/>
              <w:rPr>
                <w:sz w:val="14"/>
                <w:szCs w:val="14"/>
                <w:color w:val="auto"/>
              </w:rPr>
            </w:pPr>
          </w:p>
        </w:tc>
        <w:tc>
          <w:tcPr>
            <w:tcW w:w="6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734.1</w:t>
            </w:r>
          </w:p>
        </w:tc>
        <w:tc>
          <w:tcPr>
            <w:tcW w:w="340" w:type="dxa"/>
            <w:vAlign w:val="bottom"/>
          </w:tcPr>
          <w:p>
            <w:pPr>
              <w:spacing w:after="0"/>
              <w:rPr>
                <w:sz w:val="14"/>
                <w:szCs w:val="14"/>
                <w:color w:val="auto"/>
              </w:rPr>
            </w:pP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751.2</w:t>
            </w:r>
          </w:p>
        </w:tc>
        <w:tc>
          <w:tcPr>
            <w:tcW w:w="320" w:type="dxa"/>
            <w:vAlign w:val="bottom"/>
          </w:tcPr>
          <w:p>
            <w:pPr>
              <w:spacing w:after="0"/>
              <w:rPr>
                <w:sz w:val="14"/>
                <w:szCs w:val="14"/>
                <w:color w:val="auto"/>
              </w:rPr>
            </w:pPr>
          </w:p>
        </w:tc>
        <w:tc>
          <w:tcPr>
            <w:tcW w:w="8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646.5</w:t>
            </w:r>
          </w:p>
        </w:tc>
        <w:tc>
          <w:tcPr>
            <w:tcW w:w="280" w:type="dxa"/>
            <w:vAlign w:val="bottom"/>
          </w:tcPr>
          <w:p>
            <w:pPr>
              <w:spacing w:after="0"/>
              <w:rPr>
                <w:sz w:val="14"/>
                <w:szCs w:val="14"/>
                <w:color w:val="auto"/>
              </w:rPr>
            </w:pPr>
          </w:p>
        </w:tc>
        <w:tc>
          <w:tcPr>
            <w:tcW w:w="8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502.3</w:t>
            </w:r>
          </w:p>
        </w:tc>
        <w:tc>
          <w:tcPr>
            <w:tcW w:w="7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538.2</w:t>
            </w:r>
          </w:p>
        </w:tc>
      </w:tr>
      <w:tr>
        <w:trPr>
          <w:trHeight w:val="168"/>
        </w:trPr>
        <w:tc>
          <w:tcPr>
            <w:tcW w:w="3500" w:type="dxa"/>
            <w:vAlign w:val="bottom"/>
          </w:tcPr>
          <w:p>
            <w:pPr>
              <w:spacing w:after="0"/>
              <w:rPr>
                <w:sz w:val="14"/>
                <w:szCs w:val="14"/>
                <w:color w:val="auto"/>
              </w:rPr>
            </w:pPr>
          </w:p>
        </w:tc>
        <w:tc>
          <w:tcPr>
            <w:tcW w:w="17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500" w:type="dxa"/>
            <w:vAlign w:val="bottom"/>
          </w:tcPr>
          <w:p>
            <w:pPr>
              <w:spacing w:after="0"/>
              <w:rPr>
                <w:sz w:val="14"/>
                <w:szCs w:val="14"/>
                <w:color w:val="auto"/>
              </w:rPr>
            </w:pPr>
          </w:p>
        </w:tc>
        <w:tc>
          <w:tcPr>
            <w:tcW w:w="17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$ 558.8</w:t>
            </w:r>
          </w:p>
        </w:tc>
        <w:tc>
          <w:tcPr>
            <w:tcW w:w="8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$1,616.5</w:t>
            </w:r>
          </w:p>
        </w:tc>
        <w:tc>
          <w:tcPr>
            <w:tcW w:w="112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$4,337.9</w:t>
            </w:r>
          </w:p>
        </w:tc>
        <w:tc>
          <w:tcPr>
            <w:tcW w:w="118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$2,066.6</w:t>
            </w:r>
          </w:p>
        </w:tc>
        <w:tc>
          <w:tcPr>
            <w:tcW w:w="114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$2,569.1</w:t>
            </w:r>
          </w:p>
        </w:tc>
        <w:tc>
          <w:tcPr>
            <w:tcW w:w="7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$ 646.8</w:t>
            </w:r>
          </w:p>
        </w:tc>
      </w:tr>
      <w:tr>
        <w:trPr>
          <w:trHeight w:val="168"/>
        </w:trPr>
        <w:tc>
          <w:tcPr>
            <w:tcW w:w="3500" w:type="dxa"/>
            <w:vAlign w:val="bottom"/>
          </w:tcPr>
          <w:p>
            <w:pPr>
              <w:spacing w:after="0"/>
              <w:rPr>
                <w:sz w:val="14"/>
                <w:szCs w:val="14"/>
                <w:color w:val="auto"/>
              </w:rPr>
            </w:pPr>
          </w:p>
        </w:tc>
        <w:tc>
          <w:tcPr>
            <w:tcW w:w="17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500" w:type="dxa"/>
            <w:vAlign w:val="bottom"/>
          </w:tcPr>
          <w:p>
            <w:pPr>
              <w:spacing w:after="0" w:line="168" w:lineRule="exact"/>
              <w:rPr>
                <w:sz w:val="20"/>
                <w:szCs w:val="20"/>
                <w:color w:val="auto"/>
              </w:rPr>
            </w:pPr>
            <w:r>
              <w:rPr>
                <w:rFonts w:ascii="Courier New" w:cs="Courier New" w:eastAsia="Courier New" w:hAnsi="Courier New"/>
                <w:sz w:val="15"/>
                <w:szCs w:val="15"/>
                <w:color w:val="auto"/>
              </w:rPr>
              <w:t>Combined fixed charges and preferred</w:t>
            </w:r>
          </w:p>
        </w:tc>
        <w:tc>
          <w:tcPr>
            <w:tcW w:w="1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8"/>
        </w:trPr>
        <w:tc>
          <w:tcPr>
            <w:tcW w:w="35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dividends:</w:t>
            </w:r>
          </w:p>
        </w:tc>
        <w:tc>
          <w:tcPr>
            <w:tcW w:w="1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336"/>
        </w:trPr>
        <w:tc>
          <w:tcPr>
            <w:tcW w:w="3500" w:type="dxa"/>
            <w:vAlign w:val="bottom"/>
          </w:tcPr>
          <w:p>
            <w:pPr>
              <w:spacing w:after="0"/>
              <w:rPr>
                <w:sz w:val="20"/>
                <w:szCs w:val="20"/>
                <w:color w:val="auto"/>
              </w:rPr>
            </w:pPr>
            <w:r>
              <w:rPr>
                <w:rFonts w:ascii="Courier New" w:cs="Courier New" w:eastAsia="Courier New" w:hAnsi="Courier New"/>
                <w:sz w:val="15"/>
                <w:szCs w:val="15"/>
                <w:color w:val="auto"/>
              </w:rPr>
              <w:t>Interest</w:t>
            </w:r>
          </w:p>
        </w:tc>
        <w:tc>
          <w:tcPr>
            <w:tcW w:w="17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$ 543.5</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734.1</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727.7</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616.8</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473.2</w:t>
            </w:r>
          </w:p>
        </w:tc>
        <w:tc>
          <w:tcPr>
            <w:tcW w:w="7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$ 505.4</w:t>
            </w:r>
          </w:p>
        </w:tc>
      </w:tr>
      <w:tr>
        <w:trPr>
          <w:trHeight w:val="168"/>
        </w:trPr>
        <w:tc>
          <w:tcPr>
            <w:tcW w:w="3500" w:type="dxa"/>
            <w:vAlign w:val="bottom"/>
          </w:tcPr>
          <w:p>
            <w:pPr>
              <w:spacing w:after="0" w:line="168" w:lineRule="exact"/>
              <w:rPr>
                <w:sz w:val="20"/>
                <w:szCs w:val="20"/>
                <w:color w:val="auto"/>
              </w:rPr>
            </w:pPr>
            <w:r>
              <w:rPr>
                <w:rFonts w:ascii="Courier New" w:cs="Courier New" w:eastAsia="Courier New" w:hAnsi="Courier New"/>
                <w:sz w:val="15"/>
                <w:szCs w:val="15"/>
                <w:color w:val="auto"/>
              </w:rPr>
              <w:t>Capitalized interest</w:t>
            </w:r>
          </w:p>
        </w:tc>
        <w:tc>
          <w:tcPr>
            <w:tcW w:w="1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18.0</w:t>
            </w:r>
          </w:p>
        </w:tc>
      </w:tr>
      <w:tr>
        <w:trPr>
          <w:trHeight w:val="168"/>
        </w:trPr>
        <w:tc>
          <w:tcPr>
            <w:tcW w:w="3500" w:type="dxa"/>
            <w:vAlign w:val="bottom"/>
          </w:tcPr>
          <w:p>
            <w:pPr>
              <w:spacing w:after="0" w:line="168" w:lineRule="exact"/>
              <w:rPr>
                <w:sz w:val="20"/>
                <w:szCs w:val="20"/>
                <w:color w:val="auto"/>
              </w:rPr>
            </w:pPr>
            <w:r>
              <w:rPr>
                <w:rFonts w:ascii="Courier New" w:cs="Courier New" w:eastAsia="Courier New" w:hAnsi="Courier New"/>
                <w:sz w:val="15"/>
                <w:szCs w:val="15"/>
                <w:color w:val="auto"/>
              </w:rPr>
              <w:t>Preferred dividends</w:t>
            </w:r>
          </w:p>
        </w:tc>
        <w:tc>
          <w:tcPr>
            <w:tcW w:w="1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23.5</w:t>
            </w:r>
          </w:p>
        </w:tc>
        <w:tc>
          <w:tcPr>
            <w:tcW w:w="320" w:type="dxa"/>
            <w:vAlign w:val="bottom"/>
          </w:tcPr>
          <w:p>
            <w:pPr>
              <w:spacing w:after="0"/>
              <w:rPr>
                <w:sz w:val="14"/>
                <w:szCs w:val="14"/>
                <w:color w:val="auto"/>
              </w:rPr>
            </w:pPr>
          </w:p>
        </w:tc>
        <w:tc>
          <w:tcPr>
            <w:tcW w:w="8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29.7</w:t>
            </w:r>
          </w:p>
        </w:tc>
        <w:tc>
          <w:tcPr>
            <w:tcW w:w="280" w:type="dxa"/>
            <w:vAlign w:val="bottom"/>
          </w:tcPr>
          <w:p>
            <w:pPr>
              <w:spacing w:after="0"/>
              <w:rPr>
                <w:sz w:val="14"/>
                <w:szCs w:val="14"/>
                <w:color w:val="auto"/>
              </w:rPr>
            </w:pPr>
          </w:p>
        </w:tc>
        <w:tc>
          <w:tcPr>
            <w:tcW w:w="8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29.1</w:t>
            </w:r>
          </w:p>
        </w:tc>
        <w:tc>
          <w:tcPr>
            <w:tcW w:w="7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14.8</w:t>
            </w:r>
          </w:p>
        </w:tc>
      </w:tr>
      <w:tr>
        <w:trPr>
          <w:trHeight w:val="168"/>
        </w:trPr>
        <w:tc>
          <w:tcPr>
            <w:tcW w:w="3500" w:type="dxa"/>
            <w:vAlign w:val="bottom"/>
          </w:tcPr>
          <w:p>
            <w:pPr>
              <w:spacing w:after="0"/>
              <w:rPr>
                <w:sz w:val="14"/>
                <w:szCs w:val="14"/>
                <w:color w:val="auto"/>
              </w:rPr>
            </w:pPr>
          </w:p>
        </w:tc>
        <w:tc>
          <w:tcPr>
            <w:tcW w:w="17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500" w:type="dxa"/>
            <w:vAlign w:val="bottom"/>
          </w:tcPr>
          <w:p>
            <w:pPr>
              <w:spacing w:after="0"/>
              <w:rPr>
                <w:sz w:val="14"/>
                <w:szCs w:val="14"/>
                <w:color w:val="auto"/>
              </w:rPr>
            </w:pPr>
          </w:p>
        </w:tc>
        <w:tc>
          <w:tcPr>
            <w:tcW w:w="17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$ 543.5</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734.1</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751.2</w:t>
            </w:r>
          </w:p>
        </w:tc>
        <w:tc>
          <w:tcPr>
            <w:tcW w:w="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646.5</w:t>
            </w:r>
          </w:p>
        </w:tc>
        <w:tc>
          <w:tcPr>
            <w:tcW w:w="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502.3</w:t>
            </w:r>
          </w:p>
        </w:tc>
        <w:tc>
          <w:tcPr>
            <w:tcW w:w="7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$ 538.2</w:t>
            </w:r>
          </w:p>
        </w:tc>
      </w:tr>
      <w:tr>
        <w:trPr>
          <w:trHeight w:val="168"/>
        </w:trPr>
        <w:tc>
          <w:tcPr>
            <w:tcW w:w="3500" w:type="dxa"/>
            <w:vAlign w:val="bottom"/>
          </w:tcPr>
          <w:p>
            <w:pPr>
              <w:spacing w:after="0"/>
              <w:rPr>
                <w:sz w:val="14"/>
                <w:szCs w:val="14"/>
                <w:color w:val="auto"/>
              </w:rPr>
            </w:pPr>
          </w:p>
        </w:tc>
        <w:tc>
          <w:tcPr>
            <w:tcW w:w="17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500" w:type="dxa"/>
            <w:vAlign w:val="bottom"/>
          </w:tcPr>
          <w:p>
            <w:pPr>
              <w:spacing w:after="0"/>
              <w:rPr>
                <w:sz w:val="20"/>
                <w:szCs w:val="20"/>
                <w:color w:val="auto"/>
              </w:rPr>
            </w:pPr>
            <w:r>
              <w:rPr>
                <w:rFonts w:ascii="Courier New" w:cs="Courier New" w:eastAsia="Courier New" w:hAnsi="Courier New"/>
                <w:sz w:val="15"/>
                <w:szCs w:val="15"/>
                <w:color w:val="auto"/>
              </w:rPr>
              <w:t>Ratio of earnings to fixed charges(1)</w:t>
            </w:r>
          </w:p>
        </w:tc>
        <w:tc>
          <w:tcPr>
            <w:tcW w:w="17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1.03</w:t>
            </w:r>
          </w:p>
        </w:tc>
        <w:tc>
          <w:tcPr>
            <w:tcW w:w="220" w:type="dxa"/>
            <w:vAlign w:val="bottom"/>
          </w:tcPr>
          <w:p>
            <w:pPr>
              <w:spacing w:after="0"/>
              <w:rPr>
                <w:sz w:val="24"/>
                <w:szCs w:val="24"/>
                <w:color w:val="auto"/>
              </w:rPr>
            </w:pPr>
          </w:p>
        </w:tc>
        <w:tc>
          <w:tcPr>
            <w:tcW w:w="6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2.20</w:t>
            </w:r>
          </w:p>
        </w:tc>
        <w:tc>
          <w:tcPr>
            <w:tcW w:w="340" w:type="dxa"/>
            <w:vAlign w:val="bottom"/>
          </w:tcPr>
          <w:p>
            <w:pPr>
              <w:spacing w:after="0"/>
              <w:rPr>
                <w:sz w:val="24"/>
                <w:szCs w:val="24"/>
                <w:color w:val="auto"/>
              </w:rPr>
            </w:pPr>
          </w:p>
        </w:tc>
        <w:tc>
          <w:tcPr>
            <w:tcW w:w="7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5.77</w:t>
            </w:r>
          </w:p>
        </w:tc>
        <w:tc>
          <w:tcPr>
            <w:tcW w:w="320" w:type="dxa"/>
            <w:vAlign w:val="bottom"/>
          </w:tcPr>
          <w:p>
            <w:pPr>
              <w:spacing w:after="0"/>
              <w:rPr>
                <w:sz w:val="24"/>
                <w:szCs w:val="24"/>
                <w:color w:val="auto"/>
              </w:rPr>
            </w:pPr>
          </w:p>
        </w:tc>
        <w:tc>
          <w:tcPr>
            <w:tcW w:w="8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3.20</w:t>
            </w:r>
          </w:p>
        </w:tc>
        <w:tc>
          <w:tcPr>
            <w:tcW w:w="280" w:type="dxa"/>
            <w:vAlign w:val="bottom"/>
          </w:tcPr>
          <w:p>
            <w:pPr>
              <w:spacing w:after="0"/>
              <w:rPr>
                <w:sz w:val="24"/>
                <w:szCs w:val="24"/>
                <w:color w:val="auto"/>
              </w:rPr>
            </w:pPr>
          </w:p>
        </w:tc>
        <w:tc>
          <w:tcPr>
            <w:tcW w:w="8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5.11</w:t>
            </w:r>
          </w:p>
        </w:tc>
        <w:tc>
          <w:tcPr>
            <w:tcW w:w="7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1.20</w:t>
            </w:r>
          </w:p>
        </w:tc>
      </w:tr>
      <w:tr>
        <w:trPr>
          <w:trHeight w:val="336"/>
        </w:trPr>
        <w:tc>
          <w:tcPr>
            <w:tcW w:w="350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60" w:type="dxa"/>
            <w:vAlign w:val="bottom"/>
          </w:tcPr>
          <w:p>
            <w:pPr>
              <w:spacing w:after="0"/>
              <w:rPr>
                <w:sz w:val="24"/>
                <w:szCs w:val="24"/>
                <w:color w:val="auto"/>
              </w:rPr>
            </w:pPr>
          </w:p>
        </w:tc>
      </w:tr>
    </w:tbl>
    <w:p>
      <w:pPr>
        <w:spacing w:after="0" w:line="5" w:lineRule="exact"/>
        <w:rPr>
          <w:sz w:val="20"/>
          <w:szCs w:val="20"/>
          <w:color w:val="auto"/>
        </w:rPr>
      </w:pPr>
    </w:p>
    <w:p>
      <w:pPr>
        <w:ind w:left="440" w:right="360" w:hanging="430"/>
        <w:spacing w:after="0" w:line="236" w:lineRule="auto"/>
        <w:tabs>
          <w:tab w:leader="none" w:pos="440" w:val="left"/>
        </w:tabs>
        <w:numPr>
          <w:ilvl w:val="0"/>
          <w:numId w:val="1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purposes of calculating the ratio of earnings to combined fixed charges and preferred dividends, earnings consist of income (loss) from continuing operations before income taxes, cumulative effect of accounting changes, minority interest, equity in net (income) losses of affiliates and combined fixed charges and preferred dividends. Combined fixed charges consist of interest expense, capitalized interest and preferred dividends.</w:t>
      </w:r>
    </w:p>
    <w:p>
      <w:pPr>
        <w:sectPr>
          <w:pgSz w:w="11900" w:h="16838" w:orient="portrait"/>
          <w:cols w:equalWidth="0" w:num="1">
            <w:col w:w="10340"/>
          </w:cols>
          <w:pgMar w:left="220" w:top="471" w:right="1339" w:bottom="1440" w:gutter="0" w:footer="0" w:header="0"/>
        </w:sectPr>
      </w:pPr>
    </w:p>
    <w:bookmarkStart w:id="284" w:name="page285"/>
    <w:bookmarkEnd w:id="284"/>
    <w:p>
      <w:pPr>
        <w:jc w:val="right"/>
        <w:ind w:right="3239"/>
        <w:spacing w:after="0"/>
        <w:rPr>
          <w:sz w:val="20"/>
          <w:szCs w:val="20"/>
          <w:color w:val="auto"/>
        </w:rPr>
      </w:pPr>
      <w:r>
        <w:rPr>
          <w:rFonts w:ascii="Courier New" w:cs="Courier New" w:eastAsia="Courier New" w:hAnsi="Courier New"/>
          <w:sz w:val="15"/>
          <w:szCs w:val="15"/>
          <w:color w:val="auto"/>
        </w:rPr>
        <w:t>Exhibit 23.1</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INDEPENDENT AUDITORS' CONSENT</w:t>
      </w:r>
    </w:p>
    <w:p>
      <w:pPr>
        <w:spacing w:after="0" w:line="173"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We consent to the incorporation by reference in this Registration Statement of Comcast Corporation (formerly AT&amp;T Comcast Corporation) on Form S-3 of our report dated April 29, 2002 related to the balance sheet of Comcast Corporation as of December 31, 2001, appearing in Comcast Corporation's Current Report on Form 8-K/A dated November 18, 2002, and to the reference to us under the heading "Experts" in the Prospectus, which is part of this Registration Statement.</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Deloitte &amp; Touche LLP</w:t>
      </w:r>
    </w:p>
    <w:p>
      <w:pPr>
        <w:spacing w:after="0" w:line="237" w:lineRule="auto"/>
        <w:rPr>
          <w:sz w:val="20"/>
          <w:szCs w:val="20"/>
          <w:color w:val="auto"/>
        </w:rPr>
      </w:pPr>
      <w:r>
        <w:rPr>
          <w:rFonts w:ascii="Courier New" w:cs="Courier New" w:eastAsia="Courier New" w:hAnsi="Courier New"/>
          <w:sz w:val="15"/>
          <w:szCs w:val="15"/>
          <w:color w:val="auto"/>
        </w:rPr>
        <w:t>Philadelphia, Pennsylvania</w:t>
      </w:r>
    </w:p>
    <w:p>
      <w:pPr>
        <w:spacing w:after="0" w:line="238" w:lineRule="auto"/>
        <w:rPr>
          <w:sz w:val="20"/>
          <w:szCs w:val="20"/>
          <w:color w:val="auto"/>
        </w:rPr>
      </w:pPr>
      <w:r>
        <w:rPr>
          <w:rFonts w:ascii="Courier New" w:cs="Courier New" w:eastAsia="Courier New" w:hAnsi="Courier New"/>
          <w:sz w:val="15"/>
          <w:szCs w:val="15"/>
          <w:color w:val="auto"/>
        </w:rPr>
        <w:t>December 10, 2002</w:t>
      </w:r>
    </w:p>
    <w:p>
      <w:pPr>
        <w:sectPr>
          <w:pgSz w:w="11900" w:h="16838" w:orient="portrait"/>
          <w:cols w:equalWidth="0" w:num="1">
            <w:col w:w="10239"/>
          </w:cols>
          <w:pgMar w:left="220" w:top="135" w:right="1440" w:bottom="1440" w:gutter="0" w:footer="0" w:header="0"/>
        </w:sectPr>
      </w:pPr>
    </w:p>
    <w:bookmarkStart w:id="285" w:name="page286"/>
    <w:bookmarkEnd w:id="285"/>
    <w:p>
      <w:pPr>
        <w:jc w:val="right"/>
        <w:ind w:right="3239"/>
        <w:spacing w:after="0"/>
        <w:rPr>
          <w:sz w:val="20"/>
          <w:szCs w:val="20"/>
          <w:color w:val="auto"/>
        </w:rPr>
      </w:pPr>
      <w:r>
        <w:rPr>
          <w:rFonts w:ascii="Courier New" w:cs="Courier New" w:eastAsia="Courier New" w:hAnsi="Courier New"/>
          <w:sz w:val="15"/>
          <w:szCs w:val="15"/>
          <w:color w:val="auto"/>
        </w:rPr>
        <w:t>Exhibit 23.2</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INDEPENDENT AUDITORS' CONSENT</w:t>
      </w:r>
    </w:p>
    <w:p>
      <w:pPr>
        <w:spacing w:after="0" w:line="341" w:lineRule="exact"/>
        <w:rPr>
          <w:sz w:val="20"/>
          <w:szCs w:val="20"/>
          <w:color w:val="auto"/>
        </w:rPr>
      </w:pPr>
    </w:p>
    <w:p>
      <w:pPr>
        <w:ind w:right="3319"/>
        <w:spacing w:after="0" w:line="255" w:lineRule="auto"/>
        <w:rPr>
          <w:sz w:val="20"/>
          <w:szCs w:val="20"/>
          <w:color w:val="auto"/>
        </w:rPr>
      </w:pPr>
      <w:r>
        <w:rPr>
          <w:rFonts w:ascii="Courier New" w:cs="Courier New" w:eastAsia="Courier New" w:hAnsi="Courier New"/>
          <w:sz w:val="14"/>
          <w:szCs w:val="14"/>
          <w:color w:val="auto"/>
        </w:rPr>
        <w:t>We consent to the incorporation by reference in this Registration Statement of Comcast Corporation (formerly AT&amp;T Comcast Corporation) on Form S-3 of our report dated February 5, 2002 (July 30, 2002 as to Note 14 and December 6, 2002 as to Note 15) (which report expresses an unqualified opinion and includes an explanatory paragraph related to the adoption of Statement of Financial Accounting Standards No. 133, "Accounting for Derivative Instruments and Hedging Activities," as amended, effective January 1, 2001) related to the financial statements of Comcast Holdings Corporation (formerly known as Comcast Corporation), appearing in Comcast Corporation's Current Report on Form 8-K/A dated November 18, 2002, and to the reference to us under the heading "Experts" in the Prospectus, which is part of this Registration Statement.</w:t>
      </w:r>
    </w:p>
    <w:p>
      <w:pPr>
        <w:spacing w:after="0" w:line="32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Deloitte &amp; Touche LLP</w:t>
      </w:r>
    </w:p>
    <w:p>
      <w:pPr>
        <w:spacing w:after="0" w:line="237" w:lineRule="auto"/>
        <w:rPr>
          <w:sz w:val="20"/>
          <w:szCs w:val="20"/>
          <w:color w:val="auto"/>
        </w:rPr>
      </w:pPr>
      <w:r>
        <w:rPr>
          <w:rFonts w:ascii="Courier New" w:cs="Courier New" w:eastAsia="Courier New" w:hAnsi="Courier New"/>
          <w:sz w:val="15"/>
          <w:szCs w:val="15"/>
          <w:color w:val="auto"/>
        </w:rPr>
        <w:t>Philadelphia, Pennsylvania</w:t>
      </w:r>
    </w:p>
    <w:p>
      <w:pPr>
        <w:spacing w:after="0" w:line="238" w:lineRule="auto"/>
        <w:rPr>
          <w:sz w:val="20"/>
          <w:szCs w:val="20"/>
          <w:color w:val="auto"/>
        </w:rPr>
      </w:pPr>
      <w:r>
        <w:rPr>
          <w:rFonts w:ascii="Courier New" w:cs="Courier New" w:eastAsia="Courier New" w:hAnsi="Courier New"/>
          <w:sz w:val="15"/>
          <w:szCs w:val="15"/>
          <w:color w:val="auto"/>
        </w:rPr>
        <w:t>December 10, 2002</w:t>
      </w:r>
    </w:p>
    <w:p>
      <w:pPr>
        <w:sectPr>
          <w:pgSz w:w="11900" w:h="16838" w:orient="portrait"/>
          <w:cols w:equalWidth="0" w:num="1">
            <w:col w:w="10239"/>
          </w:cols>
          <w:pgMar w:left="220" w:top="303" w:right="1440" w:bottom="1440" w:gutter="0" w:footer="0" w:header="0"/>
        </w:sectPr>
      </w:pPr>
    </w:p>
    <w:bookmarkStart w:id="286" w:name="page287"/>
    <w:bookmarkEnd w:id="286"/>
    <w:p>
      <w:pPr>
        <w:ind w:left="5860"/>
        <w:spacing w:after="0"/>
        <w:rPr>
          <w:sz w:val="20"/>
          <w:szCs w:val="20"/>
          <w:color w:val="auto"/>
        </w:rPr>
      </w:pPr>
      <w:r>
        <w:rPr>
          <w:rFonts w:ascii="Courier New" w:cs="Courier New" w:eastAsia="Courier New" w:hAnsi="Courier New"/>
          <w:sz w:val="15"/>
          <w:szCs w:val="15"/>
          <w:color w:val="auto"/>
        </w:rPr>
        <w:t>Exhibit 23.3</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INDEPENDENT AUDITORS' CONSENT</w:t>
      </w:r>
    </w:p>
    <w:p>
      <w:pPr>
        <w:spacing w:after="0" w:line="341"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We consent to the incorporation by reference in this Registration Statement of Comcast Corporation (formerly AT&amp;T Comcast Corporation) on Form S-3 of our reports dated February 5, 2002 (which report on the financial statements expresses an unqualified opinion and includes an explanatory paragraph related to the adoption of Statement of Financial Accounting Standards No. 133, "Accounting for Derivative Instruments and Hedging Activities," as amended, effective January 1, 2001), appearing in the Annual Report on Form 10-K of Comcast Cable Communications, Inc. for the year ended December 31, 2001 and to the reference to us under the heading "Experts" in the Prospectus, which is part of this Registration Statement.</w:t>
      </w:r>
    </w:p>
    <w:p>
      <w:pPr>
        <w:spacing w:after="0" w:line="34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Deloitte &amp; Touche LLP</w:t>
      </w:r>
    </w:p>
    <w:p>
      <w:pPr>
        <w:spacing w:after="0" w:line="237" w:lineRule="auto"/>
        <w:rPr>
          <w:sz w:val="20"/>
          <w:szCs w:val="20"/>
          <w:color w:val="auto"/>
        </w:rPr>
      </w:pPr>
      <w:r>
        <w:rPr>
          <w:rFonts w:ascii="Courier New" w:cs="Courier New" w:eastAsia="Courier New" w:hAnsi="Courier New"/>
          <w:sz w:val="15"/>
          <w:szCs w:val="15"/>
          <w:color w:val="auto"/>
        </w:rPr>
        <w:t>Philadelphia, Pennsylvania</w:t>
      </w:r>
    </w:p>
    <w:p>
      <w:pPr>
        <w:spacing w:after="0" w:line="238" w:lineRule="auto"/>
        <w:rPr>
          <w:sz w:val="20"/>
          <w:szCs w:val="20"/>
          <w:color w:val="auto"/>
        </w:rPr>
      </w:pPr>
      <w:r>
        <w:rPr>
          <w:rFonts w:ascii="Courier New" w:cs="Courier New" w:eastAsia="Courier New" w:hAnsi="Courier New"/>
          <w:sz w:val="15"/>
          <w:szCs w:val="15"/>
          <w:color w:val="auto"/>
        </w:rPr>
        <w:t>December 10, 2002</w:t>
      </w:r>
    </w:p>
    <w:p>
      <w:pPr>
        <w:sectPr>
          <w:pgSz w:w="11900" w:h="16838" w:orient="portrait"/>
          <w:cols w:equalWidth="0" w:num="1">
            <w:col w:w="10239"/>
          </w:cols>
          <w:pgMar w:left="220" w:top="303" w:right="1440" w:bottom="1440" w:gutter="0" w:footer="0" w:header="0"/>
        </w:sectPr>
      </w:pPr>
    </w:p>
    <w:bookmarkStart w:id="287" w:name="page288"/>
    <w:bookmarkEnd w:id="287"/>
    <w:p>
      <w:pPr>
        <w:jc w:val="right"/>
        <w:ind w:right="3319"/>
        <w:spacing w:after="0"/>
        <w:rPr>
          <w:sz w:val="20"/>
          <w:szCs w:val="20"/>
          <w:color w:val="auto"/>
        </w:rPr>
      </w:pPr>
      <w:r>
        <w:rPr>
          <w:rFonts w:ascii="Courier New" w:cs="Courier New" w:eastAsia="Courier New" w:hAnsi="Courier New"/>
          <w:sz w:val="15"/>
          <w:szCs w:val="15"/>
          <w:color w:val="auto"/>
        </w:rPr>
        <w:t>Exhibit 23.4</w:t>
      </w:r>
    </w:p>
    <w:p>
      <w:pPr>
        <w:spacing w:after="0" w:line="335" w:lineRule="exact"/>
        <w:rPr>
          <w:sz w:val="20"/>
          <w:szCs w:val="20"/>
          <w:color w:val="auto"/>
        </w:rPr>
      </w:pPr>
    </w:p>
    <w:p>
      <w:pPr>
        <w:ind w:left="2020"/>
        <w:spacing w:after="0"/>
        <w:rPr>
          <w:sz w:val="20"/>
          <w:szCs w:val="20"/>
          <w:color w:val="auto"/>
        </w:rPr>
      </w:pPr>
      <w:r>
        <w:rPr>
          <w:rFonts w:ascii="Courier New" w:cs="Courier New" w:eastAsia="Courier New" w:hAnsi="Courier New"/>
          <w:sz w:val="15"/>
          <w:szCs w:val="15"/>
          <w:color w:val="auto"/>
        </w:rPr>
        <w:t>CONSENT OF INDEPENDENT ACCOUNTANTS</w:t>
      </w:r>
    </w:p>
    <w:p>
      <w:pPr>
        <w:spacing w:after="0" w:line="173"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We hereby consent to the incorporation by reference in the Registration Statement on Form S-3 of Comcast Corporation of our report dated March 25, 2002 relating to the combined financial statements of AT&amp;T Broadband Group, which appears in the Current Report on Form 8-K/A of Comcast Corporation to be filed on December 13, 2002. We also consent to the reference to us under the heading "Experts" in such Registration Statement.</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PricewaterhouseCoopers LLP</w:t>
      </w:r>
    </w:p>
    <w:p>
      <w:pPr>
        <w:spacing w:after="0" w:line="237" w:lineRule="auto"/>
        <w:rPr>
          <w:sz w:val="20"/>
          <w:szCs w:val="20"/>
          <w:color w:val="auto"/>
        </w:rPr>
      </w:pPr>
      <w:r>
        <w:rPr>
          <w:rFonts w:ascii="Courier New" w:cs="Courier New" w:eastAsia="Courier New" w:hAnsi="Courier New"/>
          <w:sz w:val="15"/>
          <w:szCs w:val="15"/>
          <w:color w:val="auto"/>
        </w:rPr>
        <w:t>New York, New York</w:t>
      </w:r>
    </w:p>
    <w:p>
      <w:pPr>
        <w:spacing w:after="0" w:line="238" w:lineRule="auto"/>
        <w:rPr>
          <w:sz w:val="20"/>
          <w:szCs w:val="20"/>
          <w:color w:val="auto"/>
        </w:rPr>
      </w:pPr>
      <w:r>
        <w:rPr>
          <w:rFonts w:ascii="Courier New" w:cs="Courier New" w:eastAsia="Courier New" w:hAnsi="Courier New"/>
          <w:sz w:val="15"/>
          <w:szCs w:val="15"/>
          <w:color w:val="auto"/>
        </w:rPr>
        <w:t>December 11, 2002</w:t>
      </w:r>
    </w:p>
    <w:p>
      <w:pPr>
        <w:sectPr>
          <w:pgSz w:w="11900" w:h="16838" w:orient="portrait"/>
          <w:cols w:equalWidth="0" w:num="1">
            <w:col w:w="10239"/>
          </w:cols>
          <w:pgMar w:left="220" w:top="303" w:right="1440" w:bottom="1440" w:gutter="0" w:footer="0" w:header="0"/>
        </w:sectPr>
      </w:pPr>
    </w:p>
    <w:bookmarkStart w:id="288" w:name="page289"/>
    <w:bookmarkEnd w:id="288"/>
    <w:p>
      <w:pPr>
        <w:ind w:left="5860"/>
        <w:spacing w:after="0"/>
        <w:rPr>
          <w:sz w:val="20"/>
          <w:szCs w:val="20"/>
          <w:color w:val="auto"/>
        </w:rPr>
      </w:pPr>
      <w:r>
        <w:rPr>
          <w:rFonts w:ascii="Courier New" w:cs="Courier New" w:eastAsia="Courier New" w:hAnsi="Courier New"/>
          <w:sz w:val="14"/>
          <w:szCs w:val="14"/>
          <w:color w:val="auto"/>
        </w:rPr>
        <w:t>EXHIBIT 25.1</w:t>
      </w:r>
    </w:p>
    <w:p>
      <w:pPr>
        <w:spacing w:after="0" w:line="178"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4"/>
          <w:szCs w:val="14"/>
          <w:color w:val="auto"/>
        </w:rPr>
        <w:t>===============================================================================</w:t>
      </w:r>
    </w:p>
    <w:p>
      <w:pPr>
        <w:spacing w:after="0" w:line="17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FORM T-1</w:t>
      </w:r>
    </w:p>
    <w:p>
      <w:pPr>
        <w:spacing w:after="0" w:line="166"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SECURITIES AND EXCHANGE COMMISSION</w:t>
      </w:r>
    </w:p>
    <w:p>
      <w:pPr>
        <w:jc w:val="center"/>
        <w:ind w:right="3219"/>
        <w:spacing w:after="0" w:line="237" w:lineRule="auto"/>
        <w:rPr>
          <w:sz w:val="20"/>
          <w:szCs w:val="20"/>
          <w:color w:val="auto"/>
        </w:rPr>
      </w:pPr>
      <w:r>
        <w:rPr>
          <w:rFonts w:ascii="Courier New" w:cs="Courier New" w:eastAsia="Courier New" w:hAnsi="Courier New"/>
          <w:sz w:val="15"/>
          <w:szCs w:val="15"/>
          <w:color w:val="auto"/>
        </w:rPr>
        <w:t>Washington, D.C. 20549</w:t>
      </w:r>
    </w:p>
    <w:p>
      <w:pPr>
        <w:spacing w:after="0" w:line="167"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STATEMENT OF ELIGIBILITY</w:t>
      </w:r>
    </w:p>
    <w:p>
      <w:pPr>
        <w:jc w:val="center"/>
        <w:ind w:right="3219"/>
        <w:spacing w:after="0" w:line="237" w:lineRule="auto"/>
        <w:rPr>
          <w:sz w:val="20"/>
          <w:szCs w:val="20"/>
          <w:color w:val="auto"/>
        </w:rPr>
      </w:pPr>
      <w:r>
        <w:rPr>
          <w:rFonts w:ascii="Courier New" w:cs="Courier New" w:eastAsia="Courier New" w:hAnsi="Courier New"/>
          <w:sz w:val="15"/>
          <w:szCs w:val="15"/>
          <w:color w:val="auto"/>
        </w:rPr>
        <w:t>UNDER THE TRUST INDENTURE ACT OF 1939 OF A</w:t>
      </w:r>
    </w:p>
    <w:p>
      <w:pPr>
        <w:jc w:val="center"/>
        <w:ind w:right="3219"/>
        <w:spacing w:after="0" w:line="238" w:lineRule="auto"/>
        <w:rPr>
          <w:sz w:val="20"/>
          <w:szCs w:val="20"/>
          <w:color w:val="auto"/>
        </w:rPr>
      </w:pPr>
      <w:r>
        <w:rPr>
          <w:rFonts w:ascii="Courier New" w:cs="Courier New" w:eastAsia="Courier New" w:hAnsi="Courier New"/>
          <w:sz w:val="15"/>
          <w:szCs w:val="15"/>
          <w:color w:val="auto"/>
        </w:rPr>
        <w:t>CORPORATION DESIGNATED TO ACT AS TRUSTEE</w:t>
      </w:r>
    </w:p>
    <w:p>
      <w:pPr>
        <w:spacing w:after="0" w:line="167"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CHECK IF AN APPLICATION TO DETERMINE</w:t>
      </w:r>
    </w:p>
    <w:p>
      <w:pPr>
        <w:ind w:left="1940"/>
        <w:spacing w:after="0" w:line="237" w:lineRule="auto"/>
        <w:rPr>
          <w:sz w:val="20"/>
          <w:szCs w:val="20"/>
          <w:color w:val="auto"/>
        </w:rPr>
      </w:pPr>
      <w:r>
        <w:rPr>
          <w:rFonts w:ascii="Courier New" w:cs="Courier New" w:eastAsia="Courier New" w:hAnsi="Courier New"/>
          <w:sz w:val="15"/>
          <w:szCs w:val="15"/>
          <w:color w:val="auto"/>
        </w:rPr>
        <w:t>ELIGIBILITY OF A TRUSTEE PURSUANT TO</w:t>
      </w:r>
    </w:p>
    <w:p>
      <w:pPr>
        <w:ind w:left="2540"/>
        <w:spacing w:after="0" w:line="238" w:lineRule="auto"/>
        <w:rPr>
          <w:sz w:val="20"/>
          <w:szCs w:val="20"/>
          <w:color w:val="auto"/>
        </w:rPr>
      </w:pPr>
      <w:r>
        <w:rPr>
          <w:rFonts w:ascii="Courier New" w:cs="Courier New" w:eastAsia="Courier New" w:hAnsi="Courier New"/>
          <w:sz w:val="15"/>
          <w:szCs w:val="15"/>
          <w:color w:val="auto"/>
        </w:rPr>
        <w:t>SECTION 305(b)(2) [ ]</w:t>
      </w:r>
    </w:p>
    <w:p>
      <w:pPr>
        <w:spacing w:after="0" w:line="167"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w:t>
      </w:r>
    </w:p>
    <w:p>
      <w:pPr>
        <w:spacing w:after="0" w:line="166"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THE BANK OF NEW YORK</w:t>
      </w:r>
    </w:p>
    <w:p>
      <w:pPr>
        <w:jc w:val="center"/>
        <w:ind w:right="3319"/>
        <w:spacing w:after="0" w:line="237" w:lineRule="auto"/>
        <w:rPr>
          <w:sz w:val="20"/>
          <w:szCs w:val="20"/>
          <w:color w:val="auto"/>
        </w:rPr>
      </w:pPr>
      <w:r>
        <w:rPr>
          <w:rFonts w:ascii="Courier New" w:cs="Courier New" w:eastAsia="Courier New" w:hAnsi="Courier New"/>
          <w:sz w:val="15"/>
          <w:szCs w:val="15"/>
          <w:color w:val="auto"/>
        </w:rPr>
        <w:t>(Exact name of trustee as specified in its charter)</w:t>
      </w:r>
    </w:p>
    <w:p>
      <w:pPr>
        <w:spacing w:after="0" w:line="167" w:lineRule="exact"/>
        <w:rPr>
          <w:sz w:val="20"/>
          <w:szCs w:val="20"/>
          <w:color w:val="auto"/>
        </w:rPr>
      </w:pPr>
    </w:p>
    <w:p>
      <w:pPr>
        <w:spacing w:after="0"/>
        <w:tabs>
          <w:tab w:leader="none" w:pos="4360" w:val="left"/>
        </w:tabs>
        <w:rPr>
          <w:sz w:val="20"/>
          <w:szCs w:val="20"/>
          <w:color w:val="auto"/>
        </w:rPr>
      </w:pPr>
      <w:r>
        <w:rPr>
          <w:rFonts w:ascii="Courier New" w:cs="Courier New" w:eastAsia="Courier New" w:hAnsi="Courier New"/>
          <w:sz w:val="15"/>
          <w:szCs w:val="15"/>
          <w:color w:val="auto"/>
        </w:rPr>
        <w:t>New York</w:t>
      </w:r>
      <w:r>
        <w:rPr>
          <w:sz w:val="20"/>
          <w:szCs w:val="20"/>
          <w:color w:val="auto"/>
        </w:rPr>
        <w:tab/>
      </w:r>
      <w:r>
        <w:rPr>
          <w:rFonts w:ascii="Courier New" w:cs="Courier New" w:eastAsia="Courier New" w:hAnsi="Courier New"/>
          <w:sz w:val="14"/>
          <w:szCs w:val="14"/>
          <w:color w:val="auto"/>
        </w:rPr>
        <w:t>13-5160382</w:t>
      </w:r>
    </w:p>
    <w:p>
      <w:pPr>
        <w:spacing w:after="0"/>
        <w:tabs>
          <w:tab w:leader="none" w:pos="4360" w:val="left"/>
        </w:tabs>
        <w:rPr>
          <w:sz w:val="20"/>
          <w:szCs w:val="20"/>
          <w:color w:val="auto"/>
        </w:rPr>
      </w:pPr>
      <w:r>
        <w:rPr>
          <w:rFonts w:ascii="Courier New" w:cs="Courier New" w:eastAsia="Courier New" w:hAnsi="Courier New"/>
          <w:sz w:val="15"/>
          <w:szCs w:val="15"/>
          <w:color w:val="auto"/>
        </w:rPr>
        <w:t>(State of incorporation</w:t>
      </w:r>
      <w:r>
        <w:rPr>
          <w:sz w:val="20"/>
          <w:szCs w:val="20"/>
          <w:color w:val="auto"/>
        </w:rPr>
        <w:tab/>
      </w:r>
      <w:r>
        <w:rPr>
          <w:rFonts w:ascii="Courier New" w:cs="Courier New" w:eastAsia="Courier New" w:hAnsi="Courier New"/>
          <w:sz w:val="14"/>
          <w:szCs w:val="14"/>
          <w:color w:val="auto"/>
        </w:rPr>
        <w:t>(I.R.S. employer</w:t>
      </w:r>
    </w:p>
    <w:p>
      <w:pPr>
        <w:spacing w:after="0"/>
        <w:tabs>
          <w:tab w:leader="none" w:pos="4360" w:val="left"/>
        </w:tabs>
        <w:rPr>
          <w:sz w:val="20"/>
          <w:szCs w:val="20"/>
          <w:color w:val="auto"/>
        </w:rPr>
      </w:pPr>
      <w:r>
        <w:rPr>
          <w:rFonts w:ascii="Courier New" w:cs="Courier New" w:eastAsia="Courier New" w:hAnsi="Courier New"/>
          <w:sz w:val="15"/>
          <w:szCs w:val="15"/>
          <w:color w:val="auto"/>
        </w:rPr>
        <w:t>if not a U.S. national bank)</w:t>
      </w:r>
      <w:r>
        <w:rPr>
          <w:sz w:val="20"/>
          <w:szCs w:val="20"/>
          <w:color w:val="auto"/>
        </w:rPr>
        <w:tab/>
      </w:r>
      <w:r>
        <w:rPr>
          <w:rFonts w:ascii="Courier New" w:cs="Courier New" w:eastAsia="Courier New" w:hAnsi="Courier New"/>
          <w:sz w:val="14"/>
          <w:szCs w:val="14"/>
          <w:color w:val="auto"/>
        </w:rPr>
        <w:t>identification no.)</w:t>
      </w:r>
    </w:p>
    <w:p>
      <w:pPr>
        <w:spacing w:after="0" w:line="167" w:lineRule="exact"/>
        <w:rPr>
          <w:sz w:val="20"/>
          <w:szCs w:val="20"/>
          <w:color w:val="auto"/>
        </w:rPr>
      </w:pPr>
    </w:p>
    <w:p>
      <w:pPr>
        <w:spacing w:after="0"/>
        <w:tabs>
          <w:tab w:leader="none" w:pos="4360" w:val="left"/>
        </w:tabs>
        <w:rPr>
          <w:sz w:val="20"/>
          <w:szCs w:val="20"/>
          <w:color w:val="auto"/>
        </w:rPr>
      </w:pPr>
      <w:r>
        <w:rPr>
          <w:rFonts w:ascii="Courier New" w:cs="Courier New" w:eastAsia="Courier New" w:hAnsi="Courier New"/>
          <w:sz w:val="15"/>
          <w:szCs w:val="15"/>
          <w:color w:val="auto"/>
        </w:rPr>
        <w:t>One Wall Street, New York, N.Y.</w:t>
      </w:r>
      <w:r>
        <w:rPr>
          <w:sz w:val="20"/>
          <w:szCs w:val="20"/>
          <w:color w:val="auto"/>
        </w:rPr>
        <w:tab/>
      </w:r>
      <w:r>
        <w:rPr>
          <w:rFonts w:ascii="Courier New" w:cs="Courier New" w:eastAsia="Courier New" w:hAnsi="Courier New"/>
          <w:sz w:val="14"/>
          <w:szCs w:val="14"/>
          <w:color w:val="auto"/>
        </w:rPr>
        <w:t>10286</w:t>
      </w:r>
    </w:p>
    <w:p>
      <w:pPr>
        <w:spacing w:after="0"/>
        <w:tabs>
          <w:tab w:leader="none" w:pos="4360" w:val="left"/>
        </w:tabs>
        <w:rPr>
          <w:sz w:val="20"/>
          <w:szCs w:val="20"/>
          <w:color w:val="auto"/>
        </w:rPr>
      </w:pPr>
      <w:r>
        <w:rPr>
          <w:rFonts w:ascii="Courier New" w:cs="Courier New" w:eastAsia="Courier New" w:hAnsi="Courier New"/>
          <w:sz w:val="15"/>
          <w:szCs w:val="15"/>
          <w:color w:val="auto"/>
        </w:rPr>
        <w:t>(Address of principal executive offices)</w:t>
      </w:r>
      <w:r>
        <w:rPr>
          <w:sz w:val="20"/>
          <w:szCs w:val="20"/>
          <w:color w:val="auto"/>
        </w:rPr>
        <w:tab/>
      </w:r>
      <w:r>
        <w:rPr>
          <w:rFonts w:ascii="Courier New" w:cs="Courier New" w:eastAsia="Courier New" w:hAnsi="Courier New"/>
          <w:sz w:val="14"/>
          <w:szCs w:val="14"/>
          <w:color w:val="auto"/>
        </w:rPr>
        <w:t>(Zip code)</w:t>
      </w:r>
    </w:p>
    <w:p>
      <w:pPr>
        <w:spacing w:after="0" w:line="167"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w:t>
      </w:r>
    </w:p>
    <w:p>
      <w:pPr>
        <w:spacing w:after="0" w:line="166"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COMCAST CORPORATION</w:t>
      </w:r>
    </w:p>
    <w:p>
      <w:pPr>
        <w:jc w:val="center"/>
        <w:ind w:right="3319"/>
        <w:spacing w:after="0" w:line="237" w:lineRule="auto"/>
        <w:rPr>
          <w:sz w:val="20"/>
          <w:szCs w:val="20"/>
          <w:color w:val="auto"/>
        </w:rPr>
      </w:pPr>
      <w:r>
        <w:rPr>
          <w:rFonts w:ascii="Courier New" w:cs="Courier New" w:eastAsia="Courier New" w:hAnsi="Courier New"/>
          <w:sz w:val="15"/>
          <w:szCs w:val="15"/>
          <w:color w:val="auto"/>
        </w:rPr>
        <w:t>(formerly AT&amp;T Comcast Corporation)</w:t>
      </w:r>
    </w:p>
    <w:p>
      <w:pPr>
        <w:jc w:val="center"/>
        <w:ind w:right="3319"/>
        <w:spacing w:after="0" w:line="238" w:lineRule="auto"/>
        <w:rPr>
          <w:sz w:val="20"/>
          <w:szCs w:val="20"/>
          <w:color w:val="auto"/>
        </w:rPr>
      </w:pPr>
      <w:r>
        <w:rPr>
          <w:rFonts w:ascii="Courier New" w:cs="Courier New" w:eastAsia="Courier New" w:hAnsi="Courier New"/>
          <w:sz w:val="15"/>
          <w:szCs w:val="15"/>
          <w:color w:val="auto"/>
        </w:rPr>
        <w:t>(Exact name of obligor as specified in its charter)</w:t>
      </w:r>
    </w:p>
    <w:p>
      <w:pPr>
        <w:spacing w:after="0" w:line="167" w:lineRule="exact"/>
        <w:rPr>
          <w:sz w:val="20"/>
          <w:szCs w:val="20"/>
          <w:color w:val="auto"/>
        </w:rPr>
      </w:pPr>
    </w:p>
    <w:p>
      <w:pPr>
        <w:spacing w:after="0"/>
        <w:tabs>
          <w:tab w:leader="none" w:pos="4360" w:val="left"/>
        </w:tabs>
        <w:rPr>
          <w:sz w:val="20"/>
          <w:szCs w:val="20"/>
          <w:color w:val="auto"/>
        </w:rPr>
      </w:pPr>
      <w:r>
        <w:rPr>
          <w:rFonts w:ascii="Courier New" w:cs="Courier New" w:eastAsia="Courier New" w:hAnsi="Courier New"/>
          <w:sz w:val="15"/>
          <w:szCs w:val="15"/>
          <w:color w:val="auto"/>
        </w:rPr>
        <w:t>Pennsylvania</w:t>
      </w:r>
      <w:r>
        <w:rPr>
          <w:sz w:val="20"/>
          <w:szCs w:val="20"/>
          <w:color w:val="auto"/>
        </w:rPr>
        <w:tab/>
      </w:r>
      <w:r>
        <w:rPr>
          <w:rFonts w:ascii="Courier New" w:cs="Courier New" w:eastAsia="Courier New" w:hAnsi="Courier New"/>
          <w:sz w:val="15"/>
          <w:szCs w:val="15"/>
          <w:color w:val="auto"/>
        </w:rPr>
        <w:t>27-0000798</w:t>
      </w:r>
    </w:p>
    <w:p>
      <w:pPr>
        <w:spacing w:after="0"/>
        <w:tabs>
          <w:tab w:leader="none" w:pos="4360" w:val="left"/>
        </w:tabs>
        <w:rPr>
          <w:sz w:val="20"/>
          <w:szCs w:val="20"/>
          <w:color w:val="auto"/>
        </w:rPr>
      </w:pPr>
      <w:r>
        <w:rPr>
          <w:rFonts w:ascii="Courier New" w:cs="Courier New" w:eastAsia="Courier New" w:hAnsi="Courier New"/>
          <w:sz w:val="15"/>
          <w:szCs w:val="15"/>
          <w:color w:val="auto"/>
        </w:rPr>
        <w:t>(State or other jurisdiction of</w:t>
      </w:r>
      <w:r>
        <w:rPr>
          <w:sz w:val="20"/>
          <w:szCs w:val="20"/>
          <w:color w:val="auto"/>
        </w:rPr>
        <w:tab/>
      </w:r>
      <w:r>
        <w:rPr>
          <w:rFonts w:ascii="Courier New" w:cs="Courier New" w:eastAsia="Courier New" w:hAnsi="Courier New"/>
          <w:sz w:val="14"/>
          <w:szCs w:val="14"/>
          <w:color w:val="auto"/>
        </w:rPr>
        <w:t>(I.R.S. employer</w:t>
      </w:r>
    </w:p>
    <w:p>
      <w:pPr>
        <w:spacing w:after="0"/>
        <w:tabs>
          <w:tab w:leader="none" w:pos="4360" w:val="left"/>
        </w:tabs>
        <w:rPr>
          <w:sz w:val="20"/>
          <w:szCs w:val="20"/>
          <w:color w:val="auto"/>
        </w:rPr>
      </w:pPr>
      <w:r>
        <w:rPr>
          <w:rFonts w:ascii="Courier New" w:cs="Courier New" w:eastAsia="Courier New" w:hAnsi="Courier New"/>
          <w:sz w:val="15"/>
          <w:szCs w:val="15"/>
          <w:color w:val="auto"/>
        </w:rPr>
        <w:t>incorporation or organization)</w:t>
      </w:r>
      <w:r>
        <w:rPr>
          <w:sz w:val="20"/>
          <w:szCs w:val="20"/>
          <w:color w:val="auto"/>
        </w:rPr>
        <w:tab/>
      </w:r>
      <w:r>
        <w:rPr>
          <w:rFonts w:ascii="Courier New" w:cs="Courier New" w:eastAsia="Courier New" w:hAnsi="Courier New"/>
          <w:sz w:val="14"/>
          <w:szCs w:val="14"/>
          <w:color w:val="auto"/>
        </w:rPr>
        <w:t>identification no.)</w:t>
      </w:r>
    </w:p>
    <w:p>
      <w:pPr>
        <w:spacing w:after="0" w:line="167" w:lineRule="exact"/>
        <w:rPr>
          <w:sz w:val="20"/>
          <w:szCs w:val="20"/>
          <w:color w:val="auto"/>
        </w:rPr>
      </w:pPr>
    </w:p>
    <w:p>
      <w:pPr>
        <w:ind w:left="2020"/>
        <w:spacing w:after="0"/>
        <w:rPr>
          <w:sz w:val="20"/>
          <w:szCs w:val="20"/>
          <w:color w:val="auto"/>
        </w:rPr>
      </w:pPr>
      <w:r>
        <w:rPr>
          <w:rFonts w:ascii="Courier New" w:cs="Courier New" w:eastAsia="Courier New" w:hAnsi="Courier New"/>
          <w:sz w:val="15"/>
          <w:szCs w:val="15"/>
          <w:color w:val="auto"/>
        </w:rPr>
        <w:t>COMCAST CABLE COMMUNICATIONS, INC.</w:t>
      </w:r>
    </w:p>
    <w:p>
      <w:pPr>
        <w:ind w:left="1240"/>
        <w:spacing w:after="0" w:line="237" w:lineRule="auto"/>
        <w:rPr>
          <w:sz w:val="20"/>
          <w:szCs w:val="20"/>
          <w:color w:val="auto"/>
        </w:rPr>
      </w:pPr>
      <w:r>
        <w:rPr>
          <w:rFonts w:ascii="Courier New" w:cs="Courier New" w:eastAsia="Courier New" w:hAnsi="Courier New"/>
          <w:sz w:val="15"/>
          <w:szCs w:val="15"/>
          <w:color w:val="auto"/>
        </w:rPr>
        <w:t>(Exact name of obligor as specified in its charter)</w:t>
      </w:r>
    </w:p>
    <w:p>
      <w:pPr>
        <w:spacing w:after="0" w:line="167" w:lineRule="exact"/>
        <w:rPr>
          <w:sz w:val="20"/>
          <w:szCs w:val="20"/>
          <w:color w:val="auto"/>
        </w:rPr>
      </w:pPr>
    </w:p>
    <w:p>
      <w:pPr>
        <w:spacing w:after="0"/>
        <w:tabs>
          <w:tab w:leader="none" w:pos="4360" w:val="left"/>
        </w:tabs>
        <w:rPr>
          <w:sz w:val="20"/>
          <w:szCs w:val="20"/>
          <w:color w:val="auto"/>
        </w:rPr>
      </w:pPr>
      <w:r>
        <w:rPr>
          <w:rFonts w:ascii="Courier New" w:cs="Courier New" w:eastAsia="Courier New" w:hAnsi="Courier New"/>
          <w:sz w:val="15"/>
          <w:szCs w:val="15"/>
          <w:color w:val="auto"/>
        </w:rPr>
        <w:t>Delaware</w:t>
      </w:r>
      <w:r>
        <w:rPr>
          <w:sz w:val="20"/>
          <w:szCs w:val="20"/>
          <w:color w:val="auto"/>
        </w:rPr>
        <w:tab/>
      </w:r>
      <w:r>
        <w:rPr>
          <w:rFonts w:ascii="Courier New" w:cs="Courier New" w:eastAsia="Courier New" w:hAnsi="Courier New"/>
          <w:sz w:val="15"/>
          <w:szCs w:val="15"/>
          <w:color w:val="auto"/>
        </w:rPr>
        <w:t>23-2175755</w:t>
      </w:r>
    </w:p>
    <w:p>
      <w:pPr>
        <w:spacing w:after="0"/>
        <w:tabs>
          <w:tab w:leader="none" w:pos="4360" w:val="left"/>
        </w:tabs>
        <w:rPr>
          <w:sz w:val="20"/>
          <w:szCs w:val="20"/>
          <w:color w:val="auto"/>
        </w:rPr>
      </w:pPr>
      <w:r>
        <w:rPr>
          <w:rFonts w:ascii="Courier New" w:cs="Courier New" w:eastAsia="Courier New" w:hAnsi="Courier New"/>
          <w:sz w:val="15"/>
          <w:szCs w:val="15"/>
          <w:color w:val="auto"/>
        </w:rPr>
        <w:t>(State or other jurisdiction of</w:t>
      </w:r>
      <w:r>
        <w:rPr>
          <w:sz w:val="20"/>
          <w:szCs w:val="20"/>
          <w:color w:val="auto"/>
        </w:rPr>
        <w:tab/>
      </w:r>
      <w:r>
        <w:rPr>
          <w:rFonts w:ascii="Courier New" w:cs="Courier New" w:eastAsia="Courier New" w:hAnsi="Courier New"/>
          <w:sz w:val="14"/>
          <w:szCs w:val="14"/>
          <w:color w:val="auto"/>
        </w:rPr>
        <w:t>(I.R.S. employer</w:t>
      </w:r>
    </w:p>
    <w:p>
      <w:pPr>
        <w:spacing w:after="0"/>
        <w:tabs>
          <w:tab w:leader="none" w:pos="4360" w:val="left"/>
        </w:tabs>
        <w:rPr>
          <w:sz w:val="20"/>
          <w:szCs w:val="20"/>
          <w:color w:val="auto"/>
        </w:rPr>
      </w:pPr>
      <w:r>
        <w:rPr>
          <w:rFonts w:ascii="Courier New" w:cs="Courier New" w:eastAsia="Courier New" w:hAnsi="Courier New"/>
          <w:sz w:val="15"/>
          <w:szCs w:val="15"/>
          <w:color w:val="auto"/>
        </w:rPr>
        <w:t>incorporation or organization)</w:t>
      </w:r>
      <w:r>
        <w:rPr>
          <w:sz w:val="20"/>
          <w:szCs w:val="20"/>
          <w:color w:val="auto"/>
        </w:rPr>
        <w:tab/>
      </w:r>
      <w:r>
        <w:rPr>
          <w:rFonts w:ascii="Courier New" w:cs="Courier New" w:eastAsia="Courier New" w:hAnsi="Courier New"/>
          <w:sz w:val="14"/>
          <w:szCs w:val="14"/>
          <w:color w:val="auto"/>
        </w:rPr>
        <w:t>identification no.)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COMCAST CABLE COMMUNICATIONS HOLDINGS, INC.</w:t>
      </w:r>
    </w:p>
    <w:p>
      <w:pPr>
        <w:jc w:val="center"/>
        <w:ind w:right="3319"/>
        <w:spacing w:after="0" w:line="237" w:lineRule="auto"/>
        <w:rPr>
          <w:sz w:val="20"/>
          <w:szCs w:val="20"/>
          <w:color w:val="auto"/>
        </w:rPr>
      </w:pPr>
      <w:r>
        <w:rPr>
          <w:rFonts w:ascii="Courier New" w:cs="Courier New" w:eastAsia="Courier New" w:hAnsi="Courier New"/>
          <w:sz w:val="15"/>
          <w:szCs w:val="15"/>
          <w:color w:val="auto"/>
        </w:rPr>
        <w:t>(formerly AT&amp;T Broadband Corp.)</w:t>
      </w:r>
    </w:p>
    <w:tbl>
      <w:tblPr>
        <w:tblLayout w:type="fixed"/>
        <w:tblInd w:w="0" w:type="dxa"/>
        <w:tblCellMar>
          <w:top w:w="0" w:type="dxa"/>
          <w:left w:w="0" w:type="dxa"/>
          <w:bottom w:w="0" w:type="dxa"/>
          <w:right w:w="0" w:type="dxa"/>
        </w:tblCellMar>
      </w:tblPr>
      <w:tr>
        <w:trPr>
          <w:trHeight w:val="169"/>
        </w:trPr>
        <w:tc>
          <w:tcPr>
            <w:tcW w:w="2500" w:type="dxa"/>
            <w:vAlign w:val="bottom"/>
          </w:tcPr>
          <w:p>
            <w:pPr>
              <w:jc w:val="right"/>
              <w:spacing w:after="0" w:line="169" w:lineRule="exact"/>
              <w:rPr>
                <w:sz w:val="20"/>
                <w:szCs w:val="20"/>
                <w:color w:val="auto"/>
              </w:rPr>
            </w:pPr>
            <w:r>
              <w:rPr>
                <w:rFonts w:ascii="Courier New" w:cs="Courier New" w:eastAsia="Courier New" w:hAnsi="Courier New"/>
                <w:sz w:val="15"/>
                <w:szCs w:val="15"/>
                <w:color w:val="auto"/>
              </w:rPr>
              <w:t>(Exact name of</w:t>
            </w:r>
          </w:p>
        </w:tc>
        <w:tc>
          <w:tcPr>
            <w:tcW w:w="1840" w:type="dxa"/>
            <w:vAlign w:val="bottom"/>
          </w:tcPr>
          <w:p>
            <w:pPr>
              <w:ind w:left="40"/>
              <w:spacing w:after="0" w:line="169" w:lineRule="exact"/>
              <w:rPr>
                <w:sz w:val="20"/>
                <w:szCs w:val="20"/>
                <w:color w:val="auto"/>
              </w:rPr>
            </w:pPr>
            <w:r>
              <w:rPr>
                <w:rFonts w:ascii="Courier New" w:cs="Courier New" w:eastAsia="Courier New" w:hAnsi="Courier New"/>
                <w:sz w:val="15"/>
                <w:szCs w:val="15"/>
                <w:color w:val="auto"/>
                <w:w w:val="98"/>
              </w:rPr>
              <w:t>obligor as specified</w:t>
            </w:r>
          </w:p>
        </w:tc>
        <w:tc>
          <w:tcPr>
            <w:tcW w:w="1700" w:type="dxa"/>
            <w:vAlign w:val="bottom"/>
          </w:tcPr>
          <w:p>
            <w:pPr>
              <w:ind w:left="40"/>
              <w:spacing w:after="0" w:line="169" w:lineRule="exact"/>
              <w:rPr>
                <w:sz w:val="20"/>
                <w:szCs w:val="20"/>
                <w:color w:val="auto"/>
              </w:rPr>
            </w:pPr>
            <w:r>
              <w:rPr>
                <w:rFonts w:ascii="Courier New" w:cs="Courier New" w:eastAsia="Courier New" w:hAnsi="Courier New"/>
                <w:sz w:val="15"/>
                <w:szCs w:val="15"/>
                <w:color w:val="auto"/>
              </w:rPr>
              <w:t>in its charter)</w:t>
            </w:r>
          </w:p>
        </w:tc>
      </w:tr>
      <w:tr>
        <w:trPr>
          <w:trHeight w:val="336"/>
        </w:trPr>
        <w:tc>
          <w:tcPr>
            <w:tcW w:w="2500" w:type="dxa"/>
            <w:vAlign w:val="bottom"/>
          </w:tcPr>
          <w:p>
            <w:pPr>
              <w:spacing w:after="0"/>
              <w:rPr>
                <w:sz w:val="20"/>
                <w:szCs w:val="20"/>
                <w:color w:val="auto"/>
              </w:rPr>
            </w:pPr>
            <w:r>
              <w:rPr>
                <w:rFonts w:ascii="Courier New" w:cs="Courier New" w:eastAsia="Courier New" w:hAnsi="Courier New"/>
                <w:sz w:val="15"/>
                <w:szCs w:val="15"/>
                <w:color w:val="auto"/>
              </w:rPr>
              <w:t>Delaware</w:t>
            </w:r>
          </w:p>
        </w:tc>
        <w:tc>
          <w:tcPr>
            <w:tcW w:w="1840" w:type="dxa"/>
            <w:vAlign w:val="bottom"/>
          </w:tcPr>
          <w:p>
            <w:pPr>
              <w:spacing w:after="0"/>
              <w:rPr>
                <w:sz w:val="24"/>
                <w:szCs w:val="24"/>
                <w:color w:val="auto"/>
              </w:rPr>
            </w:pPr>
          </w:p>
        </w:tc>
        <w:tc>
          <w:tcPr>
            <w:tcW w:w="1700" w:type="dxa"/>
            <w:vAlign w:val="bottom"/>
          </w:tcPr>
          <w:p>
            <w:pPr>
              <w:ind w:left="40"/>
              <w:spacing w:after="0"/>
              <w:rPr>
                <w:sz w:val="20"/>
                <w:szCs w:val="20"/>
                <w:color w:val="auto"/>
              </w:rPr>
            </w:pPr>
            <w:r>
              <w:rPr>
                <w:rFonts w:ascii="Courier New" w:cs="Courier New" w:eastAsia="Courier New" w:hAnsi="Courier New"/>
                <w:sz w:val="15"/>
                <w:szCs w:val="15"/>
                <w:color w:val="auto"/>
              </w:rPr>
              <w:t>04-3592397</w:t>
            </w:r>
          </w:p>
        </w:tc>
      </w:tr>
      <w:tr>
        <w:trPr>
          <w:trHeight w:val="168"/>
        </w:trPr>
        <w:tc>
          <w:tcPr>
            <w:tcW w:w="250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(State or other jurisdiction</w:t>
            </w:r>
          </w:p>
        </w:tc>
        <w:tc>
          <w:tcPr>
            <w:tcW w:w="18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of</w:t>
            </w:r>
          </w:p>
        </w:tc>
        <w:tc>
          <w:tcPr>
            <w:tcW w:w="17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(I.R.S. employer</w:t>
            </w:r>
          </w:p>
        </w:tc>
      </w:tr>
      <w:tr>
        <w:trPr>
          <w:trHeight w:val="168"/>
        </w:trPr>
        <w:tc>
          <w:tcPr>
            <w:tcW w:w="43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incorporation or organization)</w:t>
            </w:r>
          </w:p>
        </w:tc>
        <w:tc>
          <w:tcPr>
            <w:tcW w:w="17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5"/>
              </w:rPr>
              <w:t>identification no.)</w:t>
            </w:r>
          </w:p>
        </w:tc>
      </w:tr>
      <w:tr>
        <w:trPr>
          <w:trHeight w:val="336"/>
        </w:trPr>
        <w:tc>
          <w:tcPr>
            <w:tcW w:w="4340" w:type="dxa"/>
            <w:vAlign w:val="bottom"/>
            <w:gridSpan w:val="2"/>
          </w:tcPr>
          <w:p>
            <w:pPr>
              <w:ind w:left="2280"/>
              <w:spacing w:after="0"/>
              <w:rPr>
                <w:sz w:val="20"/>
                <w:szCs w:val="20"/>
                <w:color w:val="auto"/>
              </w:rPr>
            </w:pPr>
            <w:r>
              <w:rPr>
                <w:rFonts w:ascii="Courier New" w:cs="Courier New" w:eastAsia="Courier New" w:hAnsi="Courier New"/>
                <w:sz w:val="15"/>
                <w:szCs w:val="15"/>
                <w:color w:val="auto"/>
                <w:w w:val="98"/>
              </w:rPr>
              <w:t>COMCAST CABLE HOLDINGS,</w:t>
            </w:r>
          </w:p>
        </w:tc>
        <w:tc>
          <w:tcPr>
            <w:tcW w:w="1700" w:type="dxa"/>
            <w:vAlign w:val="bottom"/>
          </w:tcPr>
          <w:p>
            <w:pPr>
              <w:ind w:left="40"/>
              <w:spacing w:after="0"/>
              <w:rPr>
                <w:sz w:val="20"/>
                <w:szCs w:val="20"/>
                <w:color w:val="auto"/>
              </w:rPr>
            </w:pPr>
            <w:r>
              <w:rPr>
                <w:rFonts w:ascii="Courier New" w:cs="Courier New" w:eastAsia="Courier New" w:hAnsi="Courier New"/>
                <w:sz w:val="15"/>
                <w:szCs w:val="15"/>
                <w:color w:val="auto"/>
              </w:rPr>
              <w:t>LLC</w:t>
            </w:r>
          </w:p>
        </w:tc>
      </w:tr>
      <w:tr>
        <w:trPr>
          <w:trHeight w:val="168"/>
        </w:trPr>
        <w:tc>
          <w:tcPr>
            <w:tcW w:w="6040" w:type="dxa"/>
            <w:vAlign w:val="bottom"/>
            <w:gridSpan w:val="3"/>
          </w:tcPr>
          <w:p>
            <w:pPr>
              <w:jc w:val="right"/>
              <w:ind w:right="1147"/>
              <w:spacing w:after="0" w:line="168" w:lineRule="exact"/>
              <w:rPr>
                <w:sz w:val="20"/>
                <w:szCs w:val="20"/>
                <w:color w:val="auto"/>
              </w:rPr>
            </w:pPr>
            <w:r>
              <w:rPr>
                <w:rFonts w:ascii="Courier New" w:cs="Courier New" w:eastAsia="Courier New" w:hAnsi="Courier New"/>
                <w:sz w:val="15"/>
                <w:szCs w:val="15"/>
                <w:color w:val="auto"/>
              </w:rPr>
              <w:t>(formerly AT&amp;T Broadband, LLC)</w:t>
            </w:r>
          </w:p>
        </w:tc>
      </w:tr>
      <w:tr>
        <w:trPr>
          <w:trHeight w:val="168"/>
        </w:trPr>
        <w:tc>
          <w:tcPr>
            <w:tcW w:w="25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(Exact name of</w:t>
            </w:r>
          </w:p>
        </w:tc>
        <w:tc>
          <w:tcPr>
            <w:tcW w:w="354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obligor as specified in its charter)</w:t>
            </w:r>
          </w:p>
        </w:tc>
      </w:tr>
      <w:tr>
        <w:trPr>
          <w:trHeight w:val="336"/>
        </w:trPr>
        <w:tc>
          <w:tcPr>
            <w:tcW w:w="2500" w:type="dxa"/>
            <w:vAlign w:val="bottom"/>
          </w:tcPr>
          <w:p>
            <w:pPr>
              <w:spacing w:after="0"/>
              <w:rPr>
                <w:sz w:val="20"/>
                <w:szCs w:val="20"/>
                <w:color w:val="auto"/>
              </w:rPr>
            </w:pPr>
            <w:r>
              <w:rPr>
                <w:rFonts w:ascii="Courier New" w:cs="Courier New" w:eastAsia="Courier New" w:hAnsi="Courier New"/>
                <w:sz w:val="15"/>
                <w:szCs w:val="15"/>
                <w:color w:val="auto"/>
              </w:rPr>
              <w:t>Delaware</w:t>
            </w:r>
          </w:p>
        </w:tc>
        <w:tc>
          <w:tcPr>
            <w:tcW w:w="1840" w:type="dxa"/>
            <w:vAlign w:val="bottom"/>
          </w:tcPr>
          <w:p>
            <w:pPr>
              <w:spacing w:after="0"/>
              <w:rPr>
                <w:sz w:val="24"/>
                <w:szCs w:val="24"/>
                <w:color w:val="auto"/>
              </w:rPr>
            </w:pPr>
          </w:p>
        </w:tc>
        <w:tc>
          <w:tcPr>
            <w:tcW w:w="1700" w:type="dxa"/>
            <w:vAlign w:val="bottom"/>
          </w:tcPr>
          <w:p>
            <w:pPr>
              <w:ind w:left="40"/>
              <w:spacing w:after="0"/>
              <w:rPr>
                <w:sz w:val="20"/>
                <w:szCs w:val="20"/>
                <w:color w:val="auto"/>
              </w:rPr>
            </w:pPr>
            <w:r>
              <w:rPr>
                <w:rFonts w:ascii="Courier New" w:cs="Courier New" w:eastAsia="Courier New" w:hAnsi="Courier New"/>
                <w:sz w:val="15"/>
                <w:szCs w:val="15"/>
                <w:color w:val="auto"/>
              </w:rPr>
              <w:t>84-1260157</w:t>
            </w:r>
          </w:p>
        </w:tc>
      </w:tr>
      <w:tr>
        <w:trPr>
          <w:trHeight w:val="168"/>
        </w:trPr>
        <w:tc>
          <w:tcPr>
            <w:tcW w:w="250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(State or other jurisdiction</w:t>
            </w:r>
          </w:p>
        </w:tc>
        <w:tc>
          <w:tcPr>
            <w:tcW w:w="18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of</w:t>
            </w:r>
          </w:p>
        </w:tc>
        <w:tc>
          <w:tcPr>
            <w:tcW w:w="17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(I.R.S. employer</w:t>
            </w:r>
          </w:p>
        </w:tc>
      </w:tr>
      <w:tr>
        <w:trPr>
          <w:trHeight w:val="168"/>
        </w:trPr>
        <w:tc>
          <w:tcPr>
            <w:tcW w:w="43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incorporation or organization)</w:t>
            </w:r>
          </w:p>
        </w:tc>
        <w:tc>
          <w:tcPr>
            <w:tcW w:w="17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5"/>
              </w:rPr>
              <w:t>identification no.)</w:t>
            </w:r>
          </w:p>
        </w:tc>
      </w:tr>
      <w:tr>
        <w:trPr>
          <w:trHeight w:val="336"/>
        </w:trPr>
        <w:tc>
          <w:tcPr>
            <w:tcW w:w="2500" w:type="dxa"/>
            <w:vAlign w:val="bottom"/>
          </w:tcPr>
          <w:p>
            <w:pPr>
              <w:spacing w:after="0"/>
              <w:rPr>
                <w:sz w:val="24"/>
                <w:szCs w:val="24"/>
                <w:color w:val="auto"/>
              </w:rPr>
            </w:pPr>
          </w:p>
        </w:tc>
        <w:tc>
          <w:tcPr>
            <w:tcW w:w="35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COMCAST MO GROUP, INC.</w:t>
            </w:r>
          </w:p>
        </w:tc>
      </w:tr>
      <w:tr>
        <w:trPr>
          <w:trHeight w:val="168"/>
        </w:trPr>
        <w:tc>
          <w:tcPr>
            <w:tcW w:w="6040" w:type="dxa"/>
            <w:vAlign w:val="bottom"/>
            <w:gridSpan w:val="3"/>
          </w:tcPr>
          <w:p>
            <w:pPr>
              <w:jc w:val="right"/>
              <w:ind w:right="1147"/>
              <w:spacing w:after="0" w:line="168" w:lineRule="exact"/>
              <w:rPr>
                <w:sz w:val="20"/>
                <w:szCs w:val="20"/>
                <w:color w:val="auto"/>
              </w:rPr>
            </w:pPr>
            <w:r>
              <w:rPr>
                <w:rFonts w:ascii="Courier New" w:cs="Courier New" w:eastAsia="Courier New" w:hAnsi="Courier New"/>
                <w:sz w:val="15"/>
                <w:szCs w:val="15"/>
                <w:color w:val="auto"/>
              </w:rPr>
              <w:t>(formerly MediaOne Group, Inc.)</w:t>
            </w:r>
          </w:p>
        </w:tc>
      </w:tr>
      <w:tr>
        <w:trPr>
          <w:trHeight w:val="168"/>
        </w:trPr>
        <w:tc>
          <w:tcPr>
            <w:tcW w:w="25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(Exact name of</w:t>
            </w:r>
          </w:p>
        </w:tc>
        <w:tc>
          <w:tcPr>
            <w:tcW w:w="354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obligor as specified in its charter)</w:t>
            </w:r>
          </w:p>
        </w:tc>
      </w:tr>
      <w:tr>
        <w:trPr>
          <w:trHeight w:val="336"/>
        </w:trPr>
        <w:tc>
          <w:tcPr>
            <w:tcW w:w="2500" w:type="dxa"/>
            <w:vAlign w:val="bottom"/>
          </w:tcPr>
          <w:p>
            <w:pPr>
              <w:spacing w:after="0"/>
              <w:rPr>
                <w:sz w:val="20"/>
                <w:szCs w:val="20"/>
                <w:color w:val="auto"/>
              </w:rPr>
            </w:pPr>
            <w:r>
              <w:rPr>
                <w:rFonts w:ascii="Courier New" w:cs="Courier New" w:eastAsia="Courier New" w:hAnsi="Courier New"/>
                <w:sz w:val="15"/>
                <w:szCs w:val="15"/>
                <w:color w:val="auto"/>
              </w:rPr>
              <w:t>Delaware</w:t>
            </w:r>
          </w:p>
        </w:tc>
        <w:tc>
          <w:tcPr>
            <w:tcW w:w="1840" w:type="dxa"/>
            <w:vAlign w:val="bottom"/>
          </w:tcPr>
          <w:p>
            <w:pPr>
              <w:spacing w:after="0"/>
              <w:rPr>
                <w:sz w:val="24"/>
                <w:szCs w:val="24"/>
                <w:color w:val="auto"/>
              </w:rPr>
            </w:pPr>
          </w:p>
        </w:tc>
        <w:tc>
          <w:tcPr>
            <w:tcW w:w="1700" w:type="dxa"/>
            <w:vAlign w:val="bottom"/>
          </w:tcPr>
          <w:p>
            <w:pPr>
              <w:ind w:left="40"/>
              <w:spacing w:after="0"/>
              <w:rPr>
                <w:sz w:val="20"/>
                <w:szCs w:val="20"/>
                <w:color w:val="auto"/>
              </w:rPr>
            </w:pPr>
            <w:r>
              <w:rPr>
                <w:rFonts w:ascii="Courier New" w:cs="Courier New" w:eastAsia="Courier New" w:hAnsi="Courier New"/>
                <w:sz w:val="15"/>
                <w:szCs w:val="15"/>
                <w:color w:val="auto"/>
              </w:rPr>
              <w:t>84-0926774</w:t>
            </w:r>
          </w:p>
        </w:tc>
      </w:tr>
      <w:tr>
        <w:trPr>
          <w:trHeight w:val="168"/>
        </w:trPr>
        <w:tc>
          <w:tcPr>
            <w:tcW w:w="250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(State or other jurisdiction</w:t>
            </w:r>
          </w:p>
        </w:tc>
        <w:tc>
          <w:tcPr>
            <w:tcW w:w="18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of</w:t>
            </w:r>
          </w:p>
        </w:tc>
        <w:tc>
          <w:tcPr>
            <w:tcW w:w="17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(I.R.S. employer</w:t>
            </w:r>
          </w:p>
        </w:tc>
      </w:tr>
      <w:tr>
        <w:trPr>
          <w:trHeight w:val="168"/>
        </w:trPr>
        <w:tc>
          <w:tcPr>
            <w:tcW w:w="43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incorporation or organization)</w:t>
            </w:r>
          </w:p>
        </w:tc>
        <w:tc>
          <w:tcPr>
            <w:tcW w:w="17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5"/>
              </w:rPr>
              <w:t>identification no.)</w:t>
            </w:r>
          </w:p>
        </w:tc>
      </w:tr>
      <w:tr>
        <w:trPr>
          <w:trHeight w:val="336"/>
        </w:trPr>
        <w:tc>
          <w:tcPr>
            <w:tcW w:w="2500" w:type="dxa"/>
            <w:vAlign w:val="bottom"/>
          </w:tcPr>
          <w:p>
            <w:pPr>
              <w:spacing w:after="0"/>
              <w:rPr>
                <w:sz w:val="20"/>
                <w:szCs w:val="20"/>
                <w:color w:val="auto"/>
              </w:rPr>
            </w:pPr>
            <w:r>
              <w:rPr>
                <w:rFonts w:ascii="Courier New" w:cs="Courier New" w:eastAsia="Courier New" w:hAnsi="Courier New"/>
                <w:sz w:val="15"/>
                <w:szCs w:val="15"/>
                <w:color w:val="auto"/>
              </w:rPr>
              <w:t>1500 Market Street</w:t>
            </w:r>
          </w:p>
        </w:tc>
        <w:tc>
          <w:tcPr>
            <w:tcW w:w="184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168"/>
        </w:trPr>
        <w:tc>
          <w:tcPr>
            <w:tcW w:w="2500" w:type="dxa"/>
            <w:vAlign w:val="bottom"/>
          </w:tcPr>
          <w:p>
            <w:pPr>
              <w:spacing w:after="0" w:line="168" w:lineRule="exact"/>
              <w:rPr>
                <w:sz w:val="20"/>
                <w:szCs w:val="20"/>
                <w:color w:val="auto"/>
              </w:rPr>
            </w:pPr>
            <w:r>
              <w:rPr>
                <w:rFonts w:ascii="Courier New" w:cs="Courier New" w:eastAsia="Courier New" w:hAnsi="Courier New"/>
                <w:sz w:val="15"/>
                <w:szCs w:val="15"/>
                <w:color w:val="auto"/>
              </w:rPr>
              <w:t>Philadelphia, Pennsylvania</w:t>
            </w:r>
          </w:p>
        </w:tc>
        <w:tc>
          <w:tcPr>
            <w:tcW w:w="1840" w:type="dxa"/>
            <w:vAlign w:val="bottom"/>
          </w:tcPr>
          <w:p>
            <w:pPr>
              <w:spacing w:after="0"/>
              <w:rPr>
                <w:sz w:val="14"/>
                <w:szCs w:val="14"/>
                <w:color w:val="auto"/>
              </w:rPr>
            </w:pPr>
          </w:p>
        </w:tc>
        <w:tc>
          <w:tcPr>
            <w:tcW w:w="17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19102</w:t>
            </w:r>
          </w:p>
        </w:tc>
      </w:tr>
      <w:tr>
        <w:trPr>
          <w:trHeight w:val="168"/>
        </w:trPr>
        <w:tc>
          <w:tcPr>
            <w:tcW w:w="43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(Address of principal executive offices)</w:t>
            </w:r>
          </w:p>
        </w:tc>
        <w:tc>
          <w:tcPr>
            <w:tcW w:w="17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(Zip code)</w:t>
            </w:r>
          </w:p>
        </w:tc>
      </w:tr>
      <w:tr>
        <w:trPr>
          <w:trHeight w:val="336"/>
        </w:trPr>
        <w:tc>
          <w:tcPr>
            <w:tcW w:w="6040" w:type="dxa"/>
            <w:vAlign w:val="bottom"/>
            <w:gridSpan w:val="3"/>
          </w:tcPr>
          <w:p>
            <w:pPr>
              <w:ind w:left="2280"/>
              <w:spacing w:after="0"/>
              <w:rPr>
                <w:sz w:val="20"/>
                <w:szCs w:val="20"/>
                <w:color w:val="auto"/>
              </w:rPr>
            </w:pPr>
            <w:r>
              <w:rPr>
                <w:rFonts w:ascii="Courier New" w:cs="Courier New" w:eastAsia="Courier New" w:hAnsi="Courier New"/>
                <w:sz w:val="15"/>
                <w:szCs w:val="15"/>
                <w:color w:val="auto"/>
              </w:rPr>
              <w:t>---------------------------</w:t>
            </w:r>
          </w:p>
        </w:tc>
      </w:tr>
      <w:tr>
        <w:trPr>
          <w:trHeight w:val="336"/>
        </w:trPr>
        <w:tc>
          <w:tcPr>
            <w:tcW w:w="2500" w:type="dxa"/>
            <w:vAlign w:val="bottom"/>
          </w:tcPr>
          <w:p>
            <w:pPr>
              <w:spacing w:after="0"/>
              <w:rPr>
                <w:sz w:val="24"/>
                <w:szCs w:val="24"/>
                <w:color w:val="auto"/>
              </w:rPr>
            </w:pPr>
          </w:p>
        </w:tc>
        <w:tc>
          <w:tcPr>
            <w:tcW w:w="35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Senior Debt Securities</w:t>
            </w:r>
          </w:p>
        </w:tc>
      </w:tr>
      <w:tr>
        <w:trPr>
          <w:trHeight w:val="168"/>
        </w:trPr>
        <w:tc>
          <w:tcPr>
            <w:tcW w:w="25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(Title</w:t>
            </w:r>
          </w:p>
        </w:tc>
        <w:tc>
          <w:tcPr>
            <w:tcW w:w="354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of the indenture securities)</w:t>
            </w:r>
          </w:p>
        </w:tc>
      </w:tr>
    </w:tbl>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239"/>
          </w:cols>
          <w:pgMar w:left="220" w:top="142" w:right="1440" w:bottom="1440" w:gutter="0" w:footer="0" w:header="0"/>
        </w:sectPr>
      </w:pPr>
    </w:p>
    <w:p>
      <w:pPr>
        <w:spacing w:after="0" w:line="346" w:lineRule="exact"/>
        <w:rPr>
          <w:sz w:val="20"/>
          <w:szCs w:val="20"/>
          <w:color w:val="auto"/>
        </w:rPr>
      </w:pPr>
    </w:p>
    <w:p>
      <w:pPr>
        <w:ind w:left="3240"/>
        <w:spacing w:after="0"/>
        <w:rPr>
          <w:sz w:val="20"/>
          <w:szCs w:val="20"/>
          <w:color w:val="auto"/>
        </w:rPr>
      </w:pPr>
      <w:r>
        <w:rPr>
          <w:rFonts w:ascii="Courier New" w:cs="Courier New" w:eastAsia="Courier New" w:hAnsi="Courier New"/>
          <w:sz w:val="14"/>
          <w:szCs w:val="14"/>
          <w:color w:val="auto"/>
        </w:rPr>
        <w:t>- 2 -</w:t>
      </w:r>
    </w:p>
    <w:p>
      <w:pPr>
        <w:sectPr>
          <w:pgSz w:w="11900" w:h="16838" w:orient="portrait"/>
          <w:cols w:equalWidth="0" w:num="1">
            <w:col w:w="10239"/>
          </w:cols>
          <w:pgMar w:left="220" w:top="142" w:right="1440" w:bottom="1440" w:gutter="0" w:footer="0" w:header="0"/>
          <w:type w:val="continuous"/>
        </w:sectPr>
      </w:pPr>
    </w:p>
    <w:bookmarkStart w:id="289" w:name="page290"/>
    <w:bookmarkEnd w:id="289"/>
    <w:p>
      <w:pPr>
        <w:ind w:left="440" w:hanging="430"/>
        <w:spacing w:after="0"/>
        <w:tabs>
          <w:tab w:leader="none" w:pos="440" w:val="left"/>
        </w:tabs>
        <w:numPr>
          <w:ilvl w:val="0"/>
          <w:numId w:val="1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General information. Furnish the following information as to the Trustee:</w:t>
      </w:r>
    </w:p>
    <w:p>
      <w:pPr>
        <w:spacing w:after="0" w:line="172" w:lineRule="exact"/>
        <w:rPr>
          <w:rFonts w:ascii="Courier New" w:cs="Courier New" w:eastAsia="Courier New" w:hAnsi="Courier New"/>
          <w:sz w:val="15"/>
          <w:szCs w:val="15"/>
          <w:color w:val="auto"/>
        </w:rPr>
      </w:pPr>
    </w:p>
    <w:p>
      <w:pPr>
        <w:ind w:left="880" w:right="3399" w:hanging="433"/>
        <w:spacing w:after="0" w:line="234" w:lineRule="auto"/>
        <w:tabs>
          <w:tab w:leader="none" w:pos="880" w:val="left"/>
        </w:tabs>
        <w:numPr>
          <w:ilvl w:val="1"/>
          <w:numId w:val="1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Name and address of each examining or supervising authority to which it is subject.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p>
      <w:pPr>
        <w:ind w:left="2020"/>
        <w:spacing w:after="0"/>
        <w:tabs>
          <w:tab w:leader="none" w:pos="5320" w:val="left"/>
        </w:tabs>
        <w:rPr>
          <w:sz w:val="20"/>
          <w:szCs w:val="20"/>
          <w:color w:val="auto"/>
        </w:rPr>
      </w:pPr>
      <w:r>
        <w:rPr>
          <w:rFonts w:ascii="Courier New" w:cs="Courier New" w:eastAsia="Courier New" w:hAnsi="Courier New"/>
          <w:sz w:val="15"/>
          <w:szCs w:val="15"/>
          <w:color w:val="auto"/>
        </w:rPr>
        <w:t>Name</w:t>
      </w:r>
      <w:r>
        <w:rPr>
          <w:sz w:val="20"/>
          <w:szCs w:val="20"/>
          <w:color w:val="auto"/>
        </w:rPr>
        <w:tab/>
      </w:r>
      <w:r>
        <w:rPr>
          <w:rFonts w:ascii="Courier New" w:cs="Courier New" w:eastAsia="Courier New" w:hAnsi="Courier New"/>
          <w:sz w:val="15"/>
          <w:szCs w:val="15"/>
          <w:color w:val="auto"/>
        </w:rPr>
        <w:t>Address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p>
      <w:pPr>
        <w:ind w:left="540"/>
        <w:spacing w:after="0"/>
        <w:tabs>
          <w:tab w:leader="none" w:pos="4180" w:val="left"/>
        </w:tabs>
        <w:rPr>
          <w:sz w:val="20"/>
          <w:szCs w:val="20"/>
          <w:color w:val="auto"/>
        </w:rPr>
      </w:pPr>
      <w:r>
        <w:rPr>
          <w:rFonts w:ascii="Courier New" w:cs="Courier New" w:eastAsia="Courier New" w:hAnsi="Courier New"/>
          <w:sz w:val="15"/>
          <w:szCs w:val="15"/>
          <w:color w:val="auto"/>
        </w:rPr>
        <w:t>Superintendent of Banks of the State</w:t>
      </w:r>
      <w:r>
        <w:rPr>
          <w:sz w:val="20"/>
          <w:szCs w:val="20"/>
          <w:color w:val="auto"/>
        </w:rPr>
        <w:tab/>
      </w:r>
      <w:r>
        <w:rPr>
          <w:rFonts w:ascii="Courier New" w:cs="Courier New" w:eastAsia="Courier New" w:hAnsi="Courier New"/>
          <w:sz w:val="14"/>
          <w:szCs w:val="14"/>
          <w:color w:val="auto"/>
        </w:rPr>
        <w:t>2 Rector Street, New York, N.Y.</w:t>
      </w:r>
    </w:p>
    <w:p>
      <w:pPr>
        <w:ind w:left="540"/>
        <w:spacing w:after="0"/>
        <w:tabs>
          <w:tab w:leader="none" w:pos="4180" w:val="left"/>
        </w:tabs>
        <w:rPr>
          <w:sz w:val="20"/>
          <w:szCs w:val="20"/>
          <w:color w:val="auto"/>
        </w:rPr>
      </w:pPr>
      <w:r>
        <w:rPr>
          <w:rFonts w:ascii="Courier New" w:cs="Courier New" w:eastAsia="Courier New" w:hAnsi="Courier New"/>
          <w:sz w:val="15"/>
          <w:szCs w:val="15"/>
          <w:color w:val="auto"/>
        </w:rPr>
        <w:t>of New York</w:t>
      </w:r>
      <w:r>
        <w:rPr>
          <w:sz w:val="20"/>
          <w:szCs w:val="20"/>
          <w:color w:val="auto"/>
        </w:rPr>
        <w:tab/>
      </w:r>
      <w:r>
        <w:rPr>
          <w:rFonts w:ascii="Courier New" w:cs="Courier New" w:eastAsia="Courier New" w:hAnsi="Courier New"/>
          <w:sz w:val="14"/>
          <w:szCs w:val="14"/>
          <w:color w:val="auto"/>
        </w:rPr>
        <w:t>10006, and Albany, N.Y. 12203</w:t>
      </w:r>
    </w:p>
    <w:p>
      <w:pPr>
        <w:sectPr>
          <w:pgSz w:w="11900" w:h="16838" w:orient="portrait"/>
          <w:cols w:equalWidth="0" w:num="1">
            <w:col w:w="10239"/>
          </w:cols>
          <w:pgMar w:left="220" w:top="786" w:right="1440" w:bottom="1440" w:gutter="0" w:footer="0" w:header="0"/>
        </w:sectPr>
      </w:pPr>
    </w:p>
    <w:p>
      <w:pPr>
        <w:spacing w:after="0" w:line="173" w:lineRule="exact"/>
        <w:rPr>
          <w:sz w:val="20"/>
          <w:szCs w:val="20"/>
          <w:color w:val="auto"/>
        </w:rPr>
      </w:pPr>
    </w:p>
    <w:p>
      <w:pPr>
        <w:ind w:left="540"/>
        <w:spacing w:after="0"/>
        <w:rPr>
          <w:sz w:val="20"/>
          <w:szCs w:val="20"/>
          <w:color w:val="auto"/>
        </w:rPr>
      </w:pPr>
      <w:r>
        <w:rPr>
          <w:rFonts w:ascii="Courier New" w:cs="Courier New" w:eastAsia="Courier New" w:hAnsi="Courier New"/>
          <w:sz w:val="14"/>
          <w:szCs w:val="14"/>
          <w:color w:val="auto"/>
        </w:rPr>
        <w:t>Federal Reserve Bank of New York</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33 Liberty Plaza, New York, N.Y.</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10045</w:t>
      </w:r>
    </w:p>
    <w:p>
      <w:pPr>
        <w:spacing w:after="0" w:line="173" w:lineRule="exact"/>
        <w:rPr>
          <w:sz w:val="20"/>
          <w:szCs w:val="20"/>
          <w:color w:val="auto"/>
        </w:rPr>
      </w:pPr>
    </w:p>
    <w:p>
      <w:pPr>
        <w:sectPr>
          <w:pgSz w:w="11900" w:h="16838" w:orient="portrait"/>
          <w:cols w:equalWidth="0" w:num="2">
            <w:col w:w="3480" w:space="720"/>
            <w:col w:w="6039"/>
          </w:cols>
          <w:pgMar w:left="220" w:top="786" w:right="1440" w:bottom="1440" w:gutter="0" w:footer="0" w:header="0"/>
          <w:type w:val="continuous"/>
        </w:sectPr>
      </w:pPr>
    </w:p>
    <w:p>
      <w:pPr>
        <w:ind w:left="540"/>
        <w:spacing w:after="0"/>
        <w:rPr>
          <w:sz w:val="20"/>
          <w:szCs w:val="20"/>
          <w:color w:val="auto"/>
        </w:rPr>
      </w:pPr>
      <w:r>
        <w:rPr>
          <w:rFonts w:ascii="Courier New" w:cs="Courier New" w:eastAsia="Courier New" w:hAnsi="Courier New"/>
          <w:sz w:val="14"/>
          <w:szCs w:val="14"/>
          <w:color w:val="auto"/>
        </w:rPr>
        <w:t>Federal Deposit Insurance Corporation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Washington, D.C. 20429</w:t>
      </w:r>
    </w:p>
    <w:p>
      <w:pPr>
        <w:spacing w:after="0" w:line="178" w:lineRule="exact"/>
        <w:rPr>
          <w:sz w:val="20"/>
          <w:szCs w:val="20"/>
          <w:color w:val="auto"/>
        </w:rPr>
      </w:pPr>
    </w:p>
    <w:p>
      <w:pPr>
        <w:sectPr>
          <w:pgSz w:w="11900" w:h="16838" w:orient="portrait"/>
          <w:cols w:equalWidth="0" w:num="2">
            <w:col w:w="3780" w:space="420"/>
            <w:col w:w="6039"/>
          </w:cols>
          <w:pgMar w:left="220" w:top="786" w:right="1440" w:bottom="1440" w:gutter="0" w:footer="0" w:header="0"/>
          <w:type w:val="continuous"/>
        </w:sectPr>
      </w:pPr>
    </w:p>
    <w:p>
      <w:pPr>
        <w:ind w:left="540"/>
        <w:spacing w:after="0"/>
        <w:rPr>
          <w:sz w:val="20"/>
          <w:szCs w:val="20"/>
          <w:color w:val="auto"/>
        </w:rPr>
      </w:pPr>
      <w:r>
        <w:rPr>
          <w:rFonts w:ascii="Courier New" w:cs="Courier New" w:eastAsia="Courier New" w:hAnsi="Courier New"/>
          <w:sz w:val="14"/>
          <w:szCs w:val="14"/>
          <w:color w:val="auto"/>
        </w:rPr>
        <w:t>New York Clearing House Association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New York, New York 10005</w:t>
      </w:r>
    </w:p>
    <w:p>
      <w:pPr>
        <w:spacing w:after="0" w:line="171" w:lineRule="exact"/>
        <w:rPr>
          <w:sz w:val="20"/>
          <w:szCs w:val="20"/>
          <w:color w:val="auto"/>
        </w:rPr>
      </w:pPr>
    </w:p>
    <w:p>
      <w:pPr>
        <w:sectPr>
          <w:pgSz w:w="11900" w:h="16838" w:orient="portrait"/>
          <w:cols w:equalWidth="0" w:num="2">
            <w:col w:w="3600" w:space="600"/>
            <w:col w:w="6039"/>
          </w:cols>
          <w:pgMar w:left="220" w:top="786" w:right="1440" w:bottom="1440" w:gutter="0" w:footer="0" w:header="0"/>
          <w:type w:val="continuous"/>
        </w:sectPr>
      </w:pPr>
    </w:p>
    <w:p>
      <w:pPr>
        <w:ind w:left="880" w:hanging="433"/>
        <w:spacing w:after="0"/>
        <w:tabs>
          <w:tab w:leader="none" w:pos="880" w:val="left"/>
        </w:tabs>
        <w:numPr>
          <w:ilvl w:val="1"/>
          <w:numId w:val="1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Whether it is authorized to exercise corporate trust powers.</w:t>
      </w:r>
    </w:p>
    <w:p>
      <w:pPr>
        <w:spacing w:after="0" w:line="166" w:lineRule="exact"/>
        <w:rPr>
          <w:rFonts w:ascii="Courier New" w:cs="Courier New" w:eastAsia="Courier New" w:hAnsi="Courier New"/>
          <w:sz w:val="15"/>
          <w:szCs w:val="15"/>
          <w:color w:val="auto"/>
        </w:rPr>
      </w:pPr>
    </w:p>
    <w:p>
      <w:pPr>
        <w:ind w:left="4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Yes.</w:t>
      </w:r>
    </w:p>
    <w:p>
      <w:pPr>
        <w:spacing w:after="0" w:line="166" w:lineRule="exact"/>
        <w:rPr>
          <w:rFonts w:ascii="Courier New" w:cs="Courier New" w:eastAsia="Courier New" w:hAnsi="Courier New"/>
          <w:sz w:val="15"/>
          <w:szCs w:val="15"/>
          <w:color w:val="auto"/>
        </w:rPr>
      </w:pPr>
    </w:p>
    <w:p>
      <w:pPr>
        <w:ind w:left="440" w:hanging="430"/>
        <w:spacing w:after="0"/>
        <w:tabs>
          <w:tab w:leader="none" w:pos="440" w:val="left"/>
        </w:tabs>
        <w:numPr>
          <w:ilvl w:val="0"/>
          <w:numId w:val="1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Affiliations with Obligor.</w:t>
      </w:r>
    </w:p>
    <w:p>
      <w:pPr>
        <w:spacing w:after="0" w:line="172" w:lineRule="exact"/>
        <w:rPr>
          <w:rFonts w:ascii="Courier New" w:cs="Courier New" w:eastAsia="Courier New" w:hAnsi="Courier New"/>
          <w:sz w:val="15"/>
          <w:szCs w:val="15"/>
          <w:color w:val="auto"/>
        </w:rPr>
      </w:pPr>
    </w:p>
    <w:p>
      <w:pPr>
        <w:ind w:left="440" w:right="4099"/>
        <w:spacing w:after="0" w:line="23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If the obligor is an affiliate of the trustee, describe each such affiliation.</w:t>
      </w:r>
    </w:p>
    <w:p>
      <w:pPr>
        <w:spacing w:after="0" w:line="166" w:lineRule="exact"/>
        <w:rPr>
          <w:rFonts w:ascii="Courier New" w:cs="Courier New" w:eastAsia="Courier New" w:hAnsi="Courier New"/>
          <w:sz w:val="15"/>
          <w:szCs w:val="15"/>
          <w:color w:val="auto"/>
        </w:rPr>
      </w:pPr>
    </w:p>
    <w:p>
      <w:pPr>
        <w:ind w:left="4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None.</w:t>
      </w:r>
    </w:p>
    <w:p>
      <w:pPr>
        <w:spacing w:after="0" w:line="166" w:lineRule="exact"/>
        <w:rPr>
          <w:sz w:val="20"/>
          <w:szCs w:val="20"/>
          <w:color w:val="auto"/>
        </w:rPr>
      </w:pPr>
    </w:p>
    <w:p>
      <w:pPr>
        <w:ind w:left="440" w:hanging="430"/>
        <w:spacing w:after="0"/>
        <w:tabs>
          <w:tab w:leader="none" w:pos="440" w:val="left"/>
        </w:tabs>
        <w:numPr>
          <w:ilvl w:val="0"/>
          <w:numId w:val="1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List of Exhibits.</w:t>
      </w:r>
    </w:p>
    <w:p>
      <w:pPr>
        <w:spacing w:after="0" w:line="172" w:lineRule="exact"/>
        <w:rPr>
          <w:rFonts w:ascii="Courier New" w:cs="Courier New" w:eastAsia="Courier New" w:hAnsi="Courier New"/>
          <w:sz w:val="15"/>
          <w:szCs w:val="15"/>
          <w:color w:val="auto"/>
        </w:rPr>
      </w:pPr>
    </w:p>
    <w:p>
      <w:pPr>
        <w:ind w:left="440" w:right="3319"/>
        <w:spacing w:after="0" w:line="254"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Exhibits identified in parentheses below, on file with the Commission, are incorporated herein by reference as an exhibit hereto, pursuant to Rule 7a-29 under the Trust Indenture Act of 1939 (the "Act") and 17 C.F.R.</w:t>
      </w:r>
    </w:p>
    <w:p>
      <w:pPr>
        <w:ind w:left="44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229.10(d).</w:t>
      </w:r>
    </w:p>
    <w:p>
      <w:pPr>
        <w:spacing w:after="0" w:line="173" w:lineRule="exact"/>
        <w:rPr>
          <w:rFonts w:ascii="Courier New" w:cs="Courier New" w:eastAsia="Courier New" w:hAnsi="Courier New"/>
          <w:sz w:val="15"/>
          <w:szCs w:val="15"/>
          <w:color w:val="auto"/>
        </w:rPr>
      </w:pPr>
    </w:p>
    <w:p>
      <w:pPr>
        <w:ind w:left="880" w:right="3319" w:hanging="433"/>
        <w:spacing w:after="0" w:line="255" w:lineRule="auto"/>
        <w:tabs>
          <w:tab w:leader="none" w:pos="880" w:val="left"/>
        </w:tabs>
        <w:numPr>
          <w:ilvl w:val="1"/>
          <w:numId w:val="1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copy of the Organization Certificate of The Bank of New York (formerly Irving Trust Company) as now in effect, which contains the authority to commence business and a grant of powers to exercise corporate trust powers. (Exhibit 1 to Amendment No. 1 to Form T-1 filed with Registration Statement No. 33-6215, Exhibits 1a and 1b to Form T-1 filed with Registration Statement No. 33-21672 and Exhibit 1 to Form T-1 filed with Registration Statement No. 33-29637.)</w:t>
      </w:r>
    </w:p>
    <w:p>
      <w:pPr>
        <w:spacing w:after="0" w:line="166" w:lineRule="exact"/>
        <w:rPr>
          <w:sz w:val="20"/>
          <w:szCs w:val="20"/>
          <w:color w:val="auto"/>
        </w:rPr>
      </w:pPr>
    </w:p>
    <w:p>
      <w:pPr>
        <w:ind w:left="880" w:right="3319" w:hanging="433"/>
        <w:spacing w:after="0" w:line="234" w:lineRule="auto"/>
        <w:tabs>
          <w:tab w:leader="none" w:pos="880" w:val="left"/>
        </w:tabs>
        <w:numPr>
          <w:ilvl w:val="0"/>
          <w:numId w:val="1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copy of the existing By-laws of the Trustee. (Exhibit 4 to Form T-1 filed with Registration Statement No. 33-31019.)</w:t>
      </w:r>
    </w:p>
    <w:p>
      <w:pPr>
        <w:spacing w:after="0" w:line="173" w:lineRule="exact"/>
        <w:rPr>
          <w:sz w:val="20"/>
          <w:szCs w:val="20"/>
          <w:color w:val="auto"/>
        </w:rPr>
      </w:pPr>
    </w:p>
    <w:p>
      <w:pPr>
        <w:ind w:left="880" w:right="3679" w:hanging="433"/>
        <w:spacing w:after="0" w:line="254" w:lineRule="auto"/>
        <w:tabs>
          <w:tab w:leader="none" w:pos="880" w:val="left"/>
        </w:tabs>
        <w:numPr>
          <w:ilvl w:val="0"/>
          <w:numId w:val="1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consent of the Trustee required by Section 321(b) of the Act. (Exhibit 6 to Form T-1 filed with Registration Statement No.</w:t>
      </w:r>
    </w:p>
    <w:p>
      <w:pPr>
        <w:ind w:left="88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33-44051.)</w:t>
      </w:r>
    </w:p>
    <w:p>
      <w:pPr>
        <w:spacing w:after="0" w:line="173" w:lineRule="exact"/>
        <w:rPr>
          <w:rFonts w:ascii="Courier New" w:cs="Courier New" w:eastAsia="Courier New" w:hAnsi="Courier New"/>
          <w:sz w:val="14"/>
          <w:szCs w:val="14"/>
          <w:color w:val="auto"/>
        </w:rPr>
      </w:pPr>
    </w:p>
    <w:p>
      <w:pPr>
        <w:ind w:left="880" w:right="3679" w:hanging="433"/>
        <w:spacing w:after="0" w:line="235" w:lineRule="auto"/>
        <w:tabs>
          <w:tab w:leader="none" w:pos="880" w:val="left"/>
        </w:tabs>
        <w:numPr>
          <w:ilvl w:val="0"/>
          <w:numId w:val="1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copy of the latest report of condition of the Trustee published pursuant to law or to the requirements of its supervising or examining authority.</w:t>
      </w:r>
    </w:p>
    <w:p>
      <w:pPr>
        <w:spacing w:after="0" w:line="335" w:lineRule="exact"/>
        <w:rPr>
          <w:rFonts w:ascii="Courier New" w:cs="Courier New" w:eastAsia="Courier New" w:hAnsi="Courier New"/>
          <w:sz w:val="15"/>
          <w:szCs w:val="15"/>
          <w:color w:val="auto"/>
        </w:rPr>
      </w:pPr>
    </w:p>
    <w:p>
      <w:pPr>
        <w:ind w:left="3420" w:hanging="174"/>
        <w:spacing w:after="0"/>
        <w:tabs>
          <w:tab w:leader="none" w:pos="3420" w:val="left"/>
        </w:tabs>
        <w:numPr>
          <w:ilvl w:val="1"/>
          <w:numId w:val="1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3 -</w:t>
      </w:r>
    </w:p>
    <w:p>
      <w:pPr>
        <w:sectPr>
          <w:pgSz w:w="11900" w:h="16838" w:orient="portrait"/>
          <w:cols w:equalWidth="0" w:num="1">
            <w:col w:w="10239"/>
          </w:cols>
          <w:pgMar w:left="220" w:top="786" w:right="1440" w:bottom="1440" w:gutter="0" w:footer="0" w:header="0"/>
          <w:type w:val="continuous"/>
        </w:sectPr>
      </w:pPr>
    </w:p>
    <w:bookmarkStart w:id="290" w:name="page291"/>
    <w:bookmarkEnd w:id="290"/>
    <w:p>
      <w:pPr>
        <w:ind w:left="3080"/>
        <w:spacing w:after="0"/>
        <w:rPr>
          <w:sz w:val="20"/>
          <w:szCs w:val="20"/>
          <w:color w:val="auto"/>
        </w:rPr>
      </w:pPr>
      <w:r>
        <w:rPr>
          <w:rFonts w:ascii="Courier New" w:cs="Courier New" w:eastAsia="Courier New" w:hAnsi="Courier New"/>
          <w:sz w:val="15"/>
          <w:szCs w:val="15"/>
          <w:color w:val="auto"/>
        </w:rPr>
        <w:t>SIGNATURE</w:t>
      </w:r>
    </w:p>
    <w:p>
      <w:pPr>
        <w:spacing w:after="0" w:line="341"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Pursuant to the requirements of the Act, the Trustee, The Bank of New York, a corporation organized and existing under the laws of the State of New York, has duly caused this statement of eligibility to be signed on its behalf by the undersigned, thereunto duly authorized, all in The City of New York, and State of New York, on the 9th day of December, 2002.</w:t>
      </w:r>
    </w:p>
    <w:p>
      <w:pPr>
        <w:spacing w:after="0" w:line="335" w:lineRule="exact"/>
        <w:rPr>
          <w:sz w:val="20"/>
          <w:szCs w:val="20"/>
          <w:color w:val="auto"/>
        </w:rPr>
      </w:pPr>
    </w:p>
    <w:p>
      <w:pPr>
        <w:jc w:val="center"/>
        <w:ind w:right="-260"/>
        <w:spacing w:after="0"/>
        <w:rPr>
          <w:sz w:val="20"/>
          <w:szCs w:val="20"/>
          <w:color w:val="auto"/>
        </w:rPr>
      </w:pPr>
      <w:r>
        <w:rPr>
          <w:rFonts w:ascii="Courier New" w:cs="Courier New" w:eastAsia="Courier New" w:hAnsi="Courier New"/>
          <w:sz w:val="15"/>
          <w:szCs w:val="15"/>
          <w:color w:val="auto"/>
        </w:rPr>
        <w:t>THE BANK OF NEW YORK</w:t>
      </w:r>
    </w:p>
    <w:p>
      <w:pPr>
        <w:spacing w:after="0" w:line="335" w:lineRule="exact"/>
        <w:rPr>
          <w:sz w:val="20"/>
          <w:szCs w:val="20"/>
          <w:color w:val="auto"/>
        </w:rPr>
      </w:pPr>
    </w:p>
    <w:p>
      <w:pPr>
        <w:jc w:val="center"/>
        <w:ind w:right="339"/>
        <w:spacing w:after="0"/>
        <w:tabs>
          <w:tab w:leader="none" w:pos="160" w:val="left"/>
          <w:tab w:leader="none" w:pos="160" w:val="left"/>
        </w:tabs>
        <w:rPr>
          <w:sz w:val="20"/>
          <w:szCs w:val="20"/>
          <w:color w:val="auto"/>
        </w:rPr>
      </w:pPr>
      <w:r>
        <w:rPr>
          <w:rFonts w:ascii="Courier New" w:cs="Courier New" w:eastAsia="Courier New" w:hAnsi="Courier New"/>
          <w:sz w:val="15"/>
          <w:szCs w:val="15"/>
          <w:color w:val="auto"/>
        </w:rPr>
        <w:t>By:</w:t>
        <w:tab/>
        <w:t>/s/</w:t>
      </w:r>
      <w:r>
        <w:rPr>
          <w:sz w:val="20"/>
          <w:szCs w:val="20"/>
          <w:color w:val="auto"/>
        </w:rPr>
        <w:tab/>
      </w:r>
      <w:r>
        <w:rPr>
          <w:rFonts w:ascii="Courier New" w:cs="Courier New" w:eastAsia="Courier New" w:hAnsi="Courier New"/>
          <w:sz w:val="14"/>
          <w:szCs w:val="14"/>
          <w:color w:val="auto"/>
        </w:rPr>
        <w:t>MARY LAGUMINA</w:t>
      </w:r>
    </w:p>
    <w:p>
      <w:pPr>
        <w:spacing w:after="0" w:line="5" w:lineRule="exact"/>
        <w:rPr>
          <w:sz w:val="20"/>
          <w:szCs w:val="20"/>
          <w:color w:val="auto"/>
        </w:rPr>
      </w:pPr>
    </w:p>
    <w:p>
      <w:pPr>
        <w:ind w:left="420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3940"/>
        <w:spacing w:after="0"/>
        <w:tabs>
          <w:tab w:leader="none" w:pos="4540" w:val="left"/>
        </w:tabs>
        <w:rPr>
          <w:sz w:val="20"/>
          <w:szCs w:val="20"/>
          <w:color w:val="auto"/>
        </w:rPr>
      </w:pPr>
      <w:r>
        <w:rPr>
          <w:rFonts w:ascii="Courier New" w:cs="Courier New" w:eastAsia="Courier New" w:hAnsi="Courier New"/>
          <w:sz w:val="15"/>
          <w:szCs w:val="15"/>
          <w:color w:val="auto"/>
        </w:rPr>
        <w:t>Name:</w:t>
        <w:tab/>
        <w:t>MARY LAGUMINA</w:t>
      </w:r>
    </w:p>
    <w:p>
      <w:pPr>
        <w:ind w:left="3940"/>
        <w:spacing w:after="0" w:line="237" w:lineRule="auto"/>
        <w:rPr>
          <w:sz w:val="20"/>
          <w:szCs w:val="20"/>
          <w:color w:val="auto"/>
        </w:rPr>
      </w:pPr>
      <w:r>
        <w:rPr>
          <w:rFonts w:ascii="Courier New" w:cs="Courier New" w:eastAsia="Courier New" w:hAnsi="Courier New"/>
          <w:sz w:val="15"/>
          <w:szCs w:val="15"/>
          <w:color w:val="auto"/>
        </w:rPr>
        <w:t>Title: VICE PRESIDENT</w:t>
      </w:r>
    </w:p>
    <w:p>
      <w:pPr>
        <w:spacing w:after="0" w:line="200" w:lineRule="exact"/>
        <w:rPr>
          <w:sz w:val="20"/>
          <w:szCs w:val="20"/>
          <w:color w:val="auto"/>
        </w:rPr>
      </w:pPr>
    </w:p>
    <w:p>
      <w:pPr>
        <w:spacing w:after="0" w:line="303"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- 4 -</w:t>
      </w:r>
    </w:p>
    <w:p>
      <w:pPr>
        <w:sectPr>
          <w:pgSz w:w="11900" w:h="16838" w:orient="portrait"/>
          <w:cols w:equalWidth="0" w:num="1">
            <w:col w:w="10239"/>
          </w:cols>
          <w:pgMar w:left="220" w:top="786" w:right="1440" w:bottom="1440" w:gutter="0" w:footer="0" w:header="0"/>
        </w:sectPr>
      </w:pPr>
    </w:p>
    <w:bookmarkStart w:id="291" w:name="page292"/>
    <w:bookmarkEnd w:id="291"/>
    <w:p>
      <w:pPr>
        <w:ind w:left="5960"/>
        <w:spacing w:after="0"/>
        <w:rPr>
          <w:sz w:val="20"/>
          <w:szCs w:val="20"/>
          <w:color w:val="auto"/>
        </w:rPr>
      </w:pPr>
      <w:r>
        <w:rPr>
          <w:rFonts w:ascii="Courier New" w:cs="Courier New" w:eastAsia="Courier New" w:hAnsi="Courier New"/>
          <w:sz w:val="14"/>
          <w:szCs w:val="14"/>
          <w:color w:val="auto"/>
        </w:rPr>
        <w:t>EXHIBIT 25.2</w:t>
      </w:r>
    </w:p>
    <w:p>
      <w:pPr>
        <w:spacing w:after="0" w:line="178"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4"/>
          <w:szCs w:val="14"/>
          <w:color w:val="auto"/>
        </w:rPr>
        <w:t>===============================================================================</w:t>
      </w:r>
    </w:p>
    <w:p>
      <w:pPr>
        <w:spacing w:after="0" w:line="171"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FORM T-1</w:t>
      </w:r>
    </w:p>
    <w:p>
      <w:pPr>
        <w:spacing w:after="0" w:line="166"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SECURITIES AND EXCHANGE COMMISSION</w:t>
      </w:r>
    </w:p>
    <w:p>
      <w:pPr>
        <w:jc w:val="center"/>
        <w:ind w:right="3239"/>
        <w:spacing w:after="0" w:line="237" w:lineRule="auto"/>
        <w:rPr>
          <w:sz w:val="20"/>
          <w:szCs w:val="20"/>
          <w:color w:val="auto"/>
        </w:rPr>
      </w:pPr>
      <w:r>
        <w:rPr>
          <w:rFonts w:ascii="Courier New" w:cs="Courier New" w:eastAsia="Courier New" w:hAnsi="Courier New"/>
          <w:sz w:val="15"/>
          <w:szCs w:val="15"/>
          <w:color w:val="auto"/>
        </w:rPr>
        <w:t>Washington, D.C. 20549</w:t>
      </w:r>
    </w:p>
    <w:p>
      <w:pPr>
        <w:spacing w:after="0" w:line="167"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STATEMENT OF ELIGIBILITY</w:t>
      </w:r>
    </w:p>
    <w:p>
      <w:pPr>
        <w:jc w:val="center"/>
        <w:ind w:right="3239"/>
        <w:spacing w:after="0" w:line="237" w:lineRule="auto"/>
        <w:rPr>
          <w:sz w:val="20"/>
          <w:szCs w:val="20"/>
          <w:color w:val="auto"/>
        </w:rPr>
      </w:pPr>
      <w:r>
        <w:rPr>
          <w:rFonts w:ascii="Courier New" w:cs="Courier New" w:eastAsia="Courier New" w:hAnsi="Courier New"/>
          <w:sz w:val="15"/>
          <w:szCs w:val="15"/>
          <w:color w:val="auto"/>
        </w:rPr>
        <w:t>UNDER THE TRUST INDENTURE ACT OF 1939 OF A</w:t>
      </w:r>
    </w:p>
    <w:p>
      <w:pPr>
        <w:jc w:val="center"/>
        <w:ind w:right="3239"/>
        <w:spacing w:after="0" w:line="238" w:lineRule="auto"/>
        <w:rPr>
          <w:sz w:val="20"/>
          <w:szCs w:val="20"/>
          <w:color w:val="auto"/>
        </w:rPr>
      </w:pPr>
      <w:r>
        <w:rPr>
          <w:rFonts w:ascii="Courier New" w:cs="Courier New" w:eastAsia="Courier New" w:hAnsi="Courier New"/>
          <w:sz w:val="15"/>
          <w:szCs w:val="15"/>
          <w:color w:val="auto"/>
        </w:rPr>
        <w:t>CORPORATION DESIGNATED TO ACT AS TRUSTEE</w:t>
      </w:r>
    </w:p>
    <w:p>
      <w:pPr>
        <w:spacing w:after="0" w:line="167"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CHECK IF AN APPLICATION TO DETERMINE</w:t>
      </w:r>
    </w:p>
    <w:p>
      <w:pPr>
        <w:ind w:left="1940"/>
        <w:spacing w:after="0" w:line="237" w:lineRule="auto"/>
        <w:rPr>
          <w:sz w:val="20"/>
          <w:szCs w:val="20"/>
          <w:color w:val="auto"/>
        </w:rPr>
      </w:pPr>
      <w:r>
        <w:rPr>
          <w:rFonts w:ascii="Courier New" w:cs="Courier New" w:eastAsia="Courier New" w:hAnsi="Courier New"/>
          <w:sz w:val="15"/>
          <w:szCs w:val="15"/>
          <w:color w:val="auto"/>
        </w:rPr>
        <w:t>ELIGIBILITY OF A TRUSTEE PURSUANT TO</w:t>
      </w:r>
    </w:p>
    <w:p>
      <w:pPr>
        <w:ind w:left="2540"/>
        <w:spacing w:after="0" w:line="238" w:lineRule="auto"/>
        <w:rPr>
          <w:sz w:val="20"/>
          <w:szCs w:val="20"/>
          <w:color w:val="auto"/>
        </w:rPr>
      </w:pPr>
      <w:r>
        <w:rPr>
          <w:rFonts w:ascii="Courier New" w:cs="Courier New" w:eastAsia="Courier New" w:hAnsi="Courier New"/>
          <w:sz w:val="15"/>
          <w:szCs w:val="15"/>
          <w:color w:val="auto"/>
        </w:rPr>
        <w:t>SECTION 305(b)(2) [ ]</w:t>
      </w:r>
    </w:p>
    <w:p>
      <w:pPr>
        <w:spacing w:after="0" w:line="167"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w:t>
      </w:r>
    </w:p>
    <w:p>
      <w:pPr>
        <w:spacing w:after="0" w:line="166"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THE BANK OF NEW YORK</w:t>
      </w:r>
    </w:p>
    <w:p>
      <w:pPr>
        <w:jc w:val="center"/>
        <w:ind w:right="3319"/>
        <w:spacing w:after="0" w:line="237" w:lineRule="auto"/>
        <w:rPr>
          <w:sz w:val="20"/>
          <w:szCs w:val="20"/>
          <w:color w:val="auto"/>
        </w:rPr>
      </w:pPr>
      <w:r>
        <w:rPr>
          <w:rFonts w:ascii="Courier New" w:cs="Courier New" w:eastAsia="Courier New" w:hAnsi="Courier New"/>
          <w:sz w:val="15"/>
          <w:szCs w:val="15"/>
          <w:color w:val="auto"/>
        </w:rPr>
        <w:t>(Exact name of trustee as specified in its charter)</w:t>
      </w:r>
    </w:p>
    <w:p>
      <w:pPr>
        <w:spacing w:after="0" w:line="167" w:lineRule="exact"/>
        <w:rPr>
          <w:sz w:val="20"/>
          <w:szCs w:val="20"/>
          <w:color w:val="auto"/>
        </w:rPr>
      </w:pPr>
    </w:p>
    <w:p>
      <w:pPr>
        <w:spacing w:after="0"/>
        <w:tabs>
          <w:tab w:leader="none" w:pos="4360" w:val="left"/>
        </w:tabs>
        <w:rPr>
          <w:sz w:val="20"/>
          <w:szCs w:val="20"/>
          <w:color w:val="auto"/>
        </w:rPr>
      </w:pPr>
      <w:r>
        <w:rPr>
          <w:rFonts w:ascii="Courier New" w:cs="Courier New" w:eastAsia="Courier New" w:hAnsi="Courier New"/>
          <w:sz w:val="15"/>
          <w:szCs w:val="15"/>
          <w:color w:val="auto"/>
        </w:rPr>
        <w:t>New York</w:t>
      </w:r>
      <w:r>
        <w:rPr>
          <w:sz w:val="20"/>
          <w:szCs w:val="20"/>
          <w:color w:val="auto"/>
        </w:rPr>
        <w:tab/>
      </w:r>
      <w:r>
        <w:rPr>
          <w:rFonts w:ascii="Courier New" w:cs="Courier New" w:eastAsia="Courier New" w:hAnsi="Courier New"/>
          <w:sz w:val="14"/>
          <w:szCs w:val="14"/>
          <w:color w:val="auto"/>
        </w:rPr>
        <w:t>13-5160382</w:t>
      </w:r>
    </w:p>
    <w:p>
      <w:pPr>
        <w:spacing w:after="0"/>
        <w:tabs>
          <w:tab w:leader="none" w:pos="4360" w:val="left"/>
        </w:tabs>
        <w:rPr>
          <w:sz w:val="20"/>
          <w:szCs w:val="20"/>
          <w:color w:val="auto"/>
        </w:rPr>
      </w:pPr>
      <w:r>
        <w:rPr>
          <w:rFonts w:ascii="Courier New" w:cs="Courier New" w:eastAsia="Courier New" w:hAnsi="Courier New"/>
          <w:sz w:val="15"/>
          <w:szCs w:val="15"/>
          <w:color w:val="auto"/>
        </w:rPr>
        <w:t>(State of incorporation</w:t>
      </w:r>
      <w:r>
        <w:rPr>
          <w:sz w:val="20"/>
          <w:szCs w:val="20"/>
          <w:color w:val="auto"/>
        </w:rPr>
        <w:tab/>
      </w:r>
      <w:r>
        <w:rPr>
          <w:rFonts w:ascii="Courier New" w:cs="Courier New" w:eastAsia="Courier New" w:hAnsi="Courier New"/>
          <w:sz w:val="14"/>
          <w:szCs w:val="14"/>
          <w:color w:val="auto"/>
        </w:rPr>
        <w:t>(I.R.S. employer</w:t>
      </w:r>
    </w:p>
    <w:p>
      <w:pPr>
        <w:spacing w:after="0"/>
        <w:tabs>
          <w:tab w:leader="none" w:pos="4360" w:val="left"/>
        </w:tabs>
        <w:rPr>
          <w:sz w:val="20"/>
          <w:szCs w:val="20"/>
          <w:color w:val="auto"/>
        </w:rPr>
      </w:pPr>
      <w:r>
        <w:rPr>
          <w:rFonts w:ascii="Courier New" w:cs="Courier New" w:eastAsia="Courier New" w:hAnsi="Courier New"/>
          <w:sz w:val="15"/>
          <w:szCs w:val="15"/>
          <w:color w:val="auto"/>
        </w:rPr>
        <w:t>if not a U.S. national bank)</w:t>
      </w:r>
      <w:r>
        <w:rPr>
          <w:sz w:val="20"/>
          <w:szCs w:val="20"/>
          <w:color w:val="auto"/>
        </w:rPr>
        <w:tab/>
      </w:r>
      <w:r>
        <w:rPr>
          <w:rFonts w:ascii="Courier New" w:cs="Courier New" w:eastAsia="Courier New" w:hAnsi="Courier New"/>
          <w:sz w:val="14"/>
          <w:szCs w:val="14"/>
          <w:color w:val="auto"/>
        </w:rPr>
        <w:t>identification no.)</w:t>
      </w:r>
    </w:p>
    <w:p>
      <w:pPr>
        <w:spacing w:after="0" w:line="167" w:lineRule="exact"/>
        <w:rPr>
          <w:sz w:val="20"/>
          <w:szCs w:val="20"/>
          <w:color w:val="auto"/>
        </w:rPr>
      </w:pPr>
    </w:p>
    <w:p>
      <w:pPr>
        <w:spacing w:after="0"/>
        <w:tabs>
          <w:tab w:leader="none" w:pos="4360" w:val="left"/>
        </w:tabs>
        <w:rPr>
          <w:sz w:val="20"/>
          <w:szCs w:val="20"/>
          <w:color w:val="auto"/>
        </w:rPr>
      </w:pPr>
      <w:r>
        <w:rPr>
          <w:rFonts w:ascii="Courier New" w:cs="Courier New" w:eastAsia="Courier New" w:hAnsi="Courier New"/>
          <w:sz w:val="15"/>
          <w:szCs w:val="15"/>
          <w:color w:val="auto"/>
        </w:rPr>
        <w:t>One Wall Street, New York, N.Y.</w:t>
      </w:r>
      <w:r>
        <w:rPr>
          <w:sz w:val="20"/>
          <w:szCs w:val="20"/>
          <w:color w:val="auto"/>
        </w:rPr>
        <w:tab/>
      </w:r>
      <w:r>
        <w:rPr>
          <w:rFonts w:ascii="Courier New" w:cs="Courier New" w:eastAsia="Courier New" w:hAnsi="Courier New"/>
          <w:sz w:val="14"/>
          <w:szCs w:val="14"/>
          <w:color w:val="auto"/>
        </w:rPr>
        <w:t>10286</w:t>
      </w:r>
    </w:p>
    <w:p>
      <w:pPr>
        <w:spacing w:after="0"/>
        <w:tabs>
          <w:tab w:leader="none" w:pos="4360" w:val="left"/>
        </w:tabs>
        <w:rPr>
          <w:sz w:val="20"/>
          <w:szCs w:val="20"/>
          <w:color w:val="auto"/>
        </w:rPr>
      </w:pPr>
      <w:r>
        <w:rPr>
          <w:rFonts w:ascii="Courier New" w:cs="Courier New" w:eastAsia="Courier New" w:hAnsi="Courier New"/>
          <w:sz w:val="15"/>
          <w:szCs w:val="15"/>
          <w:color w:val="auto"/>
        </w:rPr>
        <w:t>(Address of principal executive offices)</w:t>
      </w:r>
      <w:r>
        <w:rPr>
          <w:sz w:val="20"/>
          <w:szCs w:val="20"/>
          <w:color w:val="auto"/>
        </w:rPr>
        <w:tab/>
      </w:r>
      <w:r>
        <w:rPr>
          <w:rFonts w:ascii="Courier New" w:cs="Courier New" w:eastAsia="Courier New" w:hAnsi="Courier New"/>
          <w:sz w:val="14"/>
          <w:szCs w:val="14"/>
          <w:color w:val="auto"/>
        </w:rPr>
        <w:t>(Zip code)</w:t>
      </w:r>
    </w:p>
    <w:p>
      <w:pPr>
        <w:spacing w:after="0" w:line="167"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w:t>
      </w:r>
    </w:p>
    <w:p>
      <w:pPr>
        <w:spacing w:after="0" w:line="166"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COMCAST CORPORATION</w:t>
      </w:r>
    </w:p>
    <w:p>
      <w:pPr>
        <w:jc w:val="center"/>
        <w:ind w:right="3319"/>
        <w:spacing w:after="0" w:line="237" w:lineRule="auto"/>
        <w:rPr>
          <w:sz w:val="20"/>
          <w:szCs w:val="20"/>
          <w:color w:val="auto"/>
        </w:rPr>
      </w:pPr>
      <w:r>
        <w:rPr>
          <w:rFonts w:ascii="Courier New" w:cs="Courier New" w:eastAsia="Courier New" w:hAnsi="Courier New"/>
          <w:sz w:val="15"/>
          <w:szCs w:val="15"/>
          <w:color w:val="auto"/>
        </w:rPr>
        <w:t>(formerly AT&amp;T Comcast Corporation)</w:t>
      </w:r>
    </w:p>
    <w:p>
      <w:pPr>
        <w:jc w:val="center"/>
        <w:ind w:right="3319"/>
        <w:spacing w:after="0" w:line="238" w:lineRule="auto"/>
        <w:rPr>
          <w:sz w:val="20"/>
          <w:szCs w:val="20"/>
          <w:color w:val="auto"/>
        </w:rPr>
      </w:pPr>
      <w:r>
        <w:rPr>
          <w:rFonts w:ascii="Courier New" w:cs="Courier New" w:eastAsia="Courier New" w:hAnsi="Courier New"/>
          <w:sz w:val="15"/>
          <w:szCs w:val="15"/>
          <w:color w:val="auto"/>
        </w:rPr>
        <w:t>(Exact name of obligor as specified in its charter)</w:t>
      </w:r>
    </w:p>
    <w:p>
      <w:pPr>
        <w:spacing w:after="0" w:line="167" w:lineRule="exact"/>
        <w:rPr>
          <w:sz w:val="20"/>
          <w:szCs w:val="20"/>
          <w:color w:val="auto"/>
        </w:rPr>
      </w:pPr>
    </w:p>
    <w:p>
      <w:pPr>
        <w:spacing w:after="0"/>
        <w:tabs>
          <w:tab w:leader="none" w:pos="4360" w:val="left"/>
        </w:tabs>
        <w:rPr>
          <w:sz w:val="20"/>
          <w:szCs w:val="20"/>
          <w:color w:val="auto"/>
        </w:rPr>
      </w:pPr>
      <w:r>
        <w:rPr>
          <w:rFonts w:ascii="Courier New" w:cs="Courier New" w:eastAsia="Courier New" w:hAnsi="Courier New"/>
          <w:sz w:val="15"/>
          <w:szCs w:val="15"/>
          <w:color w:val="auto"/>
        </w:rPr>
        <w:t>Pennsylvania</w:t>
      </w:r>
      <w:r>
        <w:rPr>
          <w:sz w:val="20"/>
          <w:szCs w:val="20"/>
          <w:color w:val="auto"/>
        </w:rPr>
        <w:tab/>
      </w:r>
      <w:r>
        <w:rPr>
          <w:rFonts w:ascii="Courier New" w:cs="Courier New" w:eastAsia="Courier New" w:hAnsi="Courier New"/>
          <w:sz w:val="15"/>
          <w:szCs w:val="15"/>
          <w:color w:val="auto"/>
        </w:rPr>
        <w:t>27-0000798</w:t>
      </w:r>
    </w:p>
    <w:p>
      <w:pPr>
        <w:spacing w:after="0"/>
        <w:tabs>
          <w:tab w:leader="none" w:pos="4360" w:val="left"/>
        </w:tabs>
        <w:rPr>
          <w:sz w:val="20"/>
          <w:szCs w:val="20"/>
          <w:color w:val="auto"/>
        </w:rPr>
      </w:pPr>
      <w:r>
        <w:rPr>
          <w:rFonts w:ascii="Courier New" w:cs="Courier New" w:eastAsia="Courier New" w:hAnsi="Courier New"/>
          <w:sz w:val="15"/>
          <w:szCs w:val="15"/>
          <w:color w:val="auto"/>
        </w:rPr>
        <w:t>(State or other jurisdiction of</w:t>
      </w:r>
      <w:r>
        <w:rPr>
          <w:sz w:val="20"/>
          <w:szCs w:val="20"/>
          <w:color w:val="auto"/>
        </w:rPr>
        <w:tab/>
      </w:r>
      <w:r>
        <w:rPr>
          <w:rFonts w:ascii="Courier New" w:cs="Courier New" w:eastAsia="Courier New" w:hAnsi="Courier New"/>
          <w:sz w:val="14"/>
          <w:szCs w:val="14"/>
          <w:color w:val="auto"/>
        </w:rPr>
        <w:t>(I.R.S. employer</w:t>
      </w:r>
    </w:p>
    <w:p>
      <w:pPr>
        <w:spacing w:after="0"/>
        <w:tabs>
          <w:tab w:leader="none" w:pos="4360" w:val="left"/>
        </w:tabs>
        <w:rPr>
          <w:sz w:val="20"/>
          <w:szCs w:val="20"/>
          <w:color w:val="auto"/>
        </w:rPr>
      </w:pPr>
      <w:r>
        <w:rPr>
          <w:rFonts w:ascii="Courier New" w:cs="Courier New" w:eastAsia="Courier New" w:hAnsi="Courier New"/>
          <w:sz w:val="15"/>
          <w:szCs w:val="15"/>
          <w:color w:val="auto"/>
        </w:rPr>
        <w:t>incorporation or organization)</w:t>
      </w:r>
      <w:r>
        <w:rPr>
          <w:sz w:val="20"/>
          <w:szCs w:val="20"/>
          <w:color w:val="auto"/>
        </w:rPr>
        <w:tab/>
      </w:r>
      <w:r>
        <w:rPr>
          <w:rFonts w:ascii="Courier New" w:cs="Courier New" w:eastAsia="Courier New" w:hAnsi="Courier New"/>
          <w:sz w:val="14"/>
          <w:szCs w:val="14"/>
          <w:color w:val="auto"/>
        </w:rPr>
        <w:t>identification no.)</w:t>
      </w:r>
    </w:p>
    <w:p>
      <w:pPr>
        <w:spacing w:after="0" w:line="167" w:lineRule="exact"/>
        <w:rPr>
          <w:sz w:val="20"/>
          <w:szCs w:val="20"/>
          <w:color w:val="auto"/>
        </w:rPr>
      </w:pPr>
    </w:p>
    <w:p>
      <w:pPr>
        <w:ind w:left="2020"/>
        <w:spacing w:after="0"/>
        <w:rPr>
          <w:sz w:val="20"/>
          <w:szCs w:val="20"/>
          <w:color w:val="auto"/>
        </w:rPr>
      </w:pPr>
      <w:r>
        <w:rPr>
          <w:rFonts w:ascii="Courier New" w:cs="Courier New" w:eastAsia="Courier New" w:hAnsi="Courier New"/>
          <w:sz w:val="15"/>
          <w:szCs w:val="15"/>
          <w:color w:val="auto"/>
        </w:rPr>
        <w:t>COMCAST CABLE COMMUNICATIONS, INC.</w:t>
      </w:r>
    </w:p>
    <w:p>
      <w:pPr>
        <w:ind w:left="1240"/>
        <w:spacing w:after="0" w:line="237" w:lineRule="auto"/>
        <w:rPr>
          <w:sz w:val="20"/>
          <w:szCs w:val="20"/>
          <w:color w:val="auto"/>
        </w:rPr>
      </w:pPr>
      <w:r>
        <w:rPr>
          <w:rFonts w:ascii="Courier New" w:cs="Courier New" w:eastAsia="Courier New" w:hAnsi="Courier New"/>
          <w:sz w:val="15"/>
          <w:szCs w:val="15"/>
          <w:color w:val="auto"/>
        </w:rPr>
        <w:t>(Exact name of obligor as specified in its charter)</w:t>
      </w:r>
    </w:p>
    <w:p>
      <w:pPr>
        <w:spacing w:after="0" w:line="167" w:lineRule="exact"/>
        <w:rPr>
          <w:sz w:val="20"/>
          <w:szCs w:val="20"/>
          <w:color w:val="auto"/>
        </w:rPr>
      </w:pPr>
    </w:p>
    <w:p>
      <w:pPr>
        <w:spacing w:after="0"/>
        <w:tabs>
          <w:tab w:leader="none" w:pos="4360" w:val="left"/>
        </w:tabs>
        <w:rPr>
          <w:sz w:val="20"/>
          <w:szCs w:val="20"/>
          <w:color w:val="auto"/>
        </w:rPr>
      </w:pPr>
      <w:r>
        <w:rPr>
          <w:rFonts w:ascii="Courier New" w:cs="Courier New" w:eastAsia="Courier New" w:hAnsi="Courier New"/>
          <w:sz w:val="15"/>
          <w:szCs w:val="15"/>
          <w:color w:val="auto"/>
        </w:rPr>
        <w:t>Delaware</w:t>
      </w:r>
      <w:r>
        <w:rPr>
          <w:sz w:val="20"/>
          <w:szCs w:val="20"/>
          <w:color w:val="auto"/>
        </w:rPr>
        <w:tab/>
      </w:r>
      <w:r>
        <w:rPr>
          <w:rFonts w:ascii="Courier New" w:cs="Courier New" w:eastAsia="Courier New" w:hAnsi="Courier New"/>
          <w:sz w:val="15"/>
          <w:szCs w:val="15"/>
          <w:color w:val="auto"/>
        </w:rPr>
        <w:t>23-2175755</w:t>
      </w:r>
    </w:p>
    <w:p>
      <w:pPr>
        <w:spacing w:after="0"/>
        <w:tabs>
          <w:tab w:leader="none" w:pos="4360" w:val="left"/>
        </w:tabs>
        <w:rPr>
          <w:sz w:val="20"/>
          <w:szCs w:val="20"/>
          <w:color w:val="auto"/>
        </w:rPr>
      </w:pPr>
      <w:r>
        <w:rPr>
          <w:rFonts w:ascii="Courier New" w:cs="Courier New" w:eastAsia="Courier New" w:hAnsi="Courier New"/>
          <w:sz w:val="15"/>
          <w:szCs w:val="15"/>
          <w:color w:val="auto"/>
        </w:rPr>
        <w:t>(State or other jurisdiction of</w:t>
      </w:r>
      <w:r>
        <w:rPr>
          <w:sz w:val="20"/>
          <w:szCs w:val="20"/>
          <w:color w:val="auto"/>
        </w:rPr>
        <w:tab/>
      </w:r>
      <w:r>
        <w:rPr>
          <w:rFonts w:ascii="Courier New" w:cs="Courier New" w:eastAsia="Courier New" w:hAnsi="Courier New"/>
          <w:sz w:val="14"/>
          <w:szCs w:val="14"/>
          <w:color w:val="auto"/>
        </w:rPr>
        <w:t>(I.R.S. employer</w:t>
      </w:r>
    </w:p>
    <w:p>
      <w:pPr>
        <w:spacing w:after="0"/>
        <w:tabs>
          <w:tab w:leader="none" w:pos="4360" w:val="left"/>
        </w:tabs>
        <w:rPr>
          <w:sz w:val="20"/>
          <w:szCs w:val="20"/>
          <w:color w:val="auto"/>
        </w:rPr>
      </w:pPr>
      <w:r>
        <w:rPr>
          <w:rFonts w:ascii="Courier New" w:cs="Courier New" w:eastAsia="Courier New" w:hAnsi="Courier New"/>
          <w:sz w:val="15"/>
          <w:szCs w:val="15"/>
          <w:color w:val="auto"/>
        </w:rPr>
        <w:t>incorporation or organization)</w:t>
      </w:r>
      <w:r>
        <w:rPr>
          <w:sz w:val="20"/>
          <w:szCs w:val="20"/>
          <w:color w:val="auto"/>
        </w:rPr>
        <w:tab/>
      </w:r>
      <w:r>
        <w:rPr>
          <w:rFonts w:ascii="Courier New" w:cs="Courier New" w:eastAsia="Courier New" w:hAnsi="Courier New"/>
          <w:sz w:val="14"/>
          <w:szCs w:val="14"/>
          <w:color w:val="auto"/>
        </w:rPr>
        <w:t>identification no.)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COMCAST CABLE COMMUNICATIONS HOLDINGS, INC.</w:t>
      </w:r>
    </w:p>
    <w:p>
      <w:pPr>
        <w:jc w:val="center"/>
        <w:ind w:right="3319"/>
        <w:spacing w:after="0" w:line="237" w:lineRule="auto"/>
        <w:rPr>
          <w:sz w:val="20"/>
          <w:szCs w:val="20"/>
          <w:color w:val="auto"/>
        </w:rPr>
      </w:pPr>
      <w:r>
        <w:rPr>
          <w:rFonts w:ascii="Courier New" w:cs="Courier New" w:eastAsia="Courier New" w:hAnsi="Courier New"/>
          <w:sz w:val="15"/>
          <w:szCs w:val="15"/>
          <w:color w:val="auto"/>
        </w:rPr>
        <w:t>(formerly AT&amp;T Broadband Corp.)</w:t>
      </w:r>
    </w:p>
    <w:p>
      <w:pPr>
        <w:jc w:val="center"/>
        <w:ind w:right="3319"/>
        <w:spacing w:after="0" w:line="238" w:lineRule="auto"/>
        <w:rPr>
          <w:sz w:val="20"/>
          <w:szCs w:val="20"/>
          <w:color w:val="auto"/>
        </w:rPr>
      </w:pPr>
      <w:r>
        <w:rPr>
          <w:rFonts w:ascii="Courier New" w:cs="Courier New" w:eastAsia="Courier New" w:hAnsi="Courier New"/>
          <w:sz w:val="15"/>
          <w:szCs w:val="15"/>
          <w:color w:val="auto"/>
        </w:rPr>
        <w:t>(Exact name of obligor as specified in its charter)</w:t>
      </w:r>
    </w:p>
    <w:p>
      <w:pPr>
        <w:spacing w:after="0" w:line="167" w:lineRule="exact"/>
        <w:rPr>
          <w:sz w:val="20"/>
          <w:szCs w:val="20"/>
          <w:color w:val="auto"/>
        </w:rPr>
      </w:pPr>
    </w:p>
    <w:p>
      <w:pPr>
        <w:spacing w:after="0"/>
        <w:tabs>
          <w:tab w:leader="none" w:pos="4360" w:val="left"/>
        </w:tabs>
        <w:rPr>
          <w:sz w:val="20"/>
          <w:szCs w:val="20"/>
          <w:color w:val="auto"/>
        </w:rPr>
      </w:pPr>
      <w:r>
        <w:rPr>
          <w:rFonts w:ascii="Courier New" w:cs="Courier New" w:eastAsia="Courier New" w:hAnsi="Courier New"/>
          <w:sz w:val="15"/>
          <w:szCs w:val="15"/>
          <w:color w:val="auto"/>
        </w:rPr>
        <w:t>Delaware</w:t>
      </w:r>
      <w:r>
        <w:rPr>
          <w:sz w:val="20"/>
          <w:szCs w:val="20"/>
          <w:color w:val="auto"/>
        </w:rPr>
        <w:tab/>
      </w:r>
      <w:r>
        <w:rPr>
          <w:rFonts w:ascii="Courier New" w:cs="Courier New" w:eastAsia="Courier New" w:hAnsi="Courier New"/>
          <w:sz w:val="15"/>
          <w:szCs w:val="15"/>
          <w:color w:val="auto"/>
        </w:rPr>
        <w:t>04-3592397</w:t>
      </w:r>
    </w:p>
    <w:p>
      <w:pPr>
        <w:spacing w:after="0"/>
        <w:tabs>
          <w:tab w:leader="none" w:pos="4360" w:val="left"/>
        </w:tabs>
        <w:rPr>
          <w:sz w:val="20"/>
          <w:szCs w:val="20"/>
          <w:color w:val="auto"/>
        </w:rPr>
      </w:pPr>
      <w:r>
        <w:rPr>
          <w:rFonts w:ascii="Courier New" w:cs="Courier New" w:eastAsia="Courier New" w:hAnsi="Courier New"/>
          <w:sz w:val="15"/>
          <w:szCs w:val="15"/>
          <w:color w:val="auto"/>
        </w:rPr>
        <w:t>(State or other jurisdiction of</w:t>
      </w:r>
      <w:r>
        <w:rPr>
          <w:sz w:val="20"/>
          <w:szCs w:val="20"/>
          <w:color w:val="auto"/>
        </w:rPr>
        <w:tab/>
      </w:r>
      <w:r>
        <w:rPr>
          <w:rFonts w:ascii="Courier New" w:cs="Courier New" w:eastAsia="Courier New" w:hAnsi="Courier New"/>
          <w:sz w:val="14"/>
          <w:szCs w:val="14"/>
          <w:color w:val="auto"/>
        </w:rPr>
        <w:t>(I.R.S. employer</w:t>
      </w:r>
    </w:p>
    <w:p>
      <w:pPr>
        <w:spacing w:after="0"/>
        <w:tabs>
          <w:tab w:leader="none" w:pos="4360" w:val="left"/>
        </w:tabs>
        <w:rPr>
          <w:sz w:val="20"/>
          <w:szCs w:val="20"/>
          <w:color w:val="auto"/>
        </w:rPr>
      </w:pPr>
      <w:r>
        <w:rPr>
          <w:rFonts w:ascii="Courier New" w:cs="Courier New" w:eastAsia="Courier New" w:hAnsi="Courier New"/>
          <w:sz w:val="15"/>
          <w:szCs w:val="15"/>
          <w:color w:val="auto"/>
        </w:rPr>
        <w:t>incorporation or organization)</w:t>
      </w:r>
      <w:r>
        <w:rPr>
          <w:sz w:val="20"/>
          <w:szCs w:val="20"/>
          <w:color w:val="auto"/>
        </w:rPr>
        <w:tab/>
      </w:r>
      <w:r>
        <w:rPr>
          <w:rFonts w:ascii="Courier New" w:cs="Courier New" w:eastAsia="Courier New" w:hAnsi="Courier New"/>
          <w:sz w:val="14"/>
          <w:szCs w:val="14"/>
          <w:color w:val="auto"/>
        </w:rPr>
        <w:t>identification no.)</w:t>
      </w:r>
    </w:p>
    <w:p>
      <w:pPr>
        <w:spacing w:after="0" w:line="167"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COMCAST CABLE HOLDINGS, LLC</w:t>
      </w:r>
    </w:p>
    <w:p>
      <w:pPr>
        <w:ind w:left="2200"/>
        <w:spacing w:after="0" w:line="237" w:lineRule="auto"/>
        <w:rPr>
          <w:sz w:val="20"/>
          <w:szCs w:val="20"/>
          <w:color w:val="auto"/>
        </w:rPr>
      </w:pPr>
      <w:r>
        <w:rPr>
          <w:rFonts w:ascii="Courier New" w:cs="Courier New" w:eastAsia="Courier New" w:hAnsi="Courier New"/>
          <w:sz w:val="15"/>
          <w:szCs w:val="15"/>
          <w:color w:val="auto"/>
        </w:rPr>
        <w:t>(formerly AT&amp;T Broadband, LLC)</w:t>
      </w:r>
    </w:p>
    <w:tbl>
      <w:tblPr>
        <w:tblLayout w:type="fixed"/>
        <w:tblInd w:w="0" w:type="dxa"/>
        <w:tblCellMar>
          <w:top w:w="0" w:type="dxa"/>
          <w:left w:w="0" w:type="dxa"/>
          <w:bottom w:w="0" w:type="dxa"/>
          <w:right w:w="0" w:type="dxa"/>
        </w:tblCellMar>
      </w:tblPr>
      <w:tr>
        <w:trPr>
          <w:trHeight w:val="169"/>
        </w:trPr>
        <w:tc>
          <w:tcPr>
            <w:tcW w:w="2500" w:type="dxa"/>
            <w:vAlign w:val="bottom"/>
          </w:tcPr>
          <w:p>
            <w:pPr>
              <w:ind w:left="1240"/>
              <w:spacing w:after="0" w:line="169" w:lineRule="exact"/>
              <w:rPr>
                <w:sz w:val="20"/>
                <w:szCs w:val="20"/>
                <w:color w:val="auto"/>
              </w:rPr>
            </w:pPr>
            <w:r>
              <w:rPr>
                <w:rFonts w:ascii="Courier New" w:cs="Courier New" w:eastAsia="Courier New" w:hAnsi="Courier New"/>
                <w:sz w:val="15"/>
                <w:szCs w:val="15"/>
                <w:color w:val="auto"/>
                <w:w w:val="98"/>
              </w:rPr>
              <w:t>(Exact name of</w:t>
            </w:r>
          </w:p>
        </w:tc>
        <w:tc>
          <w:tcPr>
            <w:tcW w:w="1840" w:type="dxa"/>
            <w:vAlign w:val="bottom"/>
          </w:tcPr>
          <w:p>
            <w:pPr>
              <w:ind w:left="40"/>
              <w:spacing w:after="0" w:line="169" w:lineRule="exact"/>
              <w:rPr>
                <w:sz w:val="20"/>
                <w:szCs w:val="20"/>
                <w:color w:val="auto"/>
              </w:rPr>
            </w:pPr>
            <w:r>
              <w:rPr>
                <w:rFonts w:ascii="Courier New" w:cs="Courier New" w:eastAsia="Courier New" w:hAnsi="Courier New"/>
                <w:sz w:val="15"/>
                <w:szCs w:val="15"/>
                <w:color w:val="auto"/>
                <w:w w:val="98"/>
              </w:rPr>
              <w:t>obligor as specified</w:t>
            </w:r>
          </w:p>
        </w:tc>
        <w:tc>
          <w:tcPr>
            <w:tcW w:w="1700" w:type="dxa"/>
            <w:vAlign w:val="bottom"/>
          </w:tcPr>
          <w:p>
            <w:pPr>
              <w:ind w:left="40"/>
              <w:spacing w:after="0" w:line="169" w:lineRule="exact"/>
              <w:rPr>
                <w:sz w:val="20"/>
                <w:szCs w:val="20"/>
                <w:color w:val="auto"/>
              </w:rPr>
            </w:pPr>
            <w:r>
              <w:rPr>
                <w:rFonts w:ascii="Courier New" w:cs="Courier New" w:eastAsia="Courier New" w:hAnsi="Courier New"/>
                <w:sz w:val="15"/>
                <w:szCs w:val="15"/>
                <w:color w:val="auto"/>
              </w:rPr>
              <w:t>in its charter)</w:t>
            </w:r>
          </w:p>
        </w:tc>
      </w:tr>
      <w:tr>
        <w:trPr>
          <w:trHeight w:val="336"/>
        </w:trPr>
        <w:tc>
          <w:tcPr>
            <w:tcW w:w="2500" w:type="dxa"/>
            <w:vAlign w:val="bottom"/>
          </w:tcPr>
          <w:p>
            <w:pPr>
              <w:spacing w:after="0"/>
              <w:rPr>
                <w:sz w:val="20"/>
                <w:szCs w:val="20"/>
                <w:color w:val="auto"/>
              </w:rPr>
            </w:pPr>
            <w:r>
              <w:rPr>
                <w:rFonts w:ascii="Courier New" w:cs="Courier New" w:eastAsia="Courier New" w:hAnsi="Courier New"/>
                <w:sz w:val="15"/>
                <w:szCs w:val="15"/>
                <w:color w:val="auto"/>
              </w:rPr>
              <w:t>Delaware</w:t>
            </w:r>
          </w:p>
        </w:tc>
        <w:tc>
          <w:tcPr>
            <w:tcW w:w="1840" w:type="dxa"/>
            <w:vAlign w:val="bottom"/>
          </w:tcPr>
          <w:p>
            <w:pPr>
              <w:spacing w:after="0"/>
              <w:rPr>
                <w:sz w:val="24"/>
                <w:szCs w:val="24"/>
                <w:color w:val="auto"/>
              </w:rPr>
            </w:pPr>
          </w:p>
        </w:tc>
        <w:tc>
          <w:tcPr>
            <w:tcW w:w="1700" w:type="dxa"/>
            <w:vAlign w:val="bottom"/>
          </w:tcPr>
          <w:p>
            <w:pPr>
              <w:ind w:left="40"/>
              <w:spacing w:after="0"/>
              <w:rPr>
                <w:sz w:val="20"/>
                <w:szCs w:val="20"/>
                <w:color w:val="auto"/>
              </w:rPr>
            </w:pPr>
            <w:r>
              <w:rPr>
                <w:rFonts w:ascii="Courier New" w:cs="Courier New" w:eastAsia="Courier New" w:hAnsi="Courier New"/>
                <w:sz w:val="15"/>
                <w:szCs w:val="15"/>
                <w:color w:val="auto"/>
              </w:rPr>
              <w:t>84-1260157</w:t>
            </w:r>
          </w:p>
        </w:tc>
      </w:tr>
      <w:tr>
        <w:trPr>
          <w:trHeight w:val="168"/>
        </w:trPr>
        <w:tc>
          <w:tcPr>
            <w:tcW w:w="250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(State or other jurisdiction</w:t>
            </w:r>
          </w:p>
        </w:tc>
        <w:tc>
          <w:tcPr>
            <w:tcW w:w="18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of</w:t>
            </w:r>
          </w:p>
        </w:tc>
        <w:tc>
          <w:tcPr>
            <w:tcW w:w="17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(I.R.S. employer</w:t>
            </w:r>
          </w:p>
        </w:tc>
      </w:tr>
      <w:tr>
        <w:trPr>
          <w:trHeight w:val="168"/>
        </w:trPr>
        <w:tc>
          <w:tcPr>
            <w:tcW w:w="43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incorporation or organization)</w:t>
            </w:r>
          </w:p>
        </w:tc>
        <w:tc>
          <w:tcPr>
            <w:tcW w:w="17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5"/>
              </w:rPr>
              <w:t>identification no.)</w:t>
            </w:r>
          </w:p>
        </w:tc>
      </w:tr>
      <w:tr>
        <w:trPr>
          <w:trHeight w:val="336"/>
        </w:trPr>
        <w:tc>
          <w:tcPr>
            <w:tcW w:w="2500" w:type="dxa"/>
            <w:vAlign w:val="bottom"/>
          </w:tcPr>
          <w:p>
            <w:pPr>
              <w:spacing w:after="0"/>
              <w:rPr>
                <w:sz w:val="24"/>
                <w:szCs w:val="24"/>
                <w:color w:val="auto"/>
              </w:rPr>
            </w:pPr>
          </w:p>
        </w:tc>
        <w:tc>
          <w:tcPr>
            <w:tcW w:w="35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COMCAST MO GROUP, INC.</w:t>
            </w:r>
          </w:p>
        </w:tc>
      </w:tr>
      <w:tr>
        <w:trPr>
          <w:trHeight w:val="168"/>
        </w:trPr>
        <w:tc>
          <w:tcPr>
            <w:tcW w:w="6040" w:type="dxa"/>
            <w:vAlign w:val="bottom"/>
            <w:gridSpan w:val="3"/>
          </w:tcPr>
          <w:p>
            <w:pPr>
              <w:ind w:left="2100"/>
              <w:spacing w:after="0" w:line="168" w:lineRule="exact"/>
              <w:rPr>
                <w:sz w:val="20"/>
                <w:szCs w:val="20"/>
                <w:color w:val="auto"/>
              </w:rPr>
            </w:pPr>
            <w:r>
              <w:rPr>
                <w:rFonts w:ascii="Courier New" w:cs="Courier New" w:eastAsia="Courier New" w:hAnsi="Courier New"/>
                <w:sz w:val="15"/>
                <w:szCs w:val="15"/>
                <w:color w:val="auto"/>
              </w:rPr>
              <w:t>(formerly MediaOne Group, Inc.)</w:t>
            </w:r>
          </w:p>
        </w:tc>
      </w:tr>
      <w:tr>
        <w:trPr>
          <w:trHeight w:val="168"/>
        </w:trPr>
        <w:tc>
          <w:tcPr>
            <w:tcW w:w="2500" w:type="dxa"/>
            <w:vAlign w:val="bottom"/>
          </w:tcPr>
          <w:p>
            <w:pPr>
              <w:ind w:left="1240"/>
              <w:spacing w:after="0" w:line="168" w:lineRule="exact"/>
              <w:rPr>
                <w:sz w:val="20"/>
                <w:szCs w:val="20"/>
                <w:color w:val="auto"/>
              </w:rPr>
            </w:pPr>
            <w:r>
              <w:rPr>
                <w:rFonts w:ascii="Courier New" w:cs="Courier New" w:eastAsia="Courier New" w:hAnsi="Courier New"/>
                <w:sz w:val="15"/>
                <w:szCs w:val="15"/>
                <w:color w:val="auto"/>
                <w:w w:val="98"/>
              </w:rPr>
              <w:t>(Exact name of</w:t>
            </w:r>
          </w:p>
        </w:tc>
        <w:tc>
          <w:tcPr>
            <w:tcW w:w="354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obligor as specified in its charter)</w:t>
            </w:r>
          </w:p>
        </w:tc>
      </w:tr>
      <w:tr>
        <w:trPr>
          <w:trHeight w:val="336"/>
        </w:trPr>
        <w:tc>
          <w:tcPr>
            <w:tcW w:w="2500" w:type="dxa"/>
            <w:vAlign w:val="bottom"/>
          </w:tcPr>
          <w:p>
            <w:pPr>
              <w:spacing w:after="0"/>
              <w:rPr>
                <w:sz w:val="20"/>
                <w:szCs w:val="20"/>
                <w:color w:val="auto"/>
              </w:rPr>
            </w:pPr>
            <w:r>
              <w:rPr>
                <w:rFonts w:ascii="Courier New" w:cs="Courier New" w:eastAsia="Courier New" w:hAnsi="Courier New"/>
                <w:sz w:val="15"/>
                <w:szCs w:val="15"/>
                <w:color w:val="auto"/>
              </w:rPr>
              <w:t>Delaware</w:t>
            </w:r>
          </w:p>
        </w:tc>
        <w:tc>
          <w:tcPr>
            <w:tcW w:w="1840" w:type="dxa"/>
            <w:vAlign w:val="bottom"/>
          </w:tcPr>
          <w:p>
            <w:pPr>
              <w:spacing w:after="0"/>
              <w:rPr>
                <w:sz w:val="24"/>
                <w:szCs w:val="24"/>
                <w:color w:val="auto"/>
              </w:rPr>
            </w:pPr>
          </w:p>
        </w:tc>
        <w:tc>
          <w:tcPr>
            <w:tcW w:w="1700" w:type="dxa"/>
            <w:vAlign w:val="bottom"/>
          </w:tcPr>
          <w:p>
            <w:pPr>
              <w:ind w:left="40"/>
              <w:spacing w:after="0"/>
              <w:rPr>
                <w:sz w:val="20"/>
                <w:szCs w:val="20"/>
                <w:color w:val="auto"/>
              </w:rPr>
            </w:pPr>
            <w:r>
              <w:rPr>
                <w:rFonts w:ascii="Courier New" w:cs="Courier New" w:eastAsia="Courier New" w:hAnsi="Courier New"/>
                <w:sz w:val="15"/>
                <w:szCs w:val="15"/>
                <w:color w:val="auto"/>
              </w:rPr>
              <w:t>84-0926774</w:t>
            </w:r>
          </w:p>
        </w:tc>
      </w:tr>
      <w:tr>
        <w:trPr>
          <w:trHeight w:val="168"/>
        </w:trPr>
        <w:tc>
          <w:tcPr>
            <w:tcW w:w="250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(State or other jurisdiction</w:t>
            </w:r>
          </w:p>
        </w:tc>
        <w:tc>
          <w:tcPr>
            <w:tcW w:w="18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of</w:t>
            </w:r>
          </w:p>
        </w:tc>
        <w:tc>
          <w:tcPr>
            <w:tcW w:w="17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(I.R.S. employer</w:t>
            </w:r>
          </w:p>
        </w:tc>
      </w:tr>
      <w:tr>
        <w:trPr>
          <w:trHeight w:val="168"/>
        </w:trPr>
        <w:tc>
          <w:tcPr>
            <w:tcW w:w="43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incorporation or organization)</w:t>
            </w:r>
          </w:p>
        </w:tc>
        <w:tc>
          <w:tcPr>
            <w:tcW w:w="17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5"/>
              </w:rPr>
              <w:t>identification no.)</w:t>
            </w:r>
          </w:p>
        </w:tc>
      </w:tr>
      <w:tr>
        <w:trPr>
          <w:trHeight w:val="336"/>
        </w:trPr>
        <w:tc>
          <w:tcPr>
            <w:tcW w:w="2500" w:type="dxa"/>
            <w:vAlign w:val="bottom"/>
          </w:tcPr>
          <w:p>
            <w:pPr>
              <w:spacing w:after="0"/>
              <w:rPr>
                <w:sz w:val="20"/>
                <w:szCs w:val="20"/>
                <w:color w:val="auto"/>
              </w:rPr>
            </w:pPr>
            <w:r>
              <w:rPr>
                <w:rFonts w:ascii="Courier New" w:cs="Courier New" w:eastAsia="Courier New" w:hAnsi="Courier New"/>
                <w:sz w:val="15"/>
                <w:szCs w:val="15"/>
                <w:color w:val="auto"/>
              </w:rPr>
              <w:t>1500 Market Street</w:t>
            </w:r>
          </w:p>
        </w:tc>
        <w:tc>
          <w:tcPr>
            <w:tcW w:w="184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168"/>
        </w:trPr>
        <w:tc>
          <w:tcPr>
            <w:tcW w:w="2500" w:type="dxa"/>
            <w:vAlign w:val="bottom"/>
          </w:tcPr>
          <w:p>
            <w:pPr>
              <w:spacing w:after="0" w:line="168" w:lineRule="exact"/>
              <w:rPr>
                <w:sz w:val="20"/>
                <w:szCs w:val="20"/>
                <w:color w:val="auto"/>
              </w:rPr>
            </w:pPr>
            <w:r>
              <w:rPr>
                <w:rFonts w:ascii="Courier New" w:cs="Courier New" w:eastAsia="Courier New" w:hAnsi="Courier New"/>
                <w:sz w:val="15"/>
                <w:szCs w:val="15"/>
                <w:color w:val="auto"/>
              </w:rPr>
              <w:t>Philadelphia, Pennsylvania</w:t>
            </w:r>
          </w:p>
        </w:tc>
        <w:tc>
          <w:tcPr>
            <w:tcW w:w="1840" w:type="dxa"/>
            <w:vAlign w:val="bottom"/>
          </w:tcPr>
          <w:p>
            <w:pPr>
              <w:spacing w:after="0"/>
              <w:rPr>
                <w:sz w:val="14"/>
                <w:szCs w:val="14"/>
                <w:color w:val="auto"/>
              </w:rPr>
            </w:pPr>
          </w:p>
        </w:tc>
        <w:tc>
          <w:tcPr>
            <w:tcW w:w="17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19102</w:t>
            </w:r>
          </w:p>
        </w:tc>
      </w:tr>
      <w:tr>
        <w:trPr>
          <w:trHeight w:val="168"/>
        </w:trPr>
        <w:tc>
          <w:tcPr>
            <w:tcW w:w="43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(Address of principal executive offices)</w:t>
            </w:r>
          </w:p>
        </w:tc>
        <w:tc>
          <w:tcPr>
            <w:tcW w:w="17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(Zip code)</w:t>
            </w:r>
          </w:p>
        </w:tc>
      </w:tr>
    </w:tbl>
    <w:p>
      <w:pPr>
        <w:spacing w:after="0" w:line="166"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w:t>
      </w:r>
    </w:p>
    <w:p>
      <w:pPr>
        <w:spacing w:after="0" w:line="166"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Subordinated Debt Securities</w:t>
      </w:r>
    </w:p>
    <w:p>
      <w:pPr>
        <w:ind w:left="1940"/>
        <w:spacing w:after="0" w:line="237" w:lineRule="auto"/>
        <w:rPr>
          <w:sz w:val="20"/>
          <w:szCs w:val="20"/>
          <w:color w:val="auto"/>
        </w:rPr>
      </w:pPr>
      <w:r>
        <w:rPr>
          <w:rFonts w:ascii="Courier New" w:cs="Courier New" w:eastAsia="Courier New" w:hAnsi="Courier New"/>
          <w:sz w:val="15"/>
          <w:szCs w:val="15"/>
          <w:color w:val="auto"/>
        </w:rPr>
        <w:t>(Title of the indenture securities)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239"/>
          </w:cols>
          <w:pgMar w:left="220" w:top="142" w:right="1440" w:bottom="1440" w:gutter="0" w:footer="0" w:header="0"/>
        </w:sectPr>
      </w:pPr>
    </w:p>
    <w:p>
      <w:pPr>
        <w:spacing w:after="0" w:line="346" w:lineRule="exact"/>
        <w:rPr>
          <w:sz w:val="20"/>
          <w:szCs w:val="20"/>
          <w:color w:val="auto"/>
        </w:rPr>
      </w:pPr>
    </w:p>
    <w:p>
      <w:pPr>
        <w:ind w:left="3240"/>
        <w:spacing w:after="0"/>
        <w:rPr>
          <w:sz w:val="20"/>
          <w:szCs w:val="20"/>
          <w:color w:val="auto"/>
        </w:rPr>
      </w:pPr>
      <w:r>
        <w:rPr>
          <w:rFonts w:ascii="Courier New" w:cs="Courier New" w:eastAsia="Courier New" w:hAnsi="Courier New"/>
          <w:sz w:val="14"/>
          <w:szCs w:val="14"/>
          <w:color w:val="auto"/>
        </w:rPr>
        <w:t>- 2 -</w:t>
      </w:r>
    </w:p>
    <w:p>
      <w:pPr>
        <w:sectPr>
          <w:pgSz w:w="11900" w:h="16838" w:orient="portrait"/>
          <w:cols w:equalWidth="0" w:num="1">
            <w:col w:w="10239"/>
          </w:cols>
          <w:pgMar w:left="220" w:top="142" w:right="1440" w:bottom="1440" w:gutter="0" w:footer="0" w:header="0"/>
          <w:type w:val="continuous"/>
        </w:sectPr>
      </w:pPr>
    </w:p>
    <w:bookmarkStart w:id="292" w:name="page293"/>
    <w:bookmarkEnd w:id="292"/>
    <w:p>
      <w:pPr>
        <w:ind w:left="440" w:hanging="430"/>
        <w:spacing w:after="0"/>
        <w:tabs>
          <w:tab w:leader="none" w:pos="440" w:val="left"/>
        </w:tabs>
        <w:numPr>
          <w:ilvl w:val="0"/>
          <w:numId w:val="1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General information. Furnish the following information as to the Trustee:</w:t>
      </w:r>
    </w:p>
    <w:p>
      <w:pPr>
        <w:spacing w:after="0" w:line="173" w:lineRule="exact"/>
        <w:rPr>
          <w:sz w:val="20"/>
          <w:szCs w:val="20"/>
          <w:color w:val="auto"/>
        </w:rPr>
      </w:pPr>
    </w:p>
    <w:p>
      <w:pPr>
        <w:ind w:left="880" w:right="3399" w:hanging="433"/>
        <w:spacing w:after="0" w:line="234" w:lineRule="auto"/>
        <w:tabs>
          <w:tab w:leader="none" w:pos="880" w:val="left"/>
        </w:tabs>
        <w:numPr>
          <w:ilvl w:val="1"/>
          <w:numId w:val="1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Name and address of each examining or supervising authority to which it is subject.</w:t>
      </w:r>
    </w:p>
    <w:p>
      <w:pPr>
        <w:spacing w:after="0" w:line="173" w:lineRule="exact"/>
        <w:rPr>
          <w:rFonts w:ascii="Courier New" w:cs="Courier New" w:eastAsia="Courier New" w:hAnsi="Courier New"/>
          <w:sz w:val="15"/>
          <w:szCs w:val="15"/>
          <w:color w:val="auto"/>
        </w:rPr>
      </w:pPr>
    </w:p>
    <w:p>
      <w:pPr>
        <w:ind w:left="180" w:hanging="170"/>
        <w:spacing w:after="0"/>
        <w:tabs>
          <w:tab w:leader="none" w:pos="180" w:val="left"/>
        </w:tabs>
        <w:numPr>
          <w:ilvl w:val="0"/>
          <w:numId w:val="1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2020"/>
        <w:spacing w:after="0"/>
        <w:tabs>
          <w:tab w:leader="none" w:pos="5320" w:val="left"/>
        </w:tabs>
        <w:rPr>
          <w:sz w:val="20"/>
          <w:szCs w:val="20"/>
          <w:color w:val="auto"/>
        </w:rPr>
      </w:pPr>
      <w:r>
        <w:rPr>
          <w:rFonts w:ascii="Courier New" w:cs="Courier New" w:eastAsia="Courier New" w:hAnsi="Courier New"/>
          <w:sz w:val="15"/>
          <w:szCs w:val="15"/>
          <w:color w:val="auto"/>
        </w:rPr>
        <w:t>Name</w:t>
      </w:r>
      <w:r>
        <w:rPr>
          <w:sz w:val="20"/>
          <w:szCs w:val="20"/>
          <w:color w:val="auto"/>
        </w:rPr>
        <w:tab/>
      </w:r>
      <w:r>
        <w:rPr>
          <w:rFonts w:ascii="Courier New" w:cs="Courier New" w:eastAsia="Courier New" w:hAnsi="Courier New"/>
          <w:sz w:val="15"/>
          <w:szCs w:val="15"/>
          <w:color w:val="auto"/>
        </w:rPr>
        <w:t>Address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p>
      <w:pPr>
        <w:ind w:left="540"/>
        <w:spacing w:after="0"/>
        <w:tabs>
          <w:tab w:leader="none" w:pos="4180" w:val="left"/>
        </w:tabs>
        <w:rPr>
          <w:sz w:val="20"/>
          <w:szCs w:val="20"/>
          <w:color w:val="auto"/>
        </w:rPr>
      </w:pPr>
      <w:r>
        <w:rPr>
          <w:rFonts w:ascii="Courier New" w:cs="Courier New" w:eastAsia="Courier New" w:hAnsi="Courier New"/>
          <w:sz w:val="15"/>
          <w:szCs w:val="15"/>
          <w:color w:val="auto"/>
        </w:rPr>
        <w:t>Superintendent of Banks of the State</w:t>
      </w:r>
      <w:r>
        <w:rPr>
          <w:sz w:val="20"/>
          <w:szCs w:val="20"/>
          <w:color w:val="auto"/>
        </w:rPr>
        <w:tab/>
      </w:r>
      <w:r>
        <w:rPr>
          <w:rFonts w:ascii="Courier New" w:cs="Courier New" w:eastAsia="Courier New" w:hAnsi="Courier New"/>
          <w:sz w:val="14"/>
          <w:szCs w:val="14"/>
          <w:color w:val="auto"/>
        </w:rPr>
        <w:t>2 Rector Street, New York, N.Y.</w:t>
      </w:r>
    </w:p>
    <w:p>
      <w:pPr>
        <w:ind w:left="540"/>
        <w:spacing w:after="0"/>
        <w:tabs>
          <w:tab w:leader="none" w:pos="4180" w:val="left"/>
        </w:tabs>
        <w:rPr>
          <w:sz w:val="20"/>
          <w:szCs w:val="20"/>
          <w:color w:val="auto"/>
        </w:rPr>
      </w:pPr>
      <w:r>
        <w:rPr>
          <w:rFonts w:ascii="Courier New" w:cs="Courier New" w:eastAsia="Courier New" w:hAnsi="Courier New"/>
          <w:sz w:val="15"/>
          <w:szCs w:val="15"/>
          <w:color w:val="auto"/>
        </w:rPr>
        <w:t>of New York</w:t>
      </w:r>
      <w:r>
        <w:rPr>
          <w:sz w:val="20"/>
          <w:szCs w:val="20"/>
          <w:color w:val="auto"/>
        </w:rPr>
        <w:tab/>
      </w:r>
      <w:r>
        <w:rPr>
          <w:rFonts w:ascii="Courier New" w:cs="Courier New" w:eastAsia="Courier New" w:hAnsi="Courier New"/>
          <w:sz w:val="14"/>
          <w:szCs w:val="14"/>
          <w:color w:val="auto"/>
        </w:rPr>
        <w:t>10006, and Albany, N.Y. 12203</w:t>
      </w:r>
    </w:p>
    <w:p>
      <w:pPr>
        <w:sectPr>
          <w:pgSz w:w="11900" w:h="16838" w:orient="portrait"/>
          <w:cols w:equalWidth="0" w:num="1">
            <w:col w:w="10239"/>
          </w:cols>
          <w:pgMar w:left="220" w:top="785" w:right="1440" w:bottom="1440" w:gutter="0" w:footer="0" w:header="0"/>
        </w:sectPr>
      </w:pPr>
    </w:p>
    <w:p>
      <w:pPr>
        <w:spacing w:after="0" w:line="173" w:lineRule="exact"/>
        <w:rPr>
          <w:sz w:val="20"/>
          <w:szCs w:val="20"/>
          <w:color w:val="auto"/>
        </w:rPr>
      </w:pPr>
    </w:p>
    <w:p>
      <w:pPr>
        <w:ind w:left="540"/>
        <w:spacing w:after="0"/>
        <w:rPr>
          <w:sz w:val="20"/>
          <w:szCs w:val="20"/>
          <w:color w:val="auto"/>
        </w:rPr>
      </w:pPr>
      <w:r>
        <w:rPr>
          <w:rFonts w:ascii="Courier New" w:cs="Courier New" w:eastAsia="Courier New" w:hAnsi="Courier New"/>
          <w:sz w:val="14"/>
          <w:szCs w:val="14"/>
          <w:color w:val="auto"/>
        </w:rPr>
        <w:t>Federal Reserve Bank of New York</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33 Liberty Plaza, New York, N.Y.</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10045</w:t>
      </w:r>
    </w:p>
    <w:p>
      <w:pPr>
        <w:spacing w:after="0" w:line="173" w:lineRule="exact"/>
        <w:rPr>
          <w:sz w:val="20"/>
          <w:szCs w:val="20"/>
          <w:color w:val="auto"/>
        </w:rPr>
      </w:pPr>
    </w:p>
    <w:p>
      <w:pPr>
        <w:sectPr>
          <w:pgSz w:w="11900" w:h="16838" w:orient="portrait"/>
          <w:cols w:equalWidth="0" w:num="2">
            <w:col w:w="3480" w:space="720"/>
            <w:col w:w="6039"/>
          </w:cols>
          <w:pgMar w:left="220" w:top="785" w:right="1440" w:bottom="1440" w:gutter="0" w:footer="0" w:header="0"/>
          <w:type w:val="continuous"/>
        </w:sectPr>
      </w:pPr>
    </w:p>
    <w:p>
      <w:pPr>
        <w:ind w:left="540"/>
        <w:spacing w:after="0"/>
        <w:rPr>
          <w:sz w:val="20"/>
          <w:szCs w:val="20"/>
          <w:color w:val="auto"/>
        </w:rPr>
      </w:pPr>
      <w:r>
        <w:rPr>
          <w:rFonts w:ascii="Courier New" w:cs="Courier New" w:eastAsia="Courier New" w:hAnsi="Courier New"/>
          <w:sz w:val="14"/>
          <w:szCs w:val="14"/>
          <w:color w:val="auto"/>
        </w:rPr>
        <w:t>Federal Deposit Insurance Corporation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Washington, D.C. 20429</w:t>
      </w:r>
    </w:p>
    <w:p>
      <w:pPr>
        <w:spacing w:after="0" w:line="178" w:lineRule="exact"/>
        <w:rPr>
          <w:sz w:val="20"/>
          <w:szCs w:val="20"/>
          <w:color w:val="auto"/>
        </w:rPr>
      </w:pPr>
    </w:p>
    <w:p>
      <w:pPr>
        <w:sectPr>
          <w:pgSz w:w="11900" w:h="16838" w:orient="portrait"/>
          <w:cols w:equalWidth="0" w:num="2">
            <w:col w:w="3780" w:space="420"/>
            <w:col w:w="6039"/>
          </w:cols>
          <w:pgMar w:left="220" w:top="785" w:right="1440" w:bottom="1440" w:gutter="0" w:footer="0" w:header="0"/>
          <w:type w:val="continuous"/>
        </w:sectPr>
      </w:pPr>
    </w:p>
    <w:p>
      <w:pPr>
        <w:ind w:left="540"/>
        <w:spacing w:after="0"/>
        <w:rPr>
          <w:sz w:val="20"/>
          <w:szCs w:val="20"/>
          <w:color w:val="auto"/>
        </w:rPr>
      </w:pPr>
      <w:r>
        <w:rPr>
          <w:rFonts w:ascii="Courier New" w:cs="Courier New" w:eastAsia="Courier New" w:hAnsi="Courier New"/>
          <w:sz w:val="14"/>
          <w:szCs w:val="14"/>
          <w:color w:val="auto"/>
        </w:rPr>
        <w:t>New York Clearing House Association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New York, New York 10005</w:t>
      </w:r>
    </w:p>
    <w:p>
      <w:pPr>
        <w:spacing w:after="0" w:line="171" w:lineRule="exact"/>
        <w:rPr>
          <w:sz w:val="20"/>
          <w:szCs w:val="20"/>
          <w:color w:val="auto"/>
        </w:rPr>
      </w:pPr>
    </w:p>
    <w:p>
      <w:pPr>
        <w:sectPr>
          <w:pgSz w:w="11900" w:h="16838" w:orient="portrait"/>
          <w:cols w:equalWidth="0" w:num="2">
            <w:col w:w="3600" w:space="600"/>
            <w:col w:w="6039"/>
          </w:cols>
          <w:pgMar w:left="220" w:top="785" w:right="1440" w:bottom="1440" w:gutter="0" w:footer="0" w:header="0"/>
          <w:type w:val="continuous"/>
        </w:sectPr>
      </w:pPr>
    </w:p>
    <w:p>
      <w:pPr>
        <w:ind w:left="880" w:hanging="433"/>
        <w:spacing w:after="0"/>
        <w:tabs>
          <w:tab w:leader="none" w:pos="880" w:val="left"/>
        </w:tabs>
        <w:numPr>
          <w:ilvl w:val="1"/>
          <w:numId w:val="1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Whether it is authorized to exercise corporate trust powers.</w:t>
      </w:r>
    </w:p>
    <w:p>
      <w:pPr>
        <w:spacing w:after="0" w:line="166" w:lineRule="exact"/>
        <w:rPr>
          <w:rFonts w:ascii="Courier New" w:cs="Courier New" w:eastAsia="Courier New" w:hAnsi="Courier New"/>
          <w:sz w:val="15"/>
          <w:szCs w:val="15"/>
          <w:color w:val="auto"/>
        </w:rPr>
      </w:pPr>
    </w:p>
    <w:p>
      <w:pPr>
        <w:ind w:left="4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Yes.</w:t>
      </w:r>
    </w:p>
    <w:p>
      <w:pPr>
        <w:spacing w:after="0" w:line="166" w:lineRule="exact"/>
        <w:rPr>
          <w:rFonts w:ascii="Courier New" w:cs="Courier New" w:eastAsia="Courier New" w:hAnsi="Courier New"/>
          <w:sz w:val="15"/>
          <w:szCs w:val="15"/>
          <w:color w:val="auto"/>
        </w:rPr>
      </w:pPr>
    </w:p>
    <w:p>
      <w:pPr>
        <w:ind w:left="440" w:hanging="430"/>
        <w:spacing w:after="0"/>
        <w:tabs>
          <w:tab w:leader="none" w:pos="440" w:val="left"/>
        </w:tabs>
        <w:numPr>
          <w:ilvl w:val="0"/>
          <w:numId w:val="1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Affiliations with Obligor.</w:t>
      </w:r>
    </w:p>
    <w:p>
      <w:pPr>
        <w:spacing w:after="0" w:line="172" w:lineRule="exact"/>
        <w:rPr>
          <w:rFonts w:ascii="Courier New" w:cs="Courier New" w:eastAsia="Courier New" w:hAnsi="Courier New"/>
          <w:sz w:val="15"/>
          <w:szCs w:val="15"/>
          <w:color w:val="auto"/>
        </w:rPr>
      </w:pPr>
    </w:p>
    <w:p>
      <w:pPr>
        <w:ind w:left="440" w:right="4099"/>
        <w:spacing w:after="0" w:line="23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If the obligor is an affiliate of the trustee, describe each such affiliation.</w:t>
      </w:r>
    </w:p>
    <w:p>
      <w:pPr>
        <w:spacing w:after="0" w:line="166" w:lineRule="exact"/>
        <w:rPr>
          <w:rFonts w:ascii="Courier New" w:cs="Courier New" w:eastAsia="Courier New" w:hAnsi="Courier New"/>
          <w:sz w:val="15"/>
          <w:szCs w:val="15"/>
          <w:color w:val="auto"/>
        </w:rPr>
      </w:pPr>
    </w:p>
    <w:p>
      <w:pPr>
        <w:ind w:left="4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None.</w:t>
      </w:r>
    </w:p>
    <w:p>
      <w:pPr>
        <w:spacing w:after="0" w:line="166" w:lineRule="exact"/>
        <w:rPr>
          <w:sz w:val="20"/>
          <w:szCs w:val="20"/>
          <w:color w:val="auto"/>
        </w:rPr>
      </w:pPr>
    </w:p>
    <w:p>
      <w:pPr>
        <w:ind w:left="440" w:hanging="430"/>
        <w:spacing w:after="0"/>
        <w:tabs>
          <w:tab w:leader="none" w:pos="440" w:val="left"/>
        </w:tabs>
        <w:numPr>
          <w:ilvl w:val="0"/>
          <w:numId w:val="1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List of Exhibits.</w:t>
      </w:r>
    </w:p>
    <w:p>
      <w:pPr>
        <w:spacing w:after="0" w:line="172" w:lineRule="exact"/>
        <w:rPr>
          <w:rFonts w:ascii="Courier New" w:cs="Courier New" w:eastAsia="Courier New" w:hAnsi="Courier New"/>
          <w:sz w:val="15"/>
          <w:szCs w:val="15"/>
          <w:color w:val="auto"/>
        </w:rPr>
      </w:pPr>
    </w:p>
    <w:p>
      <w:pPr>
        <w:ind w:left="440" w:right="3319"/>
        <w:spacing w:after="0" w:line="254"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Exhibits identified in parentheses below, on file with the Commission, are incorporated herein by reference as an exhibit hereto, pursuant to Rule 7a-29 under the Trust Indenture Act of 1939 (the "Act") and 17 C.F.R.</w:t>
      </w:r>
    </w:p>
    <w:p>
      <w:pPr>
        <w:ind w:left="44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229.10(d).</w:t>
      </w:r>
    </w:p>
    <w:p>
      <w:pPr>
        <w:spacing w:after="0" w:line="173" w:lineRule="exact"/>
        <w:rPr>
          <w:rFonts w:ascii="Courier New" w:cs="Courier New" w:eastAsia="Courier New" w:hAnsi="Courier New"/>
          <w:sz w:val="15"/>
          <w:szCs w:val="15"/>
          <w:color w:val="auto"/>
        </w:rPr>
      </w:pPr>
    </w:p>
    <w:p>
      <w:pPr>
        <w:ind w:left="880" w:right="3319" w:hanging="433"/>
        <w:spacing w:after="0" w:line="255" w:lineRule="auto"/>
        <w:tabs>
          <w:tab w:leader="none" w:pos="880" w:val="left"/>
        </w:tabs>
        <w:numPr>
          <w:ilvl w:val="1"/>
          <w:numId w:val="1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copy of the Organization Certificate of The Bank of New York (formerly Irving Trust Company) as now in effect, which contains the authority to commence business and a grant of powers to exercise corporate trust powers. (Exhibit 1 to Amendment No. 1 to Form T-1 filed with Registration Statement No. 33-6215, Exhibits 1a and 1b to Form T-1 filed with Registration Statement No. 33-21672 and Exhibit 1 to Form T-1 filed with Registration Statement No. 33-29637.)</w:t>
      </w:r>
    </w:p>
    <w:p>
      <w:pPr>
        <w:spacing w:after="0" w:line="166" w:lineRule="exact"/>
        <w:rPr>
          <w:sz w:val="20"/>
          <w:szCs w:val="20"/>
          <w:color w:val="auto"/>
        </w:rPr>
      </w:pPr>
    </w:p>
    <w:p>
      <w:pPr>
        <w:ind w:left="880" w:right="3319" w:hanging="433"/>
        <w:spacing w:after="0" w:line="234" w:lineRule="auto"/>
        <w:tabs>
          <w:tab w:leader="none" w:pos="880" w:val="left"/>
        </w:tabs>
        <w:numPr>
          <w:ilvl w:val="0"/>
          <w:numId w:val="1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copy of the existing By-laws of the Trustee. (Exhibit 4 to Form T-1 filed with Registration Statement No. 33-31019.)</w:t>
      </w:r>
    </w:p>
    <w:p>
      <w:pPr>
        <w:spacing w:after="0" w:line="173" w:lineRule="exact"/>
        <w:rPr>
          <w:sz w:val="20"/>
          <w:szCs w:val="20"/>
          <w:color w:val="auto"/>
        </w:rPr>
      </w:pPr>
    </w:p>
    <w:p>
      <w:pPr>
        <w:ind w:left="880" w:right="3679" w:hanging="433"/>
        <w:spacing w:after="0" w:line="254" w:lineRule="auto"/>
        <w:tabs>
          <w:tab w:leader="none" w:pos="880" w:val="left"/>
        </w:tabs>
        <w:numPr>
          <w:ilvl w:val="0"/>
          <w:numId w:val="1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consent of the Trustee required by Section 321(b) of the Act. (Exhibit 6 to Form T-1 filed with Registration Statement No.</w:t>
      </w:r>
    </w:p>
    <w:p>
      <w:pPr>
        <w:ind w:left="88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33-44051.)</w:t>
      </w:r>
    </w:p>
    <w:p>
      <w:pPr>
        <w:spacing w:after="0" w:line="173" w:lineRule="exact"/>
        <w:rPr>
          <w:rFonts w:ascii="Courier New" w:cs="Courier New" w:eastAsia="Courier New" w:hAnsi="Courier New"/>
          <w:sz w:val="14"/>
          <w:szCs w:val="14"/>
          <w:color w:val="auto"/>
        </w:rPr>
      </w:pPr>
    </w:p>
    <w:p>
      <w:pPr>
        <w:ind w:left="880" w:right="3679" w:hanging="433"/>
        <w:spacing w:after="0" w:line="235" w:lineRule="auto"/>
        <w:tabs>
          <w:tab w:leader="none" w:pos="880" w:val="left"/>
        </w:tabs>
        <w:numPr>
          <w:ilvl w:val="0"/>
          <w:numId w:val="1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copy of the latest report of condition of the Trustee published pursuant to law or to the requirements of its supervising or examining authority.</w:t>
      </w:r>
    </w:p>
    <w:p>
      <w:pPr>
        <w:spacing w:after="0" w:line="335" w:lineRule="exact"/>
        <w:rPr>
          <w:rFonts w:ascii="Courier New" w:cs="Courier New" w:eastAsia="Courier New" w:hAnsi="Courier New"/>
          <w:sz w:val="15"/>
          <w:szCs w:val="15"/>
          <w:color w:val="auto"/>
        </w:rPr>
      </w:pPr>
    </w:p>
    <w:p>
      <w:pPr>
        <w:ind w:left="3420" w:hanging="174"/>
        <w:spacing w:after="0"/>
        <w:tabs>
          <w:tab w:leader="none" w:pos="3420" w:val="left"/>
        </w:tabs>
        <w:numPr>
          <w:ilvl w:val="1"/>
          <w:numId w:val="1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3 -</w:t>
      </w:r>
    </w:p>
    <w:p>
      <w:pPr>
        <w:sectPr>
          <w:pgSz w:w="11900" w:h="16838" w:orient="portrait"/>
          <w:cols w:equalWidth="0" w:num="1">
            <w:col w:w="10239"/>
          </w:cols>
          <w:pgMar w:left="220" w:top="785" w:right="1440" w:bottom="1440" w:gutter="0" w:footer="0" w:header="0"/>
          <w:type w:val="continuous"/>
        </w:sectPr>
      </w:pPr>
    </w:p>
    <w:bookmarkStart w:id="293" w:name="page294"/>
    <w:bookmarkEnd w:id="293"/>
    <w:p>
      <w:pPr>
        <w:ind w:left="3080"/>
        <w:spacing w:after="0"/>
        <w:rPr>
          <w:sz w:val="20"/>
          <w:szCs w:val="20"/>
          <w:color w:val="auto"/>
        </w:rPr>
      </w:pPr>
      <w:r>
        <w:rPr>
          <w:rFonts w:ascii="Courier New" w:cs="Courier New" w:eastAsia="Courier New" w:hAnsi="Courier New"/>
          <w:sz w:val="15"/>
          <w:szCs w:val="15"/>
          <w:color w:val="auto"/>
        </w:rPr>
        <w:t>SIGNATURE</w:t>
      </w:r>
    </w:p>
    <w:p>
      <w:pPr>
        <w:spacing w:after="0" w:line="341"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Pursuant to the requirements of the Act, the Trustee, The Bank of New York, a corporation organized and existing under the laws of the State of New York, has duly caused this statement of eligibility to be signed on its behalf by the undersigned, thereunto duly authorized, all in The City of New York, and State of New York, on the 9th day of December, 2002.</w:t>
      </w:r>
    </w:p>
    <w:p>
      <w:pPr>
        <w:spacing w:after="0" w:line="335" w:lineRule="exact"/>
        <w:rPr>
          <w:sz w:val="20"/>
          <w:szCs w:val="20"/>
          <w:color w:val="auto"/>
        </w:rPr>
      </w:pPr>
    </w:p>
    <w:p>
      <w:pPr>
        <w:jc w:val="center"/>
        <w:ind w:right="-260"/>
        <w:spacing w:after="0"/>
        <w:rPr>
          <w:sz w:val="20"/>
          <w:szCs w:val="20"/>
          <w:color w:val="auto"/>
        </w:rPr>
      </w:pPr>
      <w:r>
        <w:rPr>
          <w:rFonts w:ascii="Courier New" w:cs="Courier New" w:eastAsia="Courier New" w:hAnsi="Courier New"/>
          <w:sz w:val="15"/>
          <w:szCs w:val="15"/>
          <w:color w:val="auto"/>
        </w:rPr>
        <w:t>THE BANK OF NEW YORK</w:t>
      </w:r>
    </w:p>
    <w:p>
      <w:pPr>
        <w:spacing w:after="0" w:line="335" w:lineRule="exact"/>
        <w:rPr>
          <w:sz w:val="20"/>
          <w:szCs w:val="20"/>
          <w:color w:val="auto"/>
        </w:rPr>
      </w:pPr>
    </w:p>
    <w:p>
      <w:pPr>
        <w:jc w:val="center"/>
        <w:ind w:right="339"/>
        <w:spacing w:after="0"/>
        <w:tabs>
          <w:tab w:leader="none" w:pos="160" w:val="left"/>
          <w:tab w:leader="none" w:pos="160" w:val="left"/>
        </w:tabs>
        <w:rPr>
          <w:sz w:val="20"/>
          <w:szCs w:val="20"/>
          <w:color w:val="auto"/>
        </w:rPr>
      </w:pPr>
      <w:r>
        <w:rPr>
          <w:rFonts w:ascii="Courier New" w:cs="Courier New" w:eastAsia="Courier New" w:hAnsi="Courier New"/>
          <w:sz w:val="15"/>
          <w:szCs w:val="15"/>
          <w:color w:val="auto"/>
        </w:rPr>
        <w:t>By:</w:t>
        <w:tab/>
        <w:t>/s/</w:t>
      </w:r>
      <w:r>
        <w:rPr>
          <w:sz w:val="20"/>
          <w:szCs w:val="20"/>
          <w:color w:val="auto"/>
        </w:rPr>
        <w:tab/>
      </w:r>
      <w:r>
        <w:rPr>
          <w:rFonts w:ascii="Courier New" w:cs="Courier New" w:eastAsia="Courier New" w:hAnsi="Courier New"/>
          <w:sz w:val="14"/>
          <w:szCs w:val="14"/>
          <w:color w:val="auto"/>
        </w:rPr>
        <w:t>MARY LAGUMINA</w:t>
      </w:r>
    </w:p>
    <w:p>
      <w:pPr>
        <w:spacing w:after="0" w:line="5" w:lineRule="exact"/>
        <w:rPr>
          <w:sz w:val="20"/>
          <w:szCs w:val="20"/>
          <w:color w:val="auto"/>
        </w:rPr>
      </w:pPr>
    </w:p>
    <w:p>
      <w:pPr>
        <w:ind w:left="420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3940"/>
        <w:spacing w:after="0"/>
        <w:tabs>
          <w:tab w:leader="none" w:pos="4540" w:val="left"/>
        </w:tabs>
        <w:rPr>
          <w:sz w:val="20"/>
          <w:szCs w:val="20"/>
          <w:color w:val="auto"/>
        </w:rPr>
      </w:pPr>
      <w:r>
        <w:rPr>
          <w:rFonts w:ascii="Courier New" w:cs="Courier New" w:eastAsia="Courier New" w:hAnsi="Courier New"/>
          <w:sz w:val="15"/>
          <w:szCs w:val="15"/>
          <w:color w:val="auto"/>
        </w:rPr>
        <w:t>Name:</w:t>
        <w:tab/>
        <w:t>MARY LAGUMINA</w:t>
      </w:r>
    </w:p>
    <w:p>
      <w:pPr>
        <w:ind w:left="3940"/>
        <w:spacing w:after="0" w:line="237" w:lineRule="auto"/>
        <w:rPr>
          <w:sz w:val="20"/>
          <w:szCs w:val="20"/>
          <w:color w:val="auto"/>
        </w:rPr>
      </w:pPr>
      <w:r>
        <w:rPr>
          <w:rFonts w:ascii="Courier New" w:cs="Courier New" w:eastAsia="Courier New" w:hAnsi="Courier New"/>
          <w:sz w:val="15"/>
          <w:szCs w:val="15"/>
          <w:color w:val="auto"/>
        </w:rPr>
        <w:t>Title: VICE PRESIDENT</w:t>
      </w:r>
    </w:p>
    <w:p>
      <w:pPr>
        <w:spacing w:after="0" w:line="200" w:lineRule="exact"/>
        <w:rPr>
          <w:sz w:val="20"/>
          <w:szCs w:val="20"/>
          <w:color w:val="auto"/>
        </w:rPr>
      </w:pPr>
    </w:p>
    <w:p>
      <w:pPr>
        <w:spacing w:after="0" w:line="303"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- 4 -</w:t>
      </w:r>
    </w:p>
    <w:sectPr>
      <w:pgSz w:w="11900" w:h="16838" w:orient="portrait"/>
      <w:cols w:equalWidth="0" w:num="1">
        <w:col w:w="10239"/>
      </w:cols>
      <w:pgMar w:left="220" w:top="78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055A5F5"/>
    <w:multiLevelType w:val="hybridMultilevel"/>
    <w:lvl w:ilvl="0">
      <w:lvlJc w:val="left"/>
      <w:lvlText w:val="(%1)"/>
      <w:numFmt w:val="decimal"/>
      <w:start w:val="1"/>
    </w:lvl>
  </w:abstractNum>
  <w:abstractNum w:abstractNumId="1">
    <w:nsid w:val="5FB8370B"/>
    <w:multiLevelType w:val="hybridMultilevel"/>
    <w:lvl w:ilvl="0">
      <w:lvlJc w:val="left"/>
      <w:lvlText w:val="(%1)"/>
      <w:numFmt w:val="decimal"/>
      <w:start w:val="3"/>
    </w:lvl>
  </w:abstractNum>
  <w:abstractNum w:abstractNumId="2">
    <w:nsid w:val="50801EE1"/>
    <w:multiLevelType w:val="hybridMultilevel"/>
    <w:lvl w:ilvl="0">
      <w:lvlJc w:val="left"/>
      <w:lvlText w:val="-"/>
      <w:numFmt w:val="bullet"/>
      <w:start w:val="1"/>
    </w:lvl>
  </w:abstractNum>
  <w:abstractNum w:abstractNumId="3">
    <w:nsid w:val="488AC1A"/>
    <w:multiLevelType w:val="hybridMultilevel"/>
    <w:lvl w:ilvl="0">
      <w:lvlJc w:val="left"/>
      <w:lvlText w:val="-"/>
      <w:numFmt w:val="bullet"/>
      <w:start w:val="1"/>
    </w:lvl>
  </w:abstractNum>
  <w:abstractNum w:abstractNumId="4">
    <w:nsid w:val="5FB8011C"/>
    <w:multiLevelType w:val="hybridMultilevel"/>
    <w:lvl w:ilvl="0">
      <w:lvlJc w:val="left"/>
      <w:lvlText w:val="-"/>
      <w:numFmt w:val="bullet"/>
      <w:start w:val="1"/>
    </w:lvl>
    <w:lvl w:ilvl="1">
      <w:lvlJc w:val="left"/>
      <w:lvlText w:val="(%2)"/>
      <w:numFmt w:val="decimal"/>
      <w:start w:val="215"/>
    </w:lvl>
  </w:abstractNum>
  <w:abstractNum w:abstractNumId="5">
    <w:nsid w:val="6AA78F7F"/>
    <w:multiLevelType w:val="hybridMultilevel"/>
    <w:lvl w:ilvl="0">
      <w:lvlJc w:val="left"/>
      <w:lvlText w:val="o"/>
      <w:numFmt w:val="bullet"/>
      <w:start w:val="1"/>
    </w:lvl>
  </w:abstractNum>
  <w:abstractNum w:abstractNumId="6">
    <w:nsid w:val="7672BD23"/>
    <w:multiLevelType w:val="hybridMultilevel"/>
    <w:lvl w:ilvl="0">
      <w:lvlJc w:val="left"/>
      <w:lvlText w:val="-"/>
      <w:numFmt w:val="bullet"/>
      <w:start w:val="1"/>
    </w:lvl>
    <w:lvl w:ilvl="1">
      <w:lvlJc w:val="left"/>
      <w:lvlText w:val="o"/>
      <w:numFmt w:val="bullet"/>
      <w:start w:val="1"/>
    </w:lvl>
  </w:abstractNum>
  <w:abstractNum w:abstractNumId="7">
    <w:nsid w:val="6FC75AF8"/>
    <w:multiLevelType w:val="hybridMultilevel"/>
    <w:lvl w:ilvl="0">
      <w:lvlJc w:val="left"/>
      <w:lvlText w:val="o"/>
      <w:numFmt w:val="bullet"/>
      <w:start w:val="1"/>
    </w:lvl>
  </w:abstractNum>
  <w:abstractNum w:abstractNumId="8">
    <w:nsid w:val="6A5F7029"/>
    <w:multiLevelType w:val="hybridMultilevel"/>
    <w:lvl w:ilvl="0">
      <w:lvlJc w:val="left"/>
      <w:lvlText w:val="o"/>
      <w:numFmt w:val="bullet"/>
      <w:start w:val="1"/>
    </w:lvl>
  </w:abstractNum>
  <w:abstractNum w:abstractNumId="9">
    <w:nsid w:val="7D5E18F8"/>
    <w:multiLevelType w:val="hybridMultilevel"/>
    <w:lvl w:ilvl="0">
      <w:lvlJc w:val="left"/>
      <w:lvlText w:val="o"/>
      <w:numFmt w:val="bullet"/>
      <w:start w:val="1"/>
    </w:lvl>
  </w:abstractNum>
  <w:abstractNum w:abstractNumId="10">
    <w:nsid w:val="5F3534A4"/>
    <w:multiLevelType w:val="hybridMultilevel"/>
    <w:lvl w:ilvl="0">
      <w:lvlJc w:val="left"/>
      <w:lvlText w:val="o"/>
      <w:numFmt w:val="bullet"/>
      <w:start w:val="1"/>
    </w:lvl>
  </w:abstractNum>
  <w:abstractNum w:abstractNumId="11">
    <w:nsid w:val="73A1821B"/>
    <w:multiLevelType w:val="hybridMultilevel"/>
    <w:lvl w:ilvl="0">
      <w:lvlJc w:val="left"/>
      <w:lvlText w:val="o"/>
      <w:numFmt w:val="bullet"/>
      <w:start w:val="1"/>
    </w:lvl>
  </w:abstractNum>
  <w:abstractNum w:abstractNumId="12">
    <w:nsid w:val="7DE67713"/>
    <w:multiLevelType w:val="hybridMultilevel"/>
    <w:lvl w:ilvl="0">
      <w:lvlJc w:val="left"/>
      <w:lvlText w:val="o"/>
      <w:numFmt w:val="bullet"/>
      <w:start w:val="1"/>
    </w:lvl>
  </w:abstractNum>
  <w:abstractNum w:abstractNumId="13">
    <w:nsid w:val="555C55B5"/>
    <w:multiLevelType w:val="hybridMultilevel"/>
    <w:lvl w:ilvl="0">
      <w:lvlJc w:val="left"/>
      <w:lvlText w:val="(%1)"/>
      <w:numFmt w:val="lowerLetter"/>
      <w:start w:val="1"/>
    </w:lvl>
  </w:abstractNum>
  <w:abstractNum w:abstractNumId="14">
    <w:nsid w:val="3FA62ACA"/>
    <w:multiLevelType w:val="hybridMultilevel"/>
    <w:lvl w:ilvl="0">
      <w:lvlJc w:val="left"/>
      <w:lvlText w:val="(%1)"/>
      <w:numFmt w:val="lowerLetter"/>
      <w:start w:val="3"/>
    </w:lvl>
  </w:abstractNum>
  <w:abstractNum w:abstractNumId="15">
    <w:nsid w:val="14FCE74E"/>
    <w:multiLevelType w:val="hybridMultilevel"/>
    <w:lvl w:ilvl="0">
      <w:lvlJc w:val="left"/>
      <w:lvlText w:val="(%1)"/>
      <w:numFmt w:val="lowerLetter"/>
      <w:start w:val="10"/>
    </w:lvl>
  </w:abstractNum>
  <w:abstractNum w:abstractNumId="16">
    <w:nsid w:val="6A3DD3E8"/>
    <w:multiLevelType w:val="hybridMultilevel"/>
    <w:lvl w:ilvl="0">
      <w:lvlJc w:val="left"/>
      <w:lvlText w:val="(%1)"/>
      <w:numFmt w:val="lowerLetter"/>
      <w:start w:val="11"/>
    </w:lvl>
  </w:abstractNum>
  <w:abstractNum w:abstractNumId="17">
    <w:nsid w:val="71C91298"/>
    <w:multiLevelType w:val="hybridMultilevel"/>
    <w:lvl w:ilvl="0">
      <w:lvlJc w:val="left"/>
      <w:lvlText w:val="o"/>
      <w:numFmt w:val="bullet"/>
      <w:start w:val="1"/>
    </w:lvl>
  </w:abstractNum>
  <w:abstractNum w:abstractNumId="18">
    <w:nsid w:val="9DAF632"/>
    <w:multiLevelType w:val="hybridMultilevel"/>
    <w:lvl w:ilvl="0">
      <w:lvlJc w:val="left"/>
      <w:lvlText w:val="o"/>
      <w:numFmt w:val="bullet"/>
      <w:start w:val="1"/>
    </w:lvl>
  </w:abstractNum>
  <w:abstractNum w:abstractNumId="19">
    <w:nsid w:val="53299938"/>
    <w:multiLevelType w:val="hybridMultilevel"/>
    <w:lvl w:ilvl="0">
      <w:lvlJc w:val="left"/>
      <w:lvlText w:val="o"/>
      <w:numFmt w:val="bullet"/>
      <w:start w:val="1"/>
    </w:lvl>
  </w:abstractNum>
  <w:abstractNum w:abstractNumId="20">
    <w:nsid w:val="1FBFE8E0"/>
    <w:multiLevelType w:val="hybridMultilevel"/>
    <w:lvl w:ilvl="0">
      <w:lvlJc w:val="left"/>
      <w:lvlText w:val="o"/>
      <w:numFmt w:val="bullet"/>
      <w:start w:val="1"/>
    </w:lvl>
  </w:abstractNum>
  <w:abstractNum w:abstractNumId="21">
    <w:nsid w:val="5092CA79"/>
    <w:multiLevelType w:val="hybridMultilevel"/>
    <w:lvl w:ilvl="0">
      <w:lvlJc w:val="left"/>
      <w:lvlText w:val="o"/>
      <w:numFmt w:val="bullet"/>
      <w:start w:val="1"/>
    </w:lvl>
  </w:abstractNum>
  <w:abstractNum w:abstractNumId="22">
    <w:nsid w:val="1D545C4D"/>
    <w:multiLevelType w:val="hybridMultilevel"/>
    <w:lvl w:ilvl="0">
      <w:lvlJc w:val="left"/>
      <w:lvlText w:val="o"/>
      <w:numFmt w:val="bullet"/>
      <w:start w:val="1"/>
    </w:lvl>
  </w:abstractNum>
  <w:abstractNum w:abstractNumId="23">
    <w:nsid w:val="59ADEA3D"/>
    <w:multiLevelType w:val="hybridMultilevel"/>
    <w:lvl w:ilvl="0">
      <w:lvlJc w:val="left"/>
      <w:lvlText w:val="o"/>
      <w:numFmt w:val="bullet"/>
      <w:start w:val="1"/>
    </w:lvl>
  </w:abstractNum>
  <w:abstractNum w:abstractNumId="24">
    <w:nsid w:val="288F1A34"/>
    <w:multiLevelType w:val="hybridMultilevel"/>
    <w:lvl w:ilvl="0">
      <w:lvlJc w:val="left"/>
      <w:lvlText w:val="o"/>
      <w:numFmt w:val="bullet"/>
      <w:start w:val="1"/>
    </w:lvl>
  </w:abstractNum>
  <w:abstractNum w:abstractNumId="25">
    <w:nsid w:val="2A155DBC"/>
    <w:multiLevelType w:val="hybridMultilevel"/>
    <w:lvl w:ilvl="0">
      <w:lvlJc w:val="left"/>
      <w:lvlText w:val="o"/>
      <w:numFmt w:val="bullet"/>
      <w:start w:val="1"/>
    </w:lvl>
  </w:abstractNum>
  <w:abstractNum w:abstractNumId="26">
    <w:nsid w:val="1D9F6E5F"/>
    <w:multiLevelType w:val="hybridMultilevel"/>
    <w:lvl w:ilvl="0">
      <w:lvlJc w:val="left"/>
      <w:lvlText w:val="o"/>
      <w:numFmt w:val="bullet"/>
      <w:start w:val="1"/>
    </w:lvl>
  </w:abstractNum>
  <w:abstractNum w:abstractNumId="27">
    <w:nsid w:val="97E1B4E"/>
    <w:multiLevelType w:val="hybridMultilevel"/>
    <w:lvl w:ilvl="0">
      <w:lvlJc w:val="left"/>
      <w:lvlText w:val="o"/>
      <w:numFmt w:val="bullet"/>
      <w:start w:val="1"/>
    </w:lvl>
  </w:abstractNum>
  <w:abstractNum w:abstractNumId="28">
    <w:nsid w:val="51088277"/>
    <w:multiLevelType w:val="hybridMultilevel"/>
    <w:lvl w:ilvl="0">
      <w:lvlJc w:val="left"/>
      <w:lvlText w:val="o"/>
      <w:numFmt w:val="bullet"/>
      <w:start w:val="1"/>
    </w:lvl>
  </w:abstractNum>
  <w:abstractNum w:abstractNumId="29">
    <w:nsid w:val="1CA0C5FA"/>
    <w:multiLevelType w:val="hybridMultilevel"/>
    <w:lvl w:ilvl="0">
      <w:lvlJc w:val="left"/>
      <w:lvlText w:val="o"/>
      <w:numFmt w:val="bullet"/>
      <w:start w:val="1"/>
    </w:lvl>
  </w:abstractNum>
  <w:abstractNum w:abstractNumId="30">
    <w:nsid w:val="53584BCB"/>
    <w:multiLevelType w:val="hybridMultilevel"/>
    <w:lvl w:ilvl="0">
      <w:lvlJc w:val="left"/>
      <w:lvlText w:val="(%1)"/>
      <w:numFmt w:val="decimal"/>
      <w:start w:val="1"/>
    </w:lvl>
  </w:abstractNum>
  <w:abstractNum w:abstractNumId="31">
    <w:nsid w:val="415E286C"/>
    <w:multiLevelType w:val="hybridMultilevel"/>
    <w:lvl w:ilvl="0">
      <w:lvlJc w:val="left"/>
      <w:lvlText w:val="(%1)"/>
      <w:numFmt w:val="decimal"/>
      <w:start w:val="3"/>
    </w:lvl>
  </w:abstractNum>
  <w:abstractNum w:abstractNumId="32">
    <w:nsid w:val="7C58FD05"/>
    <w:multiLevelType w:val="hybridMultilevel"/>
    <w:lvl w:ilvl="0">
      <w:lvlJc w:val="left"/>
      <w:lvlText w:val="o"/>
      <w:numFmt w:val="bullet"/>
      <w:start w:val="1"/>
    </w:lvl>
  </w:abstractNum>
  <w:abstractNum w:abstractNumId="33">
    <w:nsid w:val="23D86AAC"/>
    <w:multiLevelType w:val="hybridMultilevel"/>
    <w:lvl w:ilvl="0">
      <w:lvlJc w:val="left"/>
      <w:lvlText w:val="(%1)"/>
      <w:numFmt w:val="decimal"/>
      <w:start w:val="6"/>
    </w:lvl>
  </w:abstractNum>
  <w:abstractNum w:abstractNumId="34">
    <w:nsid w:val="45E6D486"/>
    <w:multiLevelType w:val="hybridMultilevel"/>
    <w:lvl w:ilvl="0">
      <w:lvlJc w:val="left"/>
      <w:lvlText w:val="(%1)"/>
      <w:numFmt w:val="decimal"/>
      <w:start w:val="5"/>
    </w:lvl>
  </w:abstractNum>
  <w:abstractNum w:abstractNumId="35">
    <w:nsid w:val="5C10FE21"/>
    <w:multiLevelType w:val="hybridMultilevel"/>
    <w:lvl w:ilvl="0">
      <w:lvlJc w:val="left"/>
      <w:lvlText w:val="o"/>
      <w:numFmt w:val="bullet"/>
      <w:start w:val="1"/>
    </w:lvl>
  </w:abstractNum>
  <w:abstractNum w:abstractNumId="36">
    <w:nsid w:val="E7FFA2B"/>
    <w:multiLevelType w:val="hybridMultilevel"/>
    <w:lvl w:ilvl="0">
      <w:lvlJc w:val="left"/>
      <w:lvlText w:val="o"/>
      <w:numFmt w:val="bullet"/>
      <w:start w:val="1"/>
    </w:lvl>
  </w:abstractNum>
  <w:abstractNum w:abstractNumId="37">
    <w:nsid w:val="3C5991AA"/>
    <w:multiLevelType w:val="hybridMultilevel"/>
    <w:lvl w:ilvl="0">
      <w:lvlJc w:val="left"/>
      <w:lvlText w:val="o"/>
      <w:numFmt w:val="bullet"/>
      <w:start w:val="1"/>
    </w:lvl>
  </w:abstractNum>
  <w:abstractNum w:abstractNumId="38">
    <w:nsid w:val="4BD8591A"/>
    <w:multiLevelType w:val="hybridMultilevel"/>
    <w:lvl w:ilvl="0">
      <w:lvlJc w:val="left"/>
      <w:lvlText w:val="o"/>
      <w:numFmt w:val="bullet"/>
      <w:start w:val="1"/>
    </w:lvl>
  </w:abstractNum>
  <w:abstractNum w:abstractNumId="39">
    <w:nsid w:val="78DF6A55"/>
    <w:multiLevelType w:val="hybridMultilevel"/>
    <w:lvl w:ilvl="0">
      <w:lvlJc w:val="left"/>
      <w:lvlText w:val="o"/>
      <w:numFmt w:val="bullet"/>
      <w:start w:val="1"/>
    </w:lvl>
  </w:abstractNum>
  <w:abstractNum w:abstractNumId="40">
    <w:nsid w:val="39B7AAA2"/>
    <w:multiLevelType w:val="hybridMultilevel"/>
    <w:lvl w:ilvl="0">
      <w:lvlJc w:val="left"/>
      <w:lvlText w:val="o"/>
      <w:numFmt w:val="bullet"/>
      <w:start w:val="1"/>
    </w:lvl>
  </w:abstractNum>
  <w:abstractNum w:abstractNumId="41">
    <w:nsid w:val="2B0D8DBE"/>
    <w:multiLevelType w:val="hybridMultilevel"/>
    <w:lvl w:ilvl="0">
      <w:lvlJc w:val="left"/>
      <w:lvlText w:val="o"/>
      <w:numFmt w:val="bullet"/>
      <w:start w:val="1"/>
    </w:lvl>
  </w:abstractNum>
  <w:abstractNum w:abstractNumId="42">
    <w:nsid w:val="6C80EC70"/>
    <w:multiLevelType w:val="hybridMultilevel"/>
    <w:lvl w:ilvl="0">
      <w:lvlJc w:val="left"/>
      <w:lvlText w:val="o"/>
      <w:numFmt w:val="bullet"/>
      <w:start w:val="1"/>
    </w:lvl>
  </w:abstractNum>
  <w:abstractNum w:abstractNumId="43">
    <w:nsid w:val="379E21B5"/>
    <w:multiLevelType w:val="hybridMultilevel"/>
    <w:lvl w:ilvl="0">
      <w:lvlJc w:val="left"/>
      <w:lvlText w:val="o"/>
      <w:numFmt w:val="bullet"/>
      <w:start w:val="1"/>
    </w:lvl>
  </w:abstractNum>
  <w:abstractNum w:abstractNumId="44">
    <w:nsid w:val="69E373"/>
    <w:multiLevelType w:val="hybridMultilevel"/>
    <w:lvl w:ilvl="0">
      <w:lvlJc w:val="left"/>
      <w:lvlText w:val="o"/>
      <w:numFmt w:val="bullet"/>
      <w:start w:val="1"/>
    </w:lvl>
  </w:abstractNum>
  <w:abstractNum w:abstractNumId="45">
    <w:nsid w:val="2C27173B"/>
    <w:multiLevelType w:val="hybridMultilevel"/>
    <w:lvl w:ilvl="0">
      <w:lvlJc w:val="left"/>
      <w:lvlText w:val="o"/>
      <w:numFmt w:val="bullet"/>
      <w:start w:val="1"/>
    </w:lvl>
  </w:abstractNum>
  <w:abstractNum w:abstractNumId="46">
    <w:nsid w:val="4C9B0904"/>
    <w:multiLevelType w:val="hybridMultilevel"/>
    <w:lvl w:ilvl="0">
      <w:lvlJc w:val="left"/>
      <w:lvlText w:val="o"/>
      <w:numFmt w:val="bullet"/>
      <w:start w:val="1"/>
    </w:lvl>
  </w:abstractNum>
  <w:abstractNum w:abstractNumId="47">
    <w:nsid w:val="6AA7B75C"/>
    <w:multiLevelType w:val="hybridMultilevel"/>
    <w:lvl w:ilvl="0">
      <w:lvlJc w:val="left"/>
      <w:lvlText w:val="o"/>
      <w:numFmt w:val="bullet"/>
      <w:start w:val="1"/>
    </w:lvl>
  </w:abstractNum>
  <w:abstractNum w:abstractNumId="48">
    <w:nsid w:val="1DF029D3"/>
    <w:multiLevelType w:val="hybridMultilevel"/>
    <w:lvl w:ilvl="0">
      <w:lvlJc w:val="left"/>
      <w:lvlText w:val="o"/>
      <w:numFmt w:val="bullet"/>
      <w:start w:val="1"/>
    </w:lvl>
  </w:abstractNum>
  <w:abstractNum w:abstractNumId="49">
    <w:nsid w:val="5675FF36"/>
    <w:multiLevelType w:val="hybridMultilevel"/>
    <w:lvl w:ilvl="0">
      <w:lvlJc w:val="left"/>
      <w:lvlText w:val="o"/>
      <w:numFmt w:val="bullet"/>
      <w:start w:val="1"/>
    </w:lvl>
  </w:abstractNum>
  <w:abstractNum w:abstractNumId="50">
    <w:nsid w:val="3DD15094"/>
    <w:multiLevelType w:val="hybridMultilevel"/>
    <w:lvl w:ilvl="0">
      <w:lvlJc w:val="left"/>
      <w:lvlText w:val="o"/>
      <w:numFmt w:val="bullet"/>
      <w:start w:val="1"/>
    </w:lvl>
  </w:abstractNum>
  <w:abstractNum w:abstractNumId="51">
    <w:nsid w:val="3DB012B3"/>
    <w:multiLevelType w:val="hybridMultilevel"/>
    <w:lvl w:ilvl="0">
      <w:lvlJc w:val="left"/>
      <w:lvlText w:val="o"/>
      <w:numFmt w:val="bullet"/>
      <w:start w:val="1"/>
    </w:lvl>
  </w:abstractNum>
  <w:abstractNum w:abstractNumId="52">
    <w:nsid w:val="2708C9AF"/>
    <w:multiLevelType w:val="hybridMultilevel"/>
    <w:lvl w:ilvl="0">
      <w:lvlJc w:val="left"/>
      <w:lvlText w:val="o"/>
      <w:numFmt w:val="bullet"/>
      <w:start w:val="1"/>
    </w:lvl>
  </w:abstractNum>
  <w:abstractNum w:abstractNumId="53">
    <w:nsid w:val="5B25ACE2"/>
    <w:multiLevelType w:val="hybridMultilevel"/>
    <w:lvl w:ilvl="0">
      <w:lvlJc w:val="left"/>
      <w:lvlText w:val="o"/>
      <w:numFmt w:val="bullet"/>
      <w:start w:val="1"/>
    </w:lvl>
  </w:abstractNum>
  <w:abstractNum w:abstractNumId="54">
    <w:nsid w:val="175DFCF0"/>
    <w:multiLevelType w:val="hybridMultilevel"/>
    <w:lvl w:ilvl="0">
      <w:lvlJc w:val="left"/>
      <w:lvlText w:val="o"/>
      <w:numFmt w:val="bullet"/>
      <w:start w:val="1"/>
    </w:lvl>
  </w:abstractNum>
  <w:abstractNum w:abstractNumId="55">
    <w:nsid w:val="4F97E3E4"/>
    <w:multiLevelType w:val="hybridMultilevel"/>
    <w:lvl w:ilvl="0">
      <w:lvlJc w:val="left"/>
      <w:lvlText w:val="o"/>
      <w:numFmt w:val="bullet"/>
      <w:start w:val="1"/>
    </w:lvl>
  </w:abstractNum>
  <w:abstractNum w:abstractNumId="56">
    <w:nsid w:val="53B0A9E"/>
    <w:multiLevelType w:val="hybridMultilevel"/>
    <w:lvl w:ilvl="0">
      <w:lvlJc w:val="left"/>
      <w:lvlText w:val="o"/>
      <w:numFmt w:val="bullet"/>
      <w:start w:val="1"/>
    </w:lvl>
  </w:abstractNum>
  <w:abstractNum w:abstractNumId="57">
    <w:nsid w:val="34FD6B4F"/>
    <w:multiLevelType w:val="hybridMultilevel"/>
    <w:lvl w:ilvl="0">
      <w:lvlJc w:val="left"/>
      <w:lvlText w:val="o"/>
      <w:numFmt w:val="bullet"/>
      <w:start w:val="1"/>
    </w:lvl>
  </w:abstractNum>
  <w:abstractNum w:abstractNumId="58">
    <w:nsid w:val="5915FF32"/>
    <w:multiLevelType w:val="hybridMultilevel"/>
    <w:lvl w:ilvl="0">
      <w:lvlJc w:val="left"/>
      <w:lvlText w:val="o"/>
      <w:numFmt w:val="bullet"/>
      <w:start w:val="1"/>
    </w:lvl>
  </w:abstractNum>
  <w:abstractNum w:abstractNumId="59">
    <w:nsid w:val="56438D15"/>
    <w:multiLevelType w:val="hybridMultilevel"/>
    <w:lvl w:ilvl="0">
      <w:lvlJc w:val="left"/>
      <w:lvlText w:val="o"/>
      <w:numFmt w:val="bullet"/>
      <w:start w:val="1"/>
    </w:lvl>
  </w:abstractNum>
  <w:abstractNum w:abstractNumId="60">
    <w:nsid w:val="519E3149"/>
    <w:multiLevelType w:val="hybridMultilevel"/>
    <w:lvl w:ilvl="0">
      <w:lvlJc w:val="left"/>
      <w:lvlText w:val="o"/>
      <w:numFmt w:val="bullet"/>
      <w:start w:val="1"/>
    </w:lvl>
  </w:abstractNum>
  <w:abstractNum w:abstractNumId="61">
    <w:nsid w:val="2C6E4AFD"/>
    <w:multiLevelType w:val="hybridMultilevel"/>
    <w:lvl w:ilvl="0">
      <w:lvlJc w:val="left"/>
      <w:lvlText w:val="o"/>
      <w:numFmt w:val="bullet"/>
      <w:start w:val="1"/>
    </w:lvl>
  </w:abstractNum>
  <w:abstractNum w:abstractNumId="62">
    <w:nsid w:val="17A1B582"/>
    <w:multiLevelType w:val="hybridMultilevel"/>
    <w:lvl w:ilvl="0">
      <w:lvlJc w:val="left"/>
      <w:lvlText w:val="o"/>
      <w:numFmt w:val="bullet"/>
      <w:start w:val="1"/>
    </w:lvl>
  </w:abstractNum>
  <w:abstractNum w:abstractNumId="63">
    <w:nsid w:val="4DF72E4E"/>
    <w:multiLevelType w:val="hybridMultilevel"/>
    <w:lvl w:ilvl="0">
      <w:lvlJc w:val="left"/>
      <w:lvlText w:val="o"/>
      <w:numFmt w:val="bullet"/>
      <w:start w:val="1"/>
    </w:lvl>
  </w:abstractNum>
  <w:abstractNum w:abstractNumId="64">
    <w:nsid w:val="5046B5A9"/>
    <w:multiLevelType w:val="hybridMultilevel"/>
    <w:lvl w:ilvl="0">
      <w:lvlJc w:val="left"/>
      <w:lvlText w:val="&amp;"/>
      <w:numFmt w:val="bullet"/>
      <w:start w:val="1"/>
    </w:lvl>
  </w:abstractNum>
  <w:abstractNum w:abstractNumId="65">
    <w:nsid w:val="5D888A08"/>
    <w:multiLevelType w:val="hybridMultilevel"/>
    <w:lvl w:ilvl="0">
      <w:lvlJc w:val="left"/>
      <w:lvlText w:val="o"/>
      <w:numFmt w:val="bullet"/>
      <w:start w:val="1"/>
    </w:lvl>
  </w:abstractNum>
  <w:abstractNum w:abstractNumId="66">
    <w:nsid w:val="2A082C70"/>
    <w:multiLevelType w:val="hybridMultilevel"/>
    <w:lvl w:ilvl="0">
      <w:lvlJc w:val="left"/>
      <w:lvlText w:val="o"/>
      <w:numFmt w:val="bullet"/>
      <w:start w:val="1"/>
    </w:lvl>
  </w:abstractNum>
  <w:abstractNum w:abstractNumId="67">
    <w:nsid w:val="5EC6AFD4"/>
    <w:multiLevelType w:val="hybridMultilevel"/>
    <w:lvl w:ilvl="0">
      <w:lvlJc w:val="left"/>
      <w:lvlText w:val="o"/>
      <w:numFmt w:val="bullet"/>
      <w:start w:val="1"/>
    </w:lvl>
  </w:abstractNum>
  <w:abstractNum w:abstractNumId="68">
    <w:nsid w:val="19E21BB2"/>
    <w:multiLevelType w:val="hybridMultilevel"/>
    <w:lvl w:ilvl="0">
      <w:lvlJc w:val="left"/>
      <w:lvlText w:val="o"/>
      <w:numFmt w:val="bullet"/>
      <w:start w:val="1"/>
    </w:lvl>
  </w:abstractNum>
  <w:abstractNum w:abstractNumId="69">
    <w:nsid w:val="75E0858A"/>
    <w:multiLevelType w:val="hybridMultilevel"/>
    <w:lvl w:ilvl="0">
      <w:lvlJc w:val="left"/>
      <w:lvlText w:val="*"/>
      <w:numFmt w:val="bullet"/>
      <w:start w:val="1"/>
    </w:lvl>
  </w:abstractNum>
  <w:abstractNum w:abstractNumId="70">
    <w:nsid w:val="57A61A29"/>
    <w:multiLevelType w:val="hybridMultilevel"/>
    <w:lvl w:ilvl="0">
      <w:lvlJc w:val="left"/>
      <w:lvlText w:val="**"/>
      <w:numFmt w:val="bullet"/>
      <w:start w:val="1"/>
    </w:lvl>
  </w:abstractNum>
  <w:abstractNum w:abstractNumId="71">
    <w:nsid w:val="5399C654"/>
    <w:multiLevelType w:val="hybridMultilevel"/>
    <w:lvl w:ilvl="0">
      <w:lvlJc w:val="left"/>
      <w:lvlText w:val="***"/>
      <w:numFmt w:val="bullet"/>
      <w:start w:val="1"/>
    </w:lvl>
  </w:abstractNum>
  <w:abstractNum w:abstractNumId="72">
    <w:nsid w:val="20EE1348"/>
    <w:multiLevelType w:val="hybridMultilevel"/>
    <w:lvl w:ilvl="0">
      <w:lvlJc w:val="left"/>
      <w:lvlText w:val="****"/>
      <w:numFmt w:val="bullet"/>
      <w:start w:val="1"/>
    </w:lvl>
  </w:abstractNum>
  <w:abstractNum w:abstractNumId="73">
    <w:nsid w:val="4427069A"/>
    <w:multiLevelType w:val="hybridMultilevel"/>
    <w:lvl w:ilvl="0">
      <w:lvlJc w:val="left"/>
      <w:lvlText w:val="*****"/>
      <w:numFmt w:val="bullet"/>
      <w:start w:val="1"/>
    </w:lvl>
  </w:abstractNum>
  <w:abstractNum w:abstractNumId="74">
    <w:nsid w:val="B37E80A"/>
    <w:multiLevelType w:val="hybridMultilevel"/>
    <w:lvl w:ilvl="0">
      <w:lvlJc w:val="left"/>
      <w:lvlText w:val="%1."/>
      <w:numFmt w:val="decimal"/>
      <w:start w:val="1"/>
    </w:lvl>
    <w:lvl w:ilvl="1">
      <w:lvlJc w:val="left"/>
      <w:lvlText w:val="(%2)"/>
      <w:numFmt w:val="lowerRoman"/>
      <w:start w:val="1"/>
    </w:lvl>
  </w:abstractNum>
  <w:abstractNum w:abstractNumId="75">
    <w:nsid w:val="2157F6BC"/>
    <w:multiLevelType w:val="hybridMultilevel"/>
    <w:lvl w:ilvl="0">
      <w:lvlJc w:val="left"/>
      <w:lvlText w:val="(%1)"/>
      <w:numFmt w:val="lowerRoman"/>
      <w:start w:val="3"/>
    </w:lvl>
  </w:abstractNum>
  <w:abstractNum w:abstractNumId="76">
    <w:nsid w:val="704E1DD5"/>
    <w:multiLevelType w:val="hybridMultilevel"/>
    <w:lvl w:ilvl="0">
      <w:lvlJc w:val="left"/>
      <w:lvlText w:val="%1"/>
      <w:numFmt w:val="decimal"/>
      <w:start w:val="1"/>
    </w:lvl>
    <w:lvl w:ilvl="1">
      <w:lvlJc w:val="left"/>
      <w:lvlText w:val="(%2)"/>
      <w:numFmt w:val="lowerLetter"/>
      <w:start w:val="2"/>
    </w:lvl>
  </w:abstractNum>
  <w:abstractNum w:abstractNumId="77">
    <w:nsid w:val="57D2F10E"/>
    <w:multiLevelType w:val="hybridMultilevel"/>
    <w:lvl w:ilvl="0">
      <w:lvlJc w:val="left"/>
      <w:lvlText w:val="%1."/>
      <w:numFmt w:val="decimal"/>
      <w:start w:val="2"/>
    </w:lvl>
    <w:lvl w:ilvl="1">
      <w:lvlJc w:val="left"/>
      <w:lvlText w:val="%2"/>
      <w:numFmt w:val="lowerLetter"/>
      <w:start w:val="1"/>
    </w:lvl>
  </w:abstractNum>
  <w:abstractNum w:abstractNumId="78">
    <w:nsid w:val="BFFAE18"/>
    <w:multiLevelType w:val="hybridMultilevel"/>
    <w:lvl w:ilvl="0">
      <w:lvlJc w:val="left"/>
      <w:lvlText w:val="-"/>
      <w:numFmt w:val="bullet"/>
      <w:start w:val="1"/>
    </w:lvl>
  </w:abstractNum>
  <w:abstractNum w:abstractNumId="79">
    <w:nsid w:val="E3E47A8"/>
    <w:multiLevelType w:val="hybridMultilevel"/>
    <w:lvl w:ilvl="0">
      <w:lvlJc w:val="left"/>
      <w:lvlText w:val="-"/>
      <w:numFmt w:val="bullet"/>
      <w:start w:val="1"/>
    </w:lvl>
  </w:abstractNum>
  <w:abstractNum w:abstractNumId="80">
    <w:nsid w:val="2E48F044"/>
    <w:multiLevelType w:val="hybridMultilevel"/>
    <w:lvl w:ilvl="0">
      <w:lvlJc w:val="left"/>
      <w:lvlText w:val="-"/>
      <w:numFmt w:val="bullet"/>
      <w:start w:val="1"/>
    </w:lvl>
  </w:abstractNum>
  <w:abstractNum w:abstractNumId="81">
    <w:nsid w:val="49D0FEAC"/>
    <w:multiLevelType w:val="hybridMultilevel"/>
    <w:lvl w:ilvl="0">
      <w:lvlJc w:val="left"/>
      <w:lvlText w:val="*"/>
      <w:numFmt w:val="bullet"/>
      <w:start w:val="1"/>
    </w:lvl>
  </w:abstractNum>
  <w:abstractNum w:abstractNumId="82">
    <w:nsid w:val="4BEE5A5B"/>
    <w:multiLevelType w:val="hybridMultilevel"/>
    <w:lvl w:ilvl="0">
      <w:lvlJc w:val="left"/>
      <w:lvlText w:val="**"/>
      <w:numFmt w:val="bullet"/>
      <w:start w:val="1"/>
    </w:lvl>
  </w:abstractNum>
  <w:abstractNum w:abstractNumId="83">
    <w:nsid w:val="5551B9F3"/>
    <w:multiLevelType w:val="hybridMultilevel"/>
    <w:lvl w:ilvl="0">
      <w:lvlJc w:val="left"/>
      <w:lvlText w:val="***"/>
      <w:numFmt w:val="bullet"/>
      <w:start w:val="1"/>
    </w:lvl>
  </w:abstractNum>
  <w:abstractNum w:abstractNumId="84">
    <w:nsid w:val="24F6AB8E"/>
    <w:multiLevelType w:val="hybridMultilevel"/>
    <w:lvl w:ilvl="0">
      <w:lvlJc w:val="left"/>
      <w:lvlText w:val="****"/>
      <w:numFmt w:val="bullet"/>
      <w:start w:val="1"/>
    </w:lvl>
  </w:abstractNum>
  <w:abstractNum w:abstractNumId="85">
    <w:nsid w:val="634C574C"/>
    <w:multiLevelType w:val="hybridMultilevel"/>
    <w:lvl w:ilvl="0">
      <w:lvlJc w:val="left"/>
      <w:lvlText w:val="*****"/>
      <w:numFmt w:val="bullet"/>
      <w:start w:val="1"/>
    </w:lvl>
  </w:abstractNum>
  <w:abstractNum w:abstractNumId="86">
    <w:nsid w:val="24E99DD7"/>
    <w:multiLevelType w:val="hybridMultilevel"/>
    <w:lvl w:ilvl="0">
      <w:lvlJc w:val="left"/>
      <w:lvlText w:val="(%1)"/>
      <w:numFmt w:val="lowerRoman"/>
      <w:start w:val="3"/>
    </w:lvl>
  </w:abstractNum>
  <w:abstractNum w:abstractNumId="87">
    <w:nsid w:val="2A31B62D"/>
    <w:multiLevelType w:val="hybridMultilevel"/>
    <w:lvl w:ilvl="0">
      <w:lvlJc w:val="left"/>
      <w:lvlText w:val="(%1)"/>
      <w:numFmt w:val="lowerLetter"/>
      <w:start w:val="1"/>
    </w:lvl>
  </w:abstractNum>
  <w:abstractNum w:abstractNumId="88">
    <w:nsid w:val="1849C29B"/>
    <w:multiLevelType w:val="hybridMultilevel"/>
    <w:lvl w:ilvl="0">
      <w:lvlJc w:val="left"/>
      <w:lvlText w:val="(%1)"/>
      <w:numFmt w:val="lowerLetter"/>
      <w:start w:val="1"/>
    </w:lvl>
    <w:lvl w:ilvl="1">
      <w:lvlJc w:val="left"/>
      <w:lvlText w:val="(%2)"/>
      <w:numFmt w:val="lowerRoman"/>
      <w:start w:val="1"/>
    </w:lvl>
  </w:abstractNum>
  <w:abstractNum w:abstractNumId="89">
    <w:nsid w:val="7DFF9D09"/>
    <w:multiLevelType w:val="hybridMultilevel"/>
    <w:lvl w:ilvl="0">
      <w:lvlJc w:val="left"/>
      <w:lvlText w:val="(%1)"/>
      <w:numFmt w:val="lowerLetter"/>
      <w:start w:val="7"/>
    </w:lvl>
  </w:abstractNum>
  <w:abstractNum w:abstractNumId="90">
    <w:nsid w:val="754342"/>
    <w:multiLevelType w:val="hybridMultilevel"/>
    <w:lvl w:ilvl="0">
      <w:lvlJc w:val="left"/>
      <w:lvlText w:val="(%1)"/>
      <w:numFmt w:val="lowerLetter"/>
      <w:start w:val="1"/>
    </w:lvl>
  </w:abstractNum>
  <w:abstractNum w:abstractNumId="91">
    <w:nsid w:val="69E7F3E5"/>
    <w:multiLevelType w:val="hybridMultilevel"/>
    <w:lvl w:ilvl="0">
      <w:lvlJc w:val="left"/>
      <w:lvlText w:val="(%1)"/>
      <w:numFmt w:val="lowerLetter"/>
      <w:start w:val="1"/>
    </w:lvl>
  </w:abstractNum>
  <w:abstractNum w:abstractNumId="92">
    <w:nsid w:val="2A6DE806"/>
    <w:multiLevelType w:val="hybridMultilevel"/>
    <w:lvl w:ilvl="0">
      <w:lvlJc w:val="left"/>
      <w:lvlText w:val="(%1)"/>
      <w:numFmt w:val="lowerLetter"/>
      <w:start w:val="1"/>
    </w:lvl>
  </w:abstractNum>
  <w:abstractNum w:abstractNumId="93">
    <w:nsid w:val="1816F8C4"/>
    <w:multiLevelType w:val="hybridMultilevel"/>
    <w:lvl w:ilvl="0">
      <w:lvlJc w:val="left"/>
      <w:lvlText w:val="(%1)"/>
      <w:numFmt w:val="lowerLetter"/>
      <w:start w:val="9"/>
    </w:lvl>
  </w:abstractNum>
  <w:abstractNum w:abstractNumId="94">
    <w:nsid w:val="37DF2233"/>
    <w:multiLevelType w:val="hybridMultilevel"/>
    <w:lvl w:ilvl="0">
      <w:lvlJc w:val="left"/>
      <w:lvlText w:val="(%1)"/>
      <w:numFmt w:val="lowerLetter"/>
      <w:start w:val="1"/>
    </w:lvl>
  </w:abstractNum>
  <w:abstractNum w:abstractNumId="95">
    <w:nsid w:val="7AB49DAF"/>
    <w:multiLevelType w:val="hybridMultilevel"/>
    <w:lvl w:ilvl="0">
      <w:lvlJc w:val="left"/>
      <w:lvlText w:val="(%1)"/>
      <w:numFmt w:val="lowerRoman"/>
      <w:start w:val="1"/>
    </w:lvl>
  </w:abstractNum>
  <w:abstractNum w:abstractNumId="96">
    <w:nsid w:val="759F82CD"/>
    <w:multiLevelType w:val="hybridMultilevel"/>
    <w:lvl w:ilvl="0">
      <w:lvlJc w:val="left"/>
      <w:lvlText w:val="(%1)"/>
      <w:numFmt w:val="lowerRoman"/>
      <w:start w:val="1"/>
    </w:lvl>
  </w:abstractNum>
  <w:abstractNum w:abstractNumId="97">
    <w:nsid w:val="61E74EA3"/>
    <w:multiLevelType w:val="hybridMultilevel"/>
    <w:lvl w:ilvl="0">
      <w:lvlJc w:val="left"/>
      <w:lvlText w:val="(%1)"/>
      <w:numFmt w:val="lowerLetter"/>
      <w:start w:val="1"/>
    </w:lvl>
  </w:abstractNum>
  <w:abstractNum w:abstractNumId="98">
    <w:nsid w:val="597B4D84"/>
    <w:multiLevelType w:val="hybridMultilevel"/>
    <w:lvl w:ilvl="0">
      <w:lvlJc w:val="left"/>
      <w:lvlText w:val="(%1)"/>
      <w:numFmt w:val="lowerLetter"/>
      <w:start w:val="1"/>
    </w:lvl>
  </w:abstractNum>
  <w:abstractNum w:abstractNumId="99">
    <w:nsid w:val="F819E7F"/>
    <w:multiLevelType w:val="hybridMultilevel"/>
    <w:lvl w:ilvl="0">
      <w:lvlJc w:val="left"/>
      <w:lvlText w:val="(%1)"/>
      <w:numFmt w:val="lowerLetter"/>
      <w:start w:val="3"/>
    </w:lvl>
  </w:abstractNum>
  <w:abstractNum w:abstractNumId="100">
    <w:nsid w:val="57C7D42D"/>
    <w:multiLevelType w:val="hybridMultilevel"/>
    <w:lvl w:ilvl="0">
      <w:lvlJc w:val="left"/>
      <w:lvlText w:val="(%1)"/>
      <w:numFmt w:val="lowerLetter"/>
      <w:start w:val="1"/>
    </w:lvl>
  </w:abstractNum>
  <w:abstractNum w:abstractNumId="101">
    <w:nsid w:val="312167AD"/>
    <w:multiLevelType w:val="hybridMultilevel"/>
    <w:lvl w:ilvl="0">
      <w:lvlJc w:val="left"/>
      <w:lvlText w:val="(%1)"/>
      <w:numFmt w:val="lowerLetter"/>
      <w:start w:val="7"/>
    </w:lvl>
  </w:abstractNum>
  <w:abstractNum w:abstractNumId="102">
    <w:nsid w:val="631B64D4"/>
    <w:multiLevelType w:val="hybridMultilevel"/>
    <w:lvl w:ilvl="0">
      <w:lvlJc w:val="left"/>
      <w:lvlText w:val="(%1)"/>
      <w:numFmt w:val="lowerLetter"/>
      <w:start w:val="1"/>
    </w:lvl>
  </w:abstractNum>
  <w:abstractNum w:abstractNumId="103">
    <w:nsid w:val="78B5E776"/>
    <w:multiLevelType w:val="hybridMultilevel"/>
    <w:lvl w:ilvl="0">
      <w:lvlJc w:val="left"/>
      <w:lvlText w:val="(%1)"/>
      <w:numFmt w:val="lowerLetter"/>
      <w:start w:val="1"/>
    </w:lvl>
    <w:lvl w:ilvl="1">
      <w:lvlJc w:val="left"/>
      <w:lvlText w:val="(%2)"/>
      <w:numFmt w:val="decimal"/>
      <w:start w:val="1"/>
    </w:lvl>
  </w:abstractNum>
  <w:abstractNum w:abstractNumId="104">
    <w:nsid w:val="75486E47"/>
    <w:multiLevelType w:val="hybridMultilevel"/>
    <w:lvl w:ilvl="0">
      <w:lvlJc w:val="left"/>
      <w:lvlText w:val="(%1)"/>
      <w:numFmt w:val="lowerLetter"/>
      <w:start w:val="1"/>
    </w:lvl>
  </w:abstractNum>
  <w:abstractNum w:abstractNumId="105">
    <w:nsid w:val="6E534CDE"/>
    <w:multiLevelType w:val="hybridMultilevel"/>
    <w:lvl w:ilvl="0">
      <w:lvlJc w:val="left"/>
      <w:lvlText w:val="(%1)"/>
      <w:numFmt w:val="lowerLetter"/>
      <w:start w:val="7"/>
    </w:lvl>
  </w:abstractNum>
  <w:abstractNum w:abstractNumId="106">
    <w:nsid w:val="1A0DDE32"/>
    <w:multiLevelType w:val="hybridMultilevel"/>
    <w:lvl w:ilvl="0">
      <w:lvlJc w:val="left"/>
      <w:lvlText w:val="(%1)"/>
      <w:numFmt w:val="lowerLetter"/>
      <w:start w:val="2"/>
    </w:lvl>
    <w:lvl w:ilvl="1">
      <w:lvlJc w:val="left"/>
      <w:lvlText w:val="(%2)"/>
      <w:numFmt w:val="lowerRoman"/>
      <w:start w:val="1"/>
    </w:lvl>
  </w:abstractNum>
  <w:abstractNum w:abstractNumId="107">
    <w:nsid w:val="65968C1C"/>
    <w:multiLevelType w:val="hybridMultilevel"/>
    <w:lvl w:ilvl="0">
      <w:lvlJc w:val="left"/>
      <w:lvlText w:val="(%1)"/>
      <w:numFmt w:val="lowerLetter"/>
      <w:start w:val="3"/>
    </w:lvl>
  </w:abstractNum>
  <w:abstractNum w:abstractNumId="108">
    <w:nsid w:val="46263DEC"/>
    <w:multiLevelType w:val="hybridMultilevel"/>
    <w:lvl w:ilvl="0">
      <w:lvlJc w:val="left"/>
      <w:lvlText w:val="(%1)"/>
      <w:numFmt w:val="lowerLetter"/>
      <w:start w:val="4"/>
    </w:lvl>
  </w:abstractNum>
  <w:abstractNum w:abstractNumId="109">
    <w:nsid w:val="260D8C4A"/>
    <w:multiLevelType w:val="hybridMultilevel"/>
    <w:lvl w:ilvl="0">
      <w:lvlJc w:val="left"/>
      <w:lvlText w:val="(%1)"/>
      <w:numFmt w:val="lowerLetter"/>
      <w:start w:val="1"/>
    </w:lvl>
  </w:abstractNum>
  <w:abstractNum w:abstractNumId="110">
    <w:nsid w:val="73D4D3C4"/>
    <w:multiLevelType w:val="hybridMultilevel"/>
    <w:lvl w:ilvl="0">
      <w:lvlJc w:val="left"/>
      <w:lvlText w:val="(%1)"/>
      <w:numFmt w:val="lowerLetter"/>
      <w:start w:val="5"/>
    </w:lvl>
  </w:abstractNum>
  <w:abstractNum w:abstractNumId="111">
    <w:nsid w:val="746F2E30"/>
    <w:multiLevelType w:val="hybridMultilevel"/>
    <w:lvl w:ilvl="0">
      <w:lvlJc w:val="left"/>
      <w:lvlText w:val="(%1)"/>
      <w:numFmt w:val="lowerRoman"/>
      <w:start w:val="1"/>
    </w:lvl>
  </w:abstractNum>
  <w:abstractNum w:abstractNumId="112">
    <w:nsid w:val="6FDE8AF6"/>
    <w:multiLevelType w:val="hybridMultilevel"/>
    <w:lvl w:ilvl="0">
      <w:lvlJc w:val="left"/>
      <w:lvlText w:val="(%1)"/>
      <w:numFmt w:val="lowerRoman"/>
      <w:start w:val="1"/>
    </w:lvl>
  </w:abstractNum>
  <w:abstractNum w:abstractNumId="113">
    <w:nsid w:val="3FC32E20"/>
    <w:multiLevelType w:val="hybridMultilevel"/>
    <w:lvl w:ilvl="0">
      <w:lvlJc w:val="left"/>
      <w:lvlText w:val="(%1)"/>
      <w:numFmt w:val="lowerRoman"/>
      <w:start w:val="1"/>
    </w:lvl>
  </w:abstractNum>
  <w:abstractNum w:abstractNumId="114">
    <w:nsid w:val="49C0E823"/>
    <w:multiLevelType w:val="hybridMultilevel"/>
    <w:lvl w:ilvl="0">
      <w:lvlJc w:val="left"/>
      <w:lvlText w:val="(%1)"/>
      <w:numFmt w:val="lowerRoman"/>
      <w:start w:val="1"/>
    </w:lvl>
  </w:abstractNum>
  <w:abstractNum w:abstractNumId="115">
    <w:nsid w:val="14D53685"/>
    <w:multiLevelType w:val="hybridMultilevel"/>
    <w:lvl w:ilvl="0">
      <w:lvlJc w:val="left"/>
      <w:lvlText w:val="(%1)"/>
      <w:numFmt w:val="lowerRoman"/>
      <w:start w:val="2"/>
    </w:lvl>
  </w:abstractNum>
  <w:abstractNum w:abstractNumId="116">
    <w:nsid w:val="230F856C"/>
    <w:multiLevelType w:val="hybridMultilevel"/>
    <w:lvl w:ilvl="0">
      <w:lvlJc w:val="left"/>
      <w:lvlText w:val="(%1)"/>
      <w:numFmt w:val="lowerLetter"/>
      <w:start w:val="1"/>
    </w:lvl>
  </w:abstractNum>
  <w:abstractNum w:abstractNumId="117">
    <w:nsid w:val="6EAA85FB"/>
    <w:multiLevelType w:val="hybridMultilevel"/>
    <w:lvl w:ilvl="0">
      <w:lvlJc w:val="left"/>
      <w:lvlText w:val="(%1)"/>
      <w:numFmt w:val="lowerLetter"/>
      <w:start w:val="1"/>
    </w:lvl>
  </w:abstractNum>
  <w:abstractNum w:abstractNumId="118">
    <w:nsid w:val="3F06ECB2"/>
    <w:multiLevelType w:val="hybridMultilevel"/>
    <w:lvl w:ilvl="0">
      <w:lvlJc w:val="left"/>
      <w:lvlText w:val="(%1)"/>
      <w:numFmt w:val="lowerLetter"/>
      <w:start w:val="1"/>
    </w:lvl>
  </w:abstractNum>
  <w:abstractNum w:abstractNumId="119">
    <w:nsid w:val="3B594807"/>
    <w:multiLevelType w:val="hybridMultilevel"/>
    <w:lvl w:ilvl="0">
      <w:lvlJc w:val="left"/>
      <w:lvlText w:val="(%1)"/>
      <w:numFmt w:val="lowerLetter"/>
      <w:start w:val="2"/>
    </w:lvl>
  </w:abstractNum>
  <w:abstractNum w:abstractNumId="120">
    <w:nsid w:val="6CAA2304"/>
    <w:multiLevelType w:val="hybridMultilevel"/>
    <w:lvl w:ilvl="0">
      <w:lvlJc w:val="left"/>
      <w:lvlText w:val="(%1)"/>
      <w:numFmt w:val="lowerLetter"/>
      <w:start w:val="4"/>
    </w:lvl>
  </w:abstractNum>
  <w:abstractNum w:abstractNumId="121">
    <w:nsid w:val="3F7C2FF4"/>
    <w:multiLevelType w:val="hybridMultilevel"/>
    <w:lvl w:ilvl="0">
      <w:lvlJc w:val="left"/>
      <w:lvlText w:val="(%1)"/>
      <w:numFmt w:val="lowerLetter"/>
      <w:start w:val="5"/>
    </w:lvl>
  </w:abstractNum>
  <w:abstractNum w:abstractNumId="122">
    <w:nsid w:val="25413BEC"/>
    <w:multiLevelType w:val="hybridMultilevel"/>
    <w:lvl w:ilvl="0">
      <w:lvlJc w:val="left"/>
      <w:lvlText w:val="(%1)"/>
      <w:numFmt w:val="lowerLetter"/>
      <w:start w:val="9"/>
    </w:lvl>
  </w:abstractNum>
  <w:abstractNum w:abstractNumId="123">
    <w:nsid w:val="17180B0B"/>
    <w:multiLevelType w:val="hybridMultilevel"/>
    <w:lvl w:ilvl="0">
      <w:lvlJc w:val="left"/>
      <w:lvlText w:val="(%1)"/>
      <w:numFmt w:val="lowerLetter"/>
      <w:start w:val="1"/>
    </w:lvl>
  </w:abstractNum>
  <w:abstractNum w:abstractNumId="124">
    <w:nsid w:val="579328B9"/>
    <w:multiLevelType w:val="hybridMultilevel"/>
    <w:lvl w:ilvl="0">
      <w:lvlJc w:val="left"/>
      <w:lvlText w:val="(%1)"/>
      <w:numFmt w:val="lowerLetter"/>
      <w:start w:val="1"/>
    </w:lvl>
  </w:abstractNum>
  <w:abstractNum w:abstractNumId="125">
    <w:nsid w:val="5D205E20"/>
    <w:multiLevelType w:val="hybridMultilevel"/>
    <w:lvl w:ilvl="0">
      <w:lvlJc w:val="left"/>
      <w:lvlText w:val="(%1)"/>
      <w:numFmt w:val="lowerLetter"/>
      <w:start w:val="1"/>
    </w:lvl>
  </w:abstractNum>
  <w:abstractNum w:abstractNumId="126">
    <w:nsid w:val="11CCA8BA"/>
    <w:multiLevelType w:val="hybridMultilevel"/>
    <w:lvl w:ilvl="0">
      <w:lvlJc w:val="left"/>
      <w:lvlText w:val="(%1)"/>
      <w:numFmt w:val="lowerLetter"/>
      <w:start w:val="2"/>
    </w:lvl>
  </w:abstractNum>
  <w:abstractNum w:abstractNumId="127">
    <w:nsid w:val="4D32AB86"/>
    <w:multiLevelType w:val="hybridMultilevel"/>
    <w:lvl w:ilvl="0">
      <w:lvlJc w:val="left"/>
      <w:lvlText w:val="(%1)"/>
      <w:numFmt w:val="lowerLetter"/>
      <w:start w:val="1"/>
    </w:lvl>
  </w:abstractNum>
  <w:abstractNum w:abstractNumId="128">
    <w:nsid w:val="3F07ACC3"/>
    <w:multiLevelType w:val="hybridMultilevel"/>
    <w:lvl w:ilvl="0">
      <w:lvlJc w:val="left"/>
      <w:lvlText w:val="(%1)"/>
      <w:numFmt w:val="lowerLetter"/>
      <w:start w:val="1"/>
    </w:lvl>
    <w:lvl w:ilvl="1">
      <w:lvlJc w:val="left"/>
      <w:lvlText w:val="(%2)"/>
      <w:numFmt w:val="lowerRoman"/>
      <w:start w:val="1"/>
    </w:lvl>
  </w:abstractNum>
  <w:abstractNum w:abstractNumId="129">
    <w:nsid w:val="6B47F63E"/>
    <w:multiLevelType w:val="hybridMultilevel"/>
    <w:lvl w:ilvl="0">
      <w:lvlJc w:val="left"/>
      <w:lvlText w:val="(%1)"/>
      <w:numFmt w:val="lowerLetter"/>
      <w:start w:val="1"/>
    </w:lvl>
  </w:abstractNum>
  <w:abstractNum w:abstractNumId="130">
    <w:nsid w:val="5CB44A05"/>
    <w:multiLevelType w:val="hybridMultilevel"/>
    <w:lvl w:ilvl="0">
      <w:lvlJc w:val="left"/>
      <w:lvlText w:val="(%1)"/>
      <w:numFmt w:val="lowerLetter"/>
      <w:start w:val="1"/>
    </w:lvl>
  </w:abstractNum>
  <w:abstractNum w:abstractNumId="131">
    <w:nsid w:val="16CF80F1"/>
    <w:multiLevelType w:val="hybridMultilevel"/>
    <w:lvl w:ilvl="0">
      <w:lvlJc w:val="left"/>
      <w:lvlText w:val="(%1)"/>
      <w:numFmt w:val="lowerLetter"/>
      <w:start w:val="3"/>
    </w:lvl>
  </w:abstractNum>
  <w:abstractNum w:abstractNumId="132">
    <w:nsid w:val="1C695DEC"/>
    <w:multiLevelType w:val="hybridMultilevel"/>
    <w:lvl w:ilvl="0">
      <w:lvlJc w:val="left"/>
      <w:lvlText w:val="(%1)"/>
      <w:numFmt w:val="lowerLetter"/>
      <w:start w:val="1"/>
    </w:lvl>
  </w:abstractNum>
  <w:abstractNum w:abstractNumId="133">
    <w:nsid w:val="3FCFAED9"/>
    <w:multiLevelType w:val="hybridMultilevel"/>
    <w:lvl w:ilvl="0">
      <w:lvlJc w:val="left"/>
      <w:lvlText w:val="(%1)"/>
      <w:numFmt w:val="lowerLetter"/>
      <w:start w:val="1"/>
    </w:lvl>
  </w:abstractNum>
  <w:abstractNum w:abstractNumId="134">
    <w:nsid w:val="F856867"/>
    <w:multiLevelType w:val="hybridMultilevel"/>
    <w:lvl w:ilvl="0">
      <w:lvlJc w:val="left"/>
      <w:lvlText w:val="(%1)"/>
      <w:numFmt w:val="lowerLetter"/>
      <w:start w:val="9"/>
    </w:lvl>
  </w:abstractNum>
  <w:abstractNum w:abstractNumId="135">
    <w:nsid w:val="11B1CC33"/>
    <w:multiLevelType w:val="hybridMultilevel"/>
    <w:lvl w:ilvl="0">
      <w:lvlJc w:val="left"/>
      <w:lvlText w:val="(%1)"/>
      <w:numFmt w:val="lowerLetter"/>
      <w:start w:val="1"/>
    </w:lvl>
  </w:abstractNum>
  <w:abstractNum w:abstractNumId="136">
    <w:nsid w:val="2E22FBB7"/>
    <w:multiLevelType w:val="hybridMultilevel"/>
    <w:lvl w:ilvl="0">
      <w:lvlJc w:val="left"/>
      <w:lvlText w:val="(%1)"/>
      <w:numFmt w:val="lowerLetter"/>
      <w:start w:val="2"/>
    </w:lvl>
    <w:lvl w:ilvl="1">
      <w:lvlJc w:val="left"/>
      <w:lvlText w:val="(%2)"/>
      <w:numFmt w:val="lowerRoman"/>
      <w:start w:val="1"/>
    </w:lvl>
  </w:abstractNum>
  <w:abstractNum w:abstractNumId="137">
    <w:nsid w:val="29934699"/>
    <w:multiLevelType w:val="hybridMultilevel"/>
    <w:lvl w:ilvl="0">
      <w:lvlJc w:val="left"/>
      <w:lvlText w:val="(%1)"/>
      <w:numFmt w:val="lowerRoman"/>
      <w:start w:val="1"/>
    </w:lvl>
  </w:abstractNum>
  <w:abstractNum w:abstractNumId="138">
    <w:nsid w:val="77485850"/>
    <w:multiLevelType w:val="hybridMultilevel"/>
    <w:lvl w:ilvl="0">
      <w:lvlJc w:val="left"/>
      <w:lvlText w:val="(%1)"/>
      <w:numFmt w:val="lowerLetter"/>
      <w:start w:val="1"/>
    </w:lvl>
  </w:abstractNum>
  <w:abstractNum w:abstractNumId="139">
    <w:nsid w:val="744939A3"/>
    <w:multiLevelType w:val="hybridMultilevel"/>
    <w:lvl w:ilvl="0">
      <w:lvlJc w:val="left"/>
      <w:lvlText w:val="(%1)"/>
      <w:numFmt w:val="lowerLetter"/>
      <w:start w:val="1"/>
    </w:lvl>
  </w:abstractNum>
  <w:abstractNum w:abstractNumId="140">
    <w:nsid w:val="4FA0D2E3"/>
    <w:multiLevelType w:val="hybridMultilevel"/>
    <w:lvl w:ilvl="0">
      <w:lvlJc w:val="left"/>
      <w:lvlText w:val="(%1)"/>
      <w:numFmt w:val="lowerLetter"/>
      <w:start w:val="1"/>
    </w:lvl>
  </w:abstractNum>
  <w:abstractNum w:abstractNumId="141">
    <w:nsid w:val="6B1D2C14"/>
    <w:multiLevelType w:val="hybridMultilevel"/>
    <w:lvl w:ilvl="0">
      <w:lvlJc w:val="left"/>
      <w:lvlText w:val="(%1)"/>
      <w:numFmt w:val="lowerLetter"/>
      <w:start w:val="4"/>
    </w:lvl>
  </w:abstractNum>
  <w:abstractNum w:abstractNumId="142">
    <w:nsid w:val="68B867D3"/>
    <w:multiLevelType w:val="hybridMultilevel"/>
    <w:lvl w:ilvl="0">
      <w:lvlJc w:val="left"/>
      <w:lvlText w:val="(%1)"/>
      <w:numFmt w:val="lowerLetter"/>
      <w:start w:val="1"/>
    </w:lvl>
  </w:abstractNum>
  <w:abstractNum w:abstractNumId="143">
    <w:nsid w:val="3F7F5DD9"/>
    <w:multiLevelType w:val="hybridMultilevel"/>
    <w:lvl w:ilvl="0">
      <w:lvlJc w:val="left"/>
      <w:lvlText w:val="(%1)"/>
      <w:numFmt w:val="lowerLetter"/>
      <w:start w:val="1"/>
    </w:lvl>
    <w:lvl w:ilvl="1">
      <w:lvlJc w:val="left"/>
      <w:lvlText w:val="(%2)"/>
      <w:numFmt w:val="lowerRoman"/>
      <w:start w:val="1"/>
    </w:lvl>
  </w:abstractNum>
  <w:abstractNum w:abstractNumId="144">
    <w:nsid w:val="2AE05A34"/>
    <w:multiLevelType w:val="hybridMultilevel"/>
    <w:lvl w:ilvl="0">
      <w:lvlJc w:val="left"/>
      <w:lvlText w:val="(%1)"/>
      <w:numFmt w:val="lowerLetter"/>
      <w:start w:val="1"/>
    </w:lvl>
  </w:abstractNum>
  <w:abstractNum w:abstractNumId="145">
    <w:nsid w:val="32794FF7"/>
    <w:multiLevelType w:val="hybridMultilevel"/>
    <w:lvl w:ilvl="0">
      <w:lvlJc w:val="left"/>
      <w:lvlText w:val="(%1)"/>
      <w:numFmt w:val="lowerLetter"/>
      <w:start w:val="5"/>
    </w:lvl>
  </w:abstractNum>
  <w:abstractNum w:abstractNumId="146">
    <w:nsid w:val="5454945E"/>
    <w:multiLevelType w:val="hybridMultilevel"/>
    <w:lvl w:ilvl="0">
      <w:lvlJc w:val="left"/>
      <w:lvlText w:val="(%1)"/>
      <w:numFmt w:val="lowerLetter"/>
      <w:start w:val="11"/>
    </w:lvl>
  </w:abstractNum>
  <w:abstractNum w:abstractNumId="147">
    <w:nsid w:val="4DEFDFA0"/>
    <w:multiLevelType w:val="hybridMultilevel"/>
    <w:lvl w:ilvl="0">
      <w:lvlJc w:val="left"/>
      <w:lvlText w:val="(%1)"/>
      <w:numFmt w:val="lowerLetter"/>
      <w:start w:val="1"/>
    </w:lvl>
    <w:lvl w:ilvl="1">
      <w:lvlJc w:val="left"/>
      <w:lvlText w:val="(%2)"/>
      <w:numFmt w:val="lowerLetter"/>
      <w:start w:val="2"/>
    </w:lvl>
    <w:lvl w:ilvl="2">
      <w:lvlJc w:val="left"/>
      <w:lvlText w:val="(%3)"/>
      <w:numFmt w:val="lowerRoman"/>
      <w:start w:val="1"/>
    </w:lvl>
  </w:abstractNum>
  <w:abstractNum w:abstractNumId="148">
    <w:nsid w:val="2123D5F2"/>
    <w:multiLevelType w:val="hybridMultilevel"/>
    <w:lvl w:ilvl="0">
      <w:lvlJc w:val="left"/>
      <w:lvlText w:val="(%1)"/>
      <w:numFmt w:val="lowerLetter"/>
      <w:start w:val="3"/>
    </w:lvl>
  </w:abstractNum>
  <w:abstractNum w:abstractNumId="149">
    <w:nsid w:val="135B8110"/>
    <w:multiLevelType w:val="hybridMultilevel"/>
    <w:lvl w:ilvl="0">
      <w:lvlJc w:val="left"/>
      <w:lvlText w:val="(%1)"/>
      <w:numFmt w:val="lowerLetter"/>
      <w:start w:val="1"/>
    </w:lvl>
  </w:abstractNum>
  <w:abstractNum w:abstractNumId="150">
    <w:nsid w:val="94927A8"/>
    <w:multiLevelType w:val="hybridMultilevel"/>
    <w:lvl w:ilvl="0">
      <w:lvlJc w:val="left"/>
      <w:lvlText w:val="(%1)"/>
      <w:numFmt w:val="lowerLetter"/>
      <w:start w:val="3"/>
    </w:lvl>
  </w:abstractNum>
  <w:abstractNum w:abstractNumId="151">
    <w:nsid w:val="DCDF8F6"/>
    <w:multiLevelType w:val="hybridMultilevel"/>
    <w:lvl w:ilvl="0">
      <w:lvlJc w:val="left"/>
      <w:lvlText w:val="(%1)"/>
      <w:numFmt w:val="lowerRoman"/>
      <w:start w:val="1"/>
    </w:lvl>
  </w:abstractNum>
  <w:abstractNum w:abstractNumId="152">
    <w:nsid w:val="52D7B105"/>
    <w:multiLevelType w:val="hybridMultilevel"/>
    <w:lvl w:ilvl="0">
      <w:lvlJc w:val="left"/>
      <w:lvlText w:val="(%1)"/>
      <w:numFmt w:val="lowerRoman"/>
      <w:start w:val="9"/>
    </w:lvl>
  </w:abstractNum>
  <w:abstractNum w:abstractNumId="153">
    <w:nsid w:val="2E8A6394"/>
    <w:multiLevelType w:val="hybridMultilevel"/>
    <w:lvl w:ilvl="0">
      <w:lvlJc w:val="left"/>
      <w:lvlText w:val="(%1)"/>
      <w:numFmt w:val="lowerRoman"/>
      <w:start w:val="1"/>
    </w:lvl>
  </w:abstractNum>
  <w:abstractNum w:abstractNumId="154">
    <w:nsid w:val="24E60401"/>
    <w:multiLevelType w:val="hybridMultilevel"/>
    <w:lvl w:ilvl="0">
      <w:lvlJc w:val="left"/>
      <w:lvlText w:val="(%1)"/>
      <w:numFmt w:val="lowerRoman"/>
      <w:start w:val="1"/>
    </w:lvl>
  </w:abstractNum>
  <w:abstractNum w:abstractNumId="155">
    <w:nsid w:val="2A6AD9BE"/>
    <w:multiLevelType w:val="hybridMultilevel"/>
    <w:lvl w:ilvl="0">
      <w:lvlJc w:val="left"/>
      <w:lvlText w:val="(%1)"/>
      <w:numFmt w:val="lowerRoman"/>
      <w:start w:val="1"/>
    </w:lvl>
  </w:abstractNum>
  <w:abstractNum w:abstractNumId="156">
    <w:nsid w:val="BAAC1B4"/>
    <w:multiLevelType w:val="hybridMultilevel"/>
    <w:lvl w:ilvl="0">
      <w:lvlJc w:val="left"/>
      <w:lvlText w:val="(%1)"/>
      <w:numFmt w:val="lowerRoman"/>
      <w:start w:val="5"/>
    </w:lvl>
  </w:abstractNum>
  <w:abstractNum w:abstractNumId="157">
    <w:nsid w:val="36B2ACBC"/>
    <w:multiLevelType w:val="hybridMultilevel"/>
    <w:lvl w:ilvl="0">
      <w:lvlJc w:val="left"/>
      <w:lvlText w:val="(%1)"/>
      <w:numFmt w:val="lowerLetter"/>
      <w:start w:val="1"/>
    </w:lvl>
  </w:abstractNum>
  <w:abstractNum w:abstractNumId="158">
    <w:nsid w:val="779D8544"/>
    <w:multiLevelType w:val="hybridMultilevel"/>
    <w:lvl w:ilvl="0">
      <w:lvlJc w:val="left"/>
      <w:lvlText w:val="(%1)"/>
      <w:numFmt w:val="lowerLetter"/>
      <w:start w:val="1"/>
    </w:lvl>
  </w:abstractNum>
  <w:abstractNum w:abstractNumId="159">
    <w:nsid w:val="4AB26E78"/>
    <w:multiLevelType w:val="hybridMultilevel"/>
    <w:lvl w:ilvl="0">
      <w:lvlJc w:val="left"/>
      <w:lvlText w:val="(%1)"/>
      <w:numFmt w:val="lowerLetter"/>
      <w:start w:val="1"/>
    </w:lvl>
  </w:abstractNum>
  <w:abstractNum w:abstractNumId="160">
    <w:nsid w:val="21FAA2FA"/>
    <w:multiLevelType w:val="hybridMultilevel"/>
    <w:lvl w:ilvl="0">
      <w:lvlJc w:val="left"/>
      <w:lvlText w:val="(%1)"/>
      <w:numFmt w:val="lowerLetter"/>
      <w:start w:val="2"/>
    </w:lvl>
  </w:abstractNum>
  <w:abstractNum w:abstractNumId="161">
    <w:nsid w:val="5451CF49"/>
    <w:multiLevelType w:val="hybridMultilevel"/>
    <w:lvl w:ilvl="0">
      <w:lvlJc w:val="left"/>
      <w:lvlText w:val="(%1)"/>
      <w:numFmt w:val="lowerLetter"/>
      <w:start w:val="3"/>
    </w:lvl>
  </w:abstractNum>
  <w:abstractNum w:abstractNumId="162">
    <w:nsid w:val="6181EF69"/>
    <w:multiLevelType w:val="hybridMultilevel"/>
    <w:lvl w:ilvl="0">
      <w:lvlJc w:val="left"/>
      <w:lvlText w:val="%1"/>
      <w:numFmt w:val="lowerLetter"/>
      <w:start w:val="1"/>
    </w:lvl>
    <w:lvl w:ilvl="1">
      <w:lvlJc w:val="left"/>
      <w:lvlText w:val="(%2)"/>
      <w:numFmt w:val="lowerLetter"/>
      <w:start w:val="4"/>
    </w:lvl>
  </w:abstractNum>
  <w:abstractNum w:abstractNumId="163">
    <w:nsid w:val="3E6400E6"/>
    <w:multiLevelType w:val="hybridMultilevel"/>
    <w:lvl w:ilvl="0">
      <w:lvlJc w:val="left"/>
      <w:lvlText w:val="(%1)"/>
      <w:numFmt w:val="lowerLetter"/>
      <w:start w:val="5"/>
    </w:lvl>
    <w:lvl w:ilvl="1">
      <w:lvlJc w:val="left"/>
      <w:lvlText w:val="%2"/>
      <w:numFmt w:val="lowerLetter"/>
      <w:start w:val="1"/>
    </w:lvl>
  </w:abstractNum>
  <w:abstractNum w:abstractNumId="164">
    <w:nsid w:val="14217E23"/>
    <w:multiLevelType w:val="hybridMultilevel"/>
    <w:lvl w:ilvl="0">
      <w:lvlJc w:val="left"/>
      <w:lvlText w:val="(%1)"/>
      <w:numFmt w:val="lowerLetter"/>
      <w:start w:val="6"/>
    </w:lvl>
  </w:abstractNum>
  <w:abstractNum w:abstractNumId="165">
    <w:nsid w:val="710757D0"/>
    <w:multiLevelType w:val="hybridMultilevel"/>
    <w:lvl w:ilvl="0">
      <w:lvlJc w:val="left"/>
      <w:lvlText w:val="(%1)"/>
      <w:numFmt w:val="lowerLetter"/>
      <w:start w:val="9"/>
    </w:lvl>
  </w:abstractNum>
  <w:abstractNum w:abstractNumId="166">
    <w:nsid w:val="5015CD1A"/>
    <w:multiLevelType w:val="hybridMultilevel"/>
    <w:lvl w:ilvl="0">
      <w:lvlJc w:val="left"/>
      <w:lvlText w:val="(%1)"/>
      <w:numFmt w:val="lowerLetter"/>
      <w:start w:val="1"/>
    </w:lvl>
  </w:abstractNum>
  <w:abstractNum w:abstractNumId="167">
    <w:nsid w:val="424479DA"/>
    <w:multiLevelType w:val="hybridMultilevel"/>
    <w:lvl w:ilvl="0">
      <w:lvlJc w:val="left"/>
      <w:lvlText w:val="(%1)"/>
      <w:numFmt w:val="lowerLetter"/>
      <w:start w:val="1"/>
    </w:lvl>
  </w:abstractNum>
  <w:abstractNum w:abstractNumId="168">
    <w:nsid w:val="1A9A9E69"/>
    <w:multiLevelType w:val="hybridMultilevel"/>
    <w:lvl w:ilvl="0">
      <w:lvlJc w:val="left"/>
      <w:lvlText w:val="(%1)"/>
      <w:numFmt w:val="lowerLetter"/>
      <w:start w:val="1"/>
    </w:lvl>
  </w:abstractNum>
  <w:abstractNum w:abstractNumId="169">
    <w:nsid w:val="475E256A"/>
    <w:multiLevelType w:val="hybridMultilevel"/>
    <w:lvl w:ilvl="0">
      <w:lvlJc w:val="left"/>
      <w:lvlText w:val="-"/>
      <w:numFmt w:val="bullet"/>
      <w:start w:val="1"/>
    </w:lvl>
  </w:abstractNum>
  <w:abstractNum w:abstractNumId="170">
    <w:nsid w:val="368DB37E"/>
    <w:multiLevelType w:val="hybridMultilevel"/>
    <w:lvl w:ilvl="0">
      <w:lvlJc w:val="left"/>
      <w:lvlText w:val="-"/>
      <w:numFmt w:val="bullet"/>
      <w:start w:val="1"/>
    </w:lvl>
  </w:abstractNum>
  <w:abstractNum w:abstractNumId="171">
    <w:nsid w:val="6A3B714C"/>
    <w:multiLevelType w:val="hybridMultilevel"/>
    <w:lvl w:ilvl="0">
      <w:lvlJc w:val="left"/>
      <w:lvlText w:val="-"/>
      <w:numFmt w:val="bullet"/>
      <w:start w:val="1"/>
    </w:lvl>
  </w:abstractNum>
  <w:abstractNum w:abstractNumId="172">
    <w:nsid w:val="327B517E"/>
    <w:multiLevelType w:val="hybridMultilevel"/>
    <w:lvl w:ilvl="0">
      <w:lvlJc w:val="left"/>
      <w:lvlText w:val="(%1)"/>
      <w:numFmt w:val="decimal"/>
      <w:start w:val="1"/>
    </w:lvl>
  </w:abstractNum>
  <w:abstractNum w:abstractNumId="173">
    <w:nsid w:val="1F461B51"/>
    <w:multiLevelType w:val="hybridMultilevel"/>
    <w:lvl w:ilvl="0">
      <w:lvlJc w:val="left"/>
      <w:lvlText w:val="(%1)"/>
      <w:numFmt w:val="decimal"/>
      <w:start w:val="1"/>
    </w:lvl>
  </w:abstractNum>
  <w:abstractNum w:abstractNumId="174">
    <w:nsid w:val="29BACF25"/>
    <w:multiLevelType w:val="hybridMultilevel"/>
    <w:lvl w:ilvl="0">
      <w:lvlJc w:val="left"/>
      <w:lvlText w:val="(%1)"/>
      <w:numFmt w:val="lowerLetter"/>
      <w:start w:val="1"/>
    </w:lvl>
  </w:abstractNum>
  <w:abstractNum w:abstractNumId="175">
    <w:nsid w:val="5D5BABB3"/>
    <w:multiLevelType w:val="hybridMultilevel"/>
    <w:lvl w:ilvl="0">
      <w:lvlJc w:val="left"/>
      <w:lvlText w:val="(%1)"/>
      <w:numFmt w:val="decimal"/>
      <w:start w:val="1"/>
    </w:lvl>
  </w:abstractNum>
  <w:abstractNum w:abstractNumId="176">
    <w:nsid w:val="51BF6B48"/>
    <w:multiLevelType w:val="hybridMultilevel"/>
    <w:lvl w:ilvl="0">
      <w:lvlJc w:val="left"/>
      <w:lvlText w:val="(%1)"/>
      <w:numFmt w:val="decimal"/>
      <w:start w:val="1"/>
    </w:lvl>
  </w:abstractNum>
  <w:abstractNum w:abstractNumId="177">
    <w:nsid w:val="7E0F6384"/>
    <w:multiLevelType w:val="hybridMultilevel"/>
    <w:lvl w:ilvl="0">
      <w:lvlJc w:val="left"/>
      <w:lvlText w:val="(%1)"/>
      <w:numFmt w:val="decimal"/>
      <w:start w:val="1"/>
    </w:lvl>
  </w:abstractNum>
  <w:abstractNum w:abstractNumId="178">
    <w:nsid w:val="2B4B8B53"/>
    <w:multiLevelType w:val="hybridMultilevel"/>
    <w:lvl w:ilvl="0">
      <w:lvlJc w:val="left"/>
      <w:lvlText w:val="%1."/>
      <w:numFmt w:val="decimal"/>
      <w:start w:val="1"/>
    </w:lvl>
    <w:lvl w:ilvl="1">
      <w:lvlJc w:val="left"/>
      <w:lvlText w:val="(%2)"/>
      <w:numFmt w:val="lowerLetter"/>
      <w:start w:val="1"/>
    </w:lvl>
  </w:abstractNum>
  <w:abstractNum w:abstractNumId="179">
    <w:nsid w:val="72E3413A"/>
    <w:multiLevelType w:val="hybridMultilevel"/>
    <w:lvl w:ilvl="0">
      <w:lvlJc w:val="left"/>
      <w:lvlText w:val="%1"/>
      <w:numFmt w:val="decimal"/>
      <w:start w:val="1"/>
    </w:lvl>
    <w:lvl w:ilvl="1">
      <w:lvlJc w:val="left"/>
      <w:lvlText w:val="(%2)"/>
      <w:numFmt w:val="lowerLetter"/>
      <w:start w:val="2"/>
    </w:lvl>
  </w:abstractNum>
  <w:abstractNum w:abstractNumId="180">
    <w:nsid w:val="116AE494"/>
    <w:multiLevelType w:val="hybridMultilevel"/>
    <w:lvl w:ilvl="0">
      <w:lvlJc w:val="left"/>
      <w:lvlText w:val="%1."/>
      <w:numFmt w:val="decimal"/>
      <w:start w:val="2"/>
    </w:lvl>
    <w:lvl w:ilvl="1">
      <w:lvlJc w:val="left"/>
      <w:lvlText w:val="%2"/>
      <w:numFmt w:val="lowerLetter"/>
      <w:start w:val="1"/>
    </w:lvl>
  </w:abstractNum>
  <w:abstractNum w:abstractNumId="181">
    <w:nsid w:val="3494B2FB"/>
    <w:multiLevelType w:val="hybridMultilevel"/>
    <w:lvl w:ilvl="0">
      <w:lvlJc w:val="left"/>
      <w:lvlText w:val="%1."/>
      <w:numFmt w:val="decimal"/>
      <w:start w:val="16"/>
    </w:lvl>
    <w:lvl w:ilvl="1">
      <w:lvlJc w:val="left"/>
      <w:lvlText w:val="%2."/>
      <w:numFmt w:val="decimal"/>
      <w:start w:val="1"/>
    </w:lvl>
  </w:abstractNum>
  <w:abstractNum w:abstractNumId="182">
    <w:nsid w:val="B13A31"/>
    <w:multiLevelType w:val="hybridMultilevel"/>
    <w:lvl w:ilvl="0">
      <w:lvlJc w:val="left"/>
      <w:lvlText w:val="%1."/>
      <w:numFmt w:val="decimal"/>
      <w:start w:val="4"/>
    </w:lvl>
  </w:abstractNum>
  <w:abstractNum w:abstractNumId="183">
    <w:nsid w:val="64429599"/>
    <w:multiLevelType w:val="hybridMultilevel"/>
    <w:lvl w:ilvl="0">
      <w:lvlJc w:val="left"/>
      <w:lvlText w:val="%1."/>
      <w:numFmt w:val="decimal"/>
      <w:start w:val="6"/>
    </w:lvl>
    <w:lvl w:ilvl="1">
      <w:lvlJc w:val="left"/>
      <w:lvlText w:val="-"/>
      <w:numFmt w:val="bullet"/>
      <w:start w:val="1"/>
    </w:lvl>
  </w:abstractNum>
  <w:abstractNum w:abstractNumId="184">
    <w:nsid w:val="631F1690"/>
    <w:multiLevelType w:val="hybridMultilevel"/>
    <w:lvl w:ilvl="0">
      <w:lvlJc w:val="left"/>
      <w:lvlText w:val="%1."/>
      <w:numFmt w:val="decimal"/>
      <w:start w:val="1"/>
    </w:lvl>
  </w:abstractNum>
  <w:abstractNum w:abstractNumId="185">
    <w:nsid w:val="25973E32"/>
    <w:multiLevelType w:val="hybridMultilevel"/>
    <w:lvl w:ilvl="0">
      <w:lvlJc w:val="left"/>
      <w:lvlText w:val="-"/>
      <w:numFmt w:val="bullet"/>
      <w:start w:val="1"/>
    </w:lvl>
    <w:lvl w:ilvl="1">
      <w:lvlJc w:val="left"/>
      <w:lvlText w:val="(%2)"/>
      <w:numFmt w:val="lowerLetter"/>
      <w:start w:val="1"/>
    </w:lvl>
  </w:abstractNum>
  <w:abstractNum w:abstractNumId="186">
    <w:nsid w:val="EAD6F57"/>
    <w:multiLevelType w:val="hybridMultilevel"/>
    <w:lvl w:ilvl="0">
      <w:lvlJc w:val="left"/>
      <w:lvlText w:val="%1"/>
      <w:numFmt w:val="decimal"/>
      <w:start w:val="1"/>
    </w:lvl>
    <w:lvl w:ilvl="1">
      <w:lvlJc w:val="left"/>
      <w:lvlText w:val="(%2)"/>
      <w:numFmt w:val="lowerLetter"/>
      <w:start w:val="2"/>
    </w:lvl>
  </w:abstractNum>
  <w:abstractNum w:abstractNumId="187">
    <w:nsid w:val="6EC9D844"/>
    <w:multiLevelType w:val="hybridMultilevel"/>
    <w:lvl w:ilvl="0">
      <w:lvlJc w:val="left"/>
      <w:lvlText w:val="%1."/>
      <w:numFmt w:val="decimal"/>
      <w:start w:val="2"/>
    </w:lvl>
    <w:lvl w:ilvl="1">
      <w:lvlJc w:val="left"/>
      <w:lvlText w:val="%2"/>
      <w:numFmt w:val="lowerLetter"/>
      <w:start w:val="1"/>
    </w:lvl>
  </w:abstractNum>
  <w:abstractNum w:abstractNumId="188">
    <w:nsid w:val="5C49EAEE"/>
    <w:multiLevelType w:val="hybridMultilevel"/>
    <w:lvl w:ilvl="0">
      <w:lvlJc w:val="left"/>
      <w:lvlText w:val="%1."/>
      <w:numFmt w:val="decimal"/>
      <w:start w:val="16"/>
    </w:lvl>
    <w:lvl w:ilvl="1">
      <w:lvlJc w:val="left"/>
      <w:lvlText w:val="%2."/>
      <w:numFmt w:val="decimal"/>
      <w:start w:val="1"/>
    </w:lvl>
  </w:abstractNum>
  <w:abstractNum w:abstractNumId="189">
    <w:nsid w:val="64AF49B"/>
    <w:multiLevelType w:val="hybridMultilevel"/>
    <w:lvl w:ilvl="0">
      <w:lvlJc w:val="left"/>
      <w:lvlText w:val="%1."/>
      <w:numFmt w:val="decimal"/>
      <w:start w:val="4"/>
    </w:lvl>
  </w:abstractNum>
  <w:abstractNum w:abstractNumId="190">
    <w:nsid w:val="397C46BC"/>
    <w:multiLevelType w:val="hybridMultilevel"/>
    <w:lvl w:ilvl="0">
      <w:lvlJc w:val="left"/>
      <w:lvlText w:val="%1."/>
      <w:numFmt w:val="decimal"/>
      <w:start w:val="6"/>
    </w:lvl>
    <w:lvl w:ilvl="1">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2019-12-16T12:13:06Z</dcterms:created>
  <dcterms:modified xsi:type="dcterms:W3CDTF">2019-12-16T12:13:06Z</dcterms:modified>
</cp:coreProperties>
</file>