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November 20,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2740" w:type="dxa"/>
            <w:vAlign w:val="bottom"/>
          </w:tcPr>
          <w:p>
            <w:pPr>
              <w:spacing w:after="0"/>
              <w:rPr>
                <w:sz w:val="18"/>
                <w:szCs w:val="18"/>
                <w:color w:val="auto"/>
              </w:rPr>
            </w:pPr>
          </w:p>
        </w:tc>
        <w:tc>
          <w:tcPr>
            <w:tcW w:w="4760" w:type="dxa"/>
            <w:vAlign w:val="bottom"/>
          </w:tcPr>
          <w:p>
            <w:pPr>
              <w:jc w:val="center"/>
              <w:ind w:right="2165"/>
              <w:spacing w:after="0"/>
              <w:rPr>
                <w:sz w:val="20"/>
                <w:szCs w:val="20"/>
                <w:color w:val="auto"/>
              </w:rPr>
            </w:pPr>
            <w:r>
              <w:rPr>
                <w:rFonts w:ascii="Arial" w:cs="Arial" w:eastAsia="Arial" w:hAnsi="Arial"/>
                <w:sz w:val="18"/>
                <w:szCs w:val="18"/>
                <w:b w:val="1"/>
                <w:bCs w:val="1"/>
                <w:color w:val="auto"/>
                <w:w w:val="86"/>
              </w:rPr>
              <w:t>Pennsylvania</w:t>
            </w:r>
          </w:p>
        </w:tc>
      </w:tr>
      <w:tr>
        <w:trPr>
          <w:trHeight w:val="149"/>
        </w:trPr>
        <w:tc>
          <w:tcPr>
            <w:tcW w:w="2740" w:type="dxa"/>
            <w:vAlign w:val="bottom"/>
          </w:tcPr>
          <w:p>
            <w:pPr>
              <w:spacing w:after="0"/>
              <w:rPr>
                <w:sz w:val="12"/>
                <w:szCs w:val="12"/>
                <w:color w:val="auto"/>
              </w:rPr>
            </w:pPr>
          </w:p>
        </w:tc>
        <w:tc>
          <w:tcPr>
            <w:tcW w:w="4760" w:type="dxa"/>
            <w:vAlign w:val="bottom"/>
          </w:tcPr>
          <w:p>
            <w:pPr>
              <w:jc w:val="center"/>
              <w:ind w:right="2165"/>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r>
      <w:tr>
        <w:trPr>
          <w:trHeight w:val="174"/>
        </w:trPr>
        <w:tc>
          <w:tcPr>
            <w:tcW w:w="2740" w:type="dxa"/>
            <w:vAlign w:val="bottom"/>
          </w:tcPr>
          <w:p>
            <w:pPr>
              <w:spacing w:after="0"/>
              <w:rPr>
                <w:sz w:val="15"/>
                <w:szCs w:val="15"/>
                <w:color w:val="auto"/>
              </w:rPr>
            </w:pPr>
          </w:p>
        </w:tc>
        <w:tc>
          <w:tcPr>
            <w:tcW w:w="4760" w:type="dxa"/>
            <w:vAlign w:val="bottom"/>
          </w:tcPr>
          <w:p>
            <w:pPr>
              <w:jc w:val="center"/>
              <w:ind w:right="2165"/>
              <w:spacing w:after="0"/>
              <w:rPr>
                <w:sz w:val="20"/>
                <w:szCs w:val="20"/>
                <w:color w:val="auto"/>
              </w:rPr>
            </w:pPr>
            <w:r>
              <w:rPr>
                <w:rFonts w:ascii="Arial" w:cs="Arial" w:eastAsia="Arial" w:hAnsi="Arial"/>
                <w:sz w:val="14"/>
                <w:szCs w:val="14"/>
                <w:b w:val="1"/>
                <w:bCs w:val="1"/>
                <w:color w:val="auto"/>
                <w:w w:val="89"/>
              </w:rPr>
              <w:t>of Incorporation)</w:t>
            </w:r>
          </w:p>
        </w:tc>
      </w:tr>
      <w:tr>
        <w:trPr>
          <w:trHeight w:val="393"/>
        </w:trPr>
        <w:tc>
          <w:tcPr>
            <w:tcW w:w="2740" w:type="dxa"/>
            <w:vAlign w:val="bottom"/>
          </w:tcPr>
          <w:p>
            <w:pPr>
              <w:jc w:val="center"/>
              <w:ind w:right="382"/>
              <w:spacing w:after="0"/>
              <w:rPr>
                <w:sz w:val="20"/>
                <w:szCs w:val="20"/>
                <w:color w:val="auto"/>
              </w:rPr>
            </w:pPr>
            <w:r>
              <w:rPr>
                <w:rFonts w:ascii="Arial" w:cs="Arial" w:eastAsia="Arial" w:hAnsi="Arial"/>
                <w:sz w:val="18"/>
                <w:szCs w:val="18"/>
                <w:b w:val="1"/>
                <w:bCs w:val="1"/>
                <w:color w:val="auto"/>
                <w:w w:val="88"/>
              </w:rPr>
              <w:t>001-32871</w:t>
            </w:r>
          </w:p>
        </w:tc>
        <w:tc>
          <w:tcPr>
            <w:tcW w:w="4760" w:type="dxa"/>
            <w:vAlign w:val="bottom"/>
          </w:tcPr>
          <w:p>
            <w:pPr>
              <w:jc w:val="center"/>
              <w:ind w:left="3605"/>
              <w:spacing w:after="0"/>
              <w:rPr>
                <w:sz w:val="20"/>
                <w:szCs w:val="20"/>
                <w:color w:val="auto"/>
              </w:rPr>
            </w:pPr>
            <w:r>
              <w:rPr>
                <w:rFonts w:ascii="Arial" w:cs="Arial" w:eastAsia="Arial" w:hAnsi="Arial"/>
                <w:sz w:val="18"/>
                <w:szCs w:val="18"/>
                <w:b w:val="1"/>
                <w:bCs w:val="1"/>
                <w:color w:val="auto"/>
                <w:w w:val="87"/>
              </w:rPr>
              <w:t>27-0000798</w:t>
            </w:r>
          </w:p>
        </w:tc>
      </w:tr>
      <w:tr>
        <w:trPr>
          <w:trHeight w:val="149"/>
        </w:trPr>
        <w:tc>
          <w:tcPr>
            <w:tcW w:w="274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85"/>
              </w:rPr>
              <w:t>(Commission</w:t>
            </w:r>
          </w:p>
        </w:tc>
        <w:tc>
          <w:tcPr>
            <w:tcW w:w="4760" w:type="dxa"/>
            <w:vAlign w:val="bottom"/>
          </w:tcPr>
          <w:p>
            <w:pPr>
              <w:jc w:val="center"/>
              <w:ind w:left="3605"/>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740" w:type="dxa"/>
            <w:vAlign w:val="bottom"/>
          </w:tcPr>
          <w:p>
            <w:pPr>
              <w:jc w:val="center"/>
              <w:ind w:right="362"/>
              <w:spacing w:after="0"/>
              <w:rPr>
                <w:sz w:val="20"/>
                <w:szCs w:val="20"/>
                <w:color w:val="auto"/>
              </w:rPr>
            </w:pPr>
            <w:r>
              <w:rPr>
                <w:rFonts w:ascii="Arial" w:cs="Arial" w:eastAsia="Arial" w:hAnsi="Arial"/>
                <w:sz w:val="14"/>
                <w:szCs w:val="14"/>
                <w:b w:val="1"/>
                <w:bCs w:val="1"/>
                <w:color w:val="auto"/>
                <w:w w:val="91"/>
              </w:rPr>
              <w:t>File Number)</w:t>
            </w:r>
          </w:p>
        </w:tc>
        <w:tc>
          <w:tcPr>
            <w:tcW w:w="4760" w:type="dxa"/>
            <w:vAlign w:val="bottom"/>
          </w:tcPr>
          <w:p>
            <w:pPr>
              <w:jc w:val="center"/>
              <w:ind w:left="3625"/>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740" w:type="dxa"/>
            <w:vAlign w:val="bottom"/>
          </w:tcPr>
          <w:p>
            <w:pPr>
              <w:jc w:val="center"/>
              <w:ind w:right="382"/>
              <w:spacing w:after="0"/>
              <w:rPr>
                <w:sz w:val="20"/>
                <w:szCs w:val="20"/>
                <w:color w:val="auto"/>
              </w:rPr>
            </w:pPr>
            <w:r>
              <w:rPr>
                <w:rFonts w:ascii="Arial" w:cs="Arial" w:eastAsia="Arial" w:hAnsi="Arial"/>
                <w:sz w:val="18"/>
                <w:szCs w:val="18"/>
                <w:b w:val="1"/>
                <w:bCs w:val="1"/>
                <w:color w:val="auto"/>
                <w:w w:val="87"/>
              </w:rPr>
              <w:t>One Comcast Center</w:t>
            </w:r>
          </w:p>
        </w:tc>
        <w:tc>
          <w:tcPr>
            <w:tcW w:w="4760" w:type="dxa"/>
            <w:vAlign w:val="bottom"/>
          </w:tcPr>
          <w:p>
            <w:pPr>
              <w:spacing w:after="0"/>
              <w:rPr>
                <w:sz w:val="24"/>
                <w:szCs w:val="24"/>
                <w:color w:val="auto"/>
              </w:rPr>
            </w:pPr>
          </w:p>
        </w:tc>
      </w:tr>
      <w:tr>
        <w:trPr>
          <w:trHeight w:val="231"/>
        </w:trPr>
        <w:tc>
          <w:tcPr>
            <w:tcW w:w="2740" w:type="dxa"/>
            <w:vAlign w:val="bottom"/>
          </w:tcPr>
          <w:p>
            <w:pPr>
              <w:jc w:val="center"/>
              <w:ind w:right="362"/>
              <w:spacing w:after="0"/>
              <w:rPr>
                <w:sz w:val="20"/>
                <w:szCs w:val="20"/>
                <w:color w:val="auto"/>
              </w:rPr>
            </w:pPr>
            <w:r>
              <w:rPr>
                <w:rFonts w:ascii="Arial" w:cs="Arial" w:eastAsia="Arial" w:hAnsi="Arial"/>
                <w:sz w:val="18"/>
                <w:szCs w:val="18"/>
                <w:b w:val="1"/>
                <w:bCs w:val="1"/>
                <w:color w:val="auto"/>
                <w:w w:val="89"/>
              </w:rPr>
              <w:t>Philadelphia, PA</w:t>
            </w:r>
          </w:p>
        </w:tc>
        <w:tc>
          <w:tcPr>
            <w:tcW w:w="4760" w:type="dxa"/>
            <w:vAlign w:val="bottom"/>
          </w:tcPr>
          <w:p>
            <w:pPr>
              <w:jc w:val="center"/>
              <w:ind w:left="3605"/>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2740" w:type="dxa"/>
            <w:vAlign w:val="bottom"/>
          </w:tcPr>
          <w:p>
            <w:pPr>
              <w:jc w:val="center"/>
              <w:ind w:right="3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4760" w:type="dxa"/>
            <w:vAlign w:val="bottom"/>
          </w:tcPr>
          <w:p>
            <w:pPr>
              <w:jc w:val="center"/>
              <w:ind w:left="3625"/>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ind w:right="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right="200"/>
        <w:spacing w:after="0" w:line="301" w:lineRule="auto"/>
        <w:rPr>
          <w:sz w:val="20"/>
          <w:szCs w:val="20"/>
          <w:color w:val="auto"/>
        </w:rPr>
      </w:pPr>
      <w:r>
        <w:rPr>
          <w:rFonts w:ascii="Arial" w:cs="Arial" w:eastAsia="Arial" w:hAnsi="Arial"/>
          <w:sz w:val="15"/>
          <w:szCs w:val="15"/>
          <w:color w:val="auto"/>
        </w:rPr>
        <w:t>On November 22, 2011, Comcast Corporation (the “Company”) entered into a new employment agreement with Mr. Michael J. Angelakis. The agreement changes Mr. Angelakis’ title from Executive Vice President and Chief Financial Officer to Vice Chairman and Chief Financial Officer and secures his employment with the Company through June 30, 2016. The agreement also follows the standard form of employment agreement used by the Company for its named executive officers and includes an obligation to work full-time for the Company, as well as non-solicitation, non-competition and confidentiality obligations. The agreement does not provide for any increase in either base salary (Mr. Angelakis has had the same base salary since March 1, 2008) or annual cash bonus opportunity, which remains at 300% of base salary (based on the achievement of performance goals). The agreement continues the structure of Mr. Angelakis’ prior employment agreement of crediting contributions to the Company’s deferred compensation plan, with $2,125,000 being credited on the effective date of the agreement and a specified amount being credited on January 1 of each subsequent year, beginning in 2012 in the amount of $3,700,000, continuing in 2013 in the amount of $1,653,700 and then increasing by 5% each year thereafter from 2014 through 2016. Also under the agreement,</w:t>
      </w:r>
    </w:p>
    <w:p>
      <w:pPr>
        <w:spacing w:after="0" w:line="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Mr. Angelakis is entitled to receive two cash signing bonuses, each of $2,125,000, payable as soon as practicable following the effective date of the agreement and January 1, 2012. Mr. Angelakis, however, will be required to reimburse the Company for 100% of the amount of each signing bonus if, before November 22, 2012, the Company terminates his employment for cause or he terminates employment without good reason.</w:t>
      </w:r>
    </w:p>
    <w:p>
      <w:pPr>
        <w:spacing w:after="0" w:line="10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above summary is qualified by its entirety by the terms and conditions set forth in the employment agreement, a copy of which is attached hereto as Exhibit 99.1.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November 20, 2011, the Company’s Board of Directors amended and restated the By-Laws of the Company to authorize the position of an officer-level Vice Chairman who is not also a director of the Company and to describe the rank and duties of any Vice Chairman.</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above description is qualified in its entirety by the full text of the Amended and Restated By-Laws of the Company, a copy of which is attached hereto as Exhibit 3.1.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500" w:type="dxa"/>
            <w:vAlign w:val="bottom"/>
          </w:tcPr>
          <w:p>
            <w:pPr>
              <w:spacing w:after="0"/>
              <w:rPr>
                <w:sz w:val="14"/>
                <w:szCs w:val="14"/>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500" w:type="dxa"/>
            <w:vAlign w:val="bottom"/>
          </w:tcPr>
          <w:p>
            <w:pPr>
              <w:spacing w:after="0"/>
              <w:rPr>
                <w:sz w:val="14"/>
                <w:szCs w:val="14"/>
                <w:color w:val="auto"/>
              </w:rPr>
            </w:pPr>
          </w:p>
        </w:tc>
      </w:tr>
      <w:tr>
        <w:trPr>
          <w:trHeight w:val="316"/>
        </w:trPr>
        <w:tc>
          <w:tcPr>
            <w:tcW w:w="520" w:type="dxa"/>
            <w:vAlign w:val="bottom"/>
          </w:tcPr>
          <w:p>
            <w:pPr>
              <w:jc w:val="right"/>
              <w:ind w:right="122"/>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w w:val="90"/>
              </w:rPr>
              <w:t>Amended and Restated By-Laws of Comcast Corporation, dated November 20, 2011.</w:t>
            </w:r>
          </w:p>
        </w:tc>
      </w:tr>
      <w:tr>
        <w:trPr>
          <w:trHeight w:val="324"/>
        </w:trPr>
        <w:tc>
          <w:tcPr>
            <w:tcW w:w="520" w:type="dxa"/>
            <w:vAlign w:val="bottom"/>
          </w:tcPr>
          <w:p>
            <w:pPr>
              <w:jc w:val="right"/>
              <w:ind w:right="122"/>
              <w:spacing w:after="0"/>
              <w:rPr>
                <w:sz w:val="20"/>
                <w:szCs w:val="20"/>
                <w:color w:val="auto"/>
              </w:rPr>
            </w:pPr>
            <w:r>
              <w:rPr>
                <w:rFonts w:ascii="Arial" w:cs="Arial" w:eastAsia="Arial" w:hAnsi="Arial"/>
                <w:sz w:val="18"/>
                <w:szCs w:val="18"/>
                <w:color w:val="auto"/>
                <w:w w:val="85"/>
              </w:rPr>
              <w:t>99.1</w:t>
            </w:r>
          </w:p>
        </w:tc>
        <w:tc>
          <w:tcPr>
            <w:tcW w:w="560" w:type="dxa"/>
            <w:vAlign w:val="bottom"/>
          </w:tcPr>
          <w:p>
            <w:pPr>
              <w:spacing w:after="0"/>
              <w:rPr>
                <w:sz w:val="24"/>
                <w:szCs w:val="24"/>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w w:val="89"/>
              </w:rPr>
              <w:t>Employment Agreement with Michael J. Angelakis entered into on November 22, 2011.</w:t>
            </w:r>
          </w:p>
        </w:tc>
      </w:tr>
    </w:tbl>
    <w:p>
      <w:pPr>
        <w:sectPr>
          <w:pgSz w:w="11900" w:h="16838" w:orient="portrait"/>
          <w:cols w:equalWidth="0" w:num="1">
            <w:col w:w="11340"/>
          </w:cols>
          <w:pgMar w:left="240" w:top="274"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November 23, 2011</w:t>
      </w:r>
      <w:r>
        <w:rPr>
          <w:sz w:val="20"/>
          <w:szCs w:val="20"/>
          <w:color w:val="auto"/>
        </w:rPr>
        <w:tab/>
      </w:r>
      <w:r>
        <w:rPr>
          <w:rFonts w:ascii="Arial" w:cs="Arial" w:eastAsia="Arial" w:hAnsi="Arial"/>
          <w:sz w:val="16"/>
          <w:szCs w:val="16"/>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Arthur R. Block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General Counsel and Secretary</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20, 2011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FFICES</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Registered Office.</w:t>
      </w:r>
      <w:r>
        <w:rPr>
          <w:rFonts w:ascii="Arial" w:cs="Arial" w:eastAsia="Arial" w:hAnsi="Arial"/>
          <w:sz w:val="18"/>
          <w:szCs w:val="18"/>
          <w:color w:val="auto"/>
        </w:rPr>
        <w:t xml:space="preserve"> The registered office of the Corporation shall be located within the Commonwealth of Pennsylvania at such place as the Board of Directors (hereinafter referred to as the “</w:t>
      </w:r>
      <w:r>
        <w:rPr>
          <w:rFonts w:ascii="Arial" w:cs="Arial" w:eastAsia="Arial" w:hAnsi="Arial"/>
          <w:sz w:val="18"/>
          <w:szCs w:val="18"/>
          <w:b w:val="1"/>
          <w:bCs w:val="1"/>
          <w:color w:val="auto"/>
        </w:rPr>
        <w:t>Board of Directors</w:t>
      </w:r>
      <w:r>
        <w:rPr>
          <w:rFonts w:ascii="Arial" w:cs="Arial" w:eastAsia="Arial" w:hAnsi="Arial"/>
          <w:sz w:val="18"/>
          <w:szCs w:val="18"/>
          <w:color w:val="auto"/>
        </w:rPr>
        <w:t>” or the “</w:t>
      </w:r>
      <w:r>
        <w:rPr>
          <w:rFonts w:ascii="Arial" w:cs="Arial" w:eastAsia="Arial" w:hAnsi="Arial"/>
          <w:sz w:val="18"/>
          <w:szCs w:val="18"/>
          <w:b w:val="1"/>
          <w:bCs w:val="1"/>
          <w:color w:val="auto"/>
        </w:rPr>
        <w:t>Board</w:t>
      </w:r>
      <w:r>
        <w:rPr>
          <w:rFonts w:ascii="Arial" w:cs="Arial" w:eastAsia="Arial" w:hAnsi="Arial"/>
          <w:sz w:val="18"/>
          <w:szCs w:val="18"/>
          <w:color w:val="auto"/>
        </w:rPr>
        <w:t>”) shall determine from time to time.</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 Other Offices.</w:t>
      </w:r>
      <w:r>
        <w:rPr>
          <w:rFonts w:ascii="Arial" w:cs="Arial" w:eastAsia="Arial" w:hAnsi="Arial"/>
          <w:sz w:val="18"/>
          <w:szCs w:val="18"/>
          <w:color w:val="auto"/>
        </w:rPr>
        <w:t xml:space="preserve"> The Corporation may also have offices at such other places, within or without the Commonwealth of Pennsylvania, as the Board of Directors may determine from time to time.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EETINGS OF</w:t>
      </w:r>
      <w:r>
        <w:rPr>
          <w:rFonts w:ascii="Arial" w:cs="Arial" w:eastAsia="Arial" w:hAnsi="Arial"/>
          <w:sz w:val="18"/>
          <w:szCs w:val="18"/>
          <w:color w:val="auto"/>
        </w:rPr>
        <w:t xml:space="preserve"> S</w:t>
      </w:r>
      <w:r>
        <w:rPr>
          <w:rFonts w:ascii="Arial" w:cs="Arial" w:eastAsia="Arial" w:hAnsi="Arial"/>
          <w:sz w:val="14"/>
          <w:szCs w:val="14"/>
          <w:color w:val="auto"/>
        </w:rPr>
        <w:t>HAREHOLDERS</w:t>
      </w:r>
    </w:p>
    <w:p>
      <w:pPr>
        <w:spacing w:after="0" w:line="16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 Place of Meetings of Shareholders.</w:t>
      </w:r>
      <w:r>
        <w:rPr>
          <w:rFonts w:ascii="Arial" w:cs="Arial" w:eastAsia="Arial" w:hAnsi="Arial"/>
          <w:sz w:val="18"/>
          <w:szCs w:val="18"/>
          <w:color w:val="auto"/>
        </w:rPr>
        <w:t xml:space="preserve">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and pose questions to the Directors, the meeting need not be held at a particular geographic location.</w:t>
      </w:r>
    </w:p>
    <w:p>
      <w:pPr>
        <w:sectPr>
          <w:pgSz w:w="11900" w:h="16838" w:orient="portrait"/>
          <w:cols w:equalWidth="0" w:num="1">
            <w:col w:w="11420"/>
          </w:cols>
          <w:pgMar w:left="240" w:top="125" w:right="239" w:bottom="1440" w:gutter="0" w:footer="0" w:header="0"/>
        </w:sectPr>
      </w:pPr>
    </w:p>
    <w:bookmarkStart w:id="4" w:name="page5"/>
    <w:bookmarkEnd w:id="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2.02. </w:t>
      </w:r>
      <w:r>
        <w:rPr>
          <w:rFonts w:ascii="Arial" w:cs="Arial" w:eastAsia="Arial" w:hAnsi="Arial"/>
          <w:sz w:val="18"/>
          <w:szCs w:val="18"/>
          <w:i w:val="1"/>
          <w:iCs w:val="1"/>
          <w:color w:val="auto"/>
        </w:rPr>
        <w:t>Annual Meetings of Shareholders</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256"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w:t>
      </w:r>
      <w:r>
        <w:rPr>
          <w:rFonts w:ascii="Arial" w:cs="Arial" w:eastAsia="Arial" w:hAnsi="Arial"/>
          <w:sz w:val="18"/>
          <w:szCs w:val="18"/>
          <w:b w:val="1"/>
          <w:bCs w:val="1"/>
          <w:color w:val="auto"/>
        </w:rPr>
        <w:t>Holiday</w:t>
      </w:r>
      <w:r>
        <w:rPr>
          <w:rFonts w:ascii="Arial" w:cs="Arial" w:eastAsia="Arial" w:hAnsi="Arial"/>
          <w:sz w:val="18"/>
          <w:szCs w:val="18"/>
          <w:color w:val="auto"/>
        </w:rPr>
        <w:t>”), and if such day is a Holiday, then such meeting shall be held on the next business day at such time.</w:t>
      </w:r>
    </w:p>
    <w:p>
      <w:pPr>
        <w:spacing w:after="0" w:line="143"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Election of Directors. At each annual meeting, Directors shall be elected to serve for the ensuing year and until their successors shall have been selected and qualified or until their earlier death, resignation or removal.</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 Special Meetings of Shareholders.</w:t>
      </w:r>
      <w:r>
        <w:rPr>
          <w:rFonts w:ascii="Arial" w:cs="Arial" w:eastAsia="Arial" w:hAnsi="Arial"/>
          <w:sz w:val="18"/>
          <w:szCs w:val="18"/>
          <w:color w:val="auto"/>
        </w:rPr>
        <w:t xml:space="preserve">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 Notices of Meetings of Shareholders.</w:t>
      </w:r>
      <w:r>
        <w:rPr>
          <w:rFonts w:ascii="Arial" w:cs="Arial" w:eastAsia="Arial" w:hAnsi="Arial"/>
          <w:sz w:val="18"/>
          <w:szCs w:val="18"/>
          <w:color w:val="auto"/>
        </w:rPr>
        <w:t xml:space="preserve"> Written notice, complying with Article 6 of these By-Laws, of any meeting of the shareholders, shall be given to each shareholder of record entitled to vote at the meeting, other than those excepted by Section 1707 of the Pennsylvania Business Corporation Law of 1988, as amended (the “</w:t>
      </w:r>
      <w:r>
        <w:rPr>
          <w:rFonts w:ascii="Arial" w:cs="Arial" w:eastAsia="Arial" w:hAnsi="Arial"/>
          <w:sz w:val="18"/>
          <w:szCs w:val="18"/>
          <w:b w:val="1"/>
          <w:bCs w:val="1"/>
          <w:color w:val="auto"/>
        </w:rPr>
        <w:t>Pennsylvania BCL</w:t>
      </w:r>
      <w:r>
        <w:rPr>
          <w:rFonts w:ascii="Arial" w:cs="Arial" w:eastAsia="Arial" w:hAnsi="Arial"/>
          <w:sz w:val="18"/>
          <w:szCs w:val="18"/>
          <w:color w:val="auto"/>
        </w:rPr>
        <w:t>”), at least twenty days prior to the day named for the meeting, except as provided in Section 6.07. Such notices may be given by, or at the direction of, the Secretary or his or her designated agent.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Quorum of and Action by Shareholders</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253" w:lineRule="auto"/>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Rule. A meeting of shareholders duly called shall not be organized for the transaction of business unless a quorum is present as to at least one of the matters to be considered. Except as provided in subsections (c), (d) and (e) of this Section 2.05, the presence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left="-20" w:right="40" w:firstLine="464"/>
        <w:spacing w:after="0" w:line="294" w:lineRule="auto"/>
        <w:tabs>
          <w:tab w:leader="none" w:pos="685"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Action by Shareholders.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may the required shareholder vote be reduced below that provided above.</w:t>
      </w:r>
    </w:p>
    <w:p>
      <w:pPr>
        <w:spacing w:after="0" w:line="115" w:lineRule="exact"/>
        <w:rPr>
          <w:rFonts w:ascii="Arial" w:cs="Arial" w:eastAsia="Arial" w:hAnsi="Arial"/>
          <w:sz w:val="16"/>
          <w:szCs w:val="16"/>
          <w:color w:val="auto"/>
        </w:rPr>
      </w:pPr>
    </w:p>
    <w:p>
      <w:pPr>
        <w:ind w:left="-20" w:right="720" w:firstLine="464"/>
        <w:spacing w:after="0" w:line="268" w:lineRule="auto"/>
        <w:tabs>
          <w:tab w:leader="none" w:pos="6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Quorum. The shareholders present at a duly organized meeting can continue to do business until adjournment, notwithstanding the withdrawal of enough shareholders to leave less than a quorum.</w:t>
      </w:r>
    </w:p>
    <w:p>
      <w:pPr>
        <w:spacing w:after="0" w:line="131" w:lineRule="exact"/>
        <w:rPr>
          <w:rFonts w:ascii="Arial" w:cs="Arial" w:eastAsia="Arial" w:hAnsi="Arial"/>
          <w:sz w:val="18"/>
          <w:szCs w:val="18"/>
          <w:color w:val="auto"/>
        </w:rPr>
      </w:pPr>
    </w:p>
    <w:p>
      <w:pPr>
        <w:ind w:left="-20" w:right="360" w:firstLine="464"/>
        <w:spacing w:after="0" w:line="259" w:lineRule="auto"/>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Directors at Adjourned Meetings. Those shareholders entitled to vote who attend a meeting at which Directors are to be elected that has been previously adjourned for lack of a quorum with respect thereto, although less than a quorum as fixed in subsection (a), shall nevertheless constitute a quorum for the purpose of electing Directors at such reconvened meeting.</w:t>
      </w:r>
    </w:p>
    <w:p>
      <w:pPr>
        <w:spacing w:after="0" w:line="140" w:lineRule="exact"/>
        <w:rPr>
          <w:rFonts w:ascii="Arial" w:cs="Arial" w:eastAsia="Arial" w:hAnsi="Arial"/>
          <w:sz w:val="18"/>
          <w:szCs w:val="18"/>
          <w:color w:val="auto"/>
        </w:rPr>
      </w:pPr>
    </w:p>
    <w:p>
      <w:pPr>
        <w:ind w:left="-20" w:firstLine="464"/>
        <w:spacing w:after="0" w:line="298" w:lineRule="auto"/>
        <w:tabs>
          <w:tab w:leader="none" w:pos="675"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Conduct of Other Business at Adjourned Meetings. Those shareholders entitled to vote who attend a meeting at which a matter other than the election of directors is to be acted upon, that has been previously adjourned for one or more periods aggregating at least 15 days because of an absence of a quorum with respect thereto, although less than a quorum as fixed in subsection (a), shall nevertheless constitute a quorum for the purpose of acting upon such matter if the notice states that those shareholders who attend the adjourned meeting shall nevertheless constitute a quorum for the purpose of acting upon such matter.</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Adjournments</w:t>
      </w:r>
      <w:r>
        <w:rPr>
          <w:rFonts w:ascii="Arial" w:cs="Arial" w:eastAsia="Arial" w:hAnsi="Arial"/>
          <w:sz w:val="18"/>
          <w:szCs w:val="18"/>
          <w:color w:val="auto"/>
        </w:rPr>
        <w:t>.</w:t>
      </w:r>
    </w:p>
    <w:p>
      <w:pPr>
        <w:spacing w:after="0" w:line="171" w:lineRule="exact"/>
        <w:rPr>
          <w:sz w:val="20"/>
          <w:szCs w:val="20"/>
          <w:color w:val="auto"/>
        </w:rPr>
      </w:pPr>
    </w:p>
    <w:p>
      <w:pPr>
        <w:ind w:left="-20" w:right="360" w:firstLine="464"/>
        <w:spacing w:after="0" w:line="268" w:lineRule="auto"/>
        <w:tabs>
          <w:tab w:leader="none" w:pos="675"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Rule. Adjournments of any regular or special meeting of shareholders, including one at which Directors are to be elected, may be taken for such periods as the shareholders present and entitled to vote shall direct.</w:t>
      </w:r>
    </w:p>
    <w:p>
      <w:pPr>
        <w:spacing w:after="0" w:line="131" w:lineRule="exact"/>
        <w:rPr>
          <w:rFonts w:ascii="Arial" w:cs="Arial" w:eastAsia="Arial" w:hAnsi="Arial"/>
          <w:sz w:val="18"/>
          <w:szCs w:val="18"/>
          <w:color w:val="auto"/>
        </w:rPr>
      </w:pPr>
    </w:p>
    <w:p>
      <w:pPr>
        <w:ind w:left="-20" w:right="220" w:firstLine="464"/>
        <w:spacing w:after="0" w:line="294" w:lineRule="auto"/>
        <w:tabs>
          <w:tab w:leader="none" w:pos="685" w:val="left"/>
        </w:tabs>
        <w:numPr>
          <w:ilvl w:val="0"/>
          <w:numId w:val="5"/>
        </w:numPr>
        <w:rPr>
          <w:rFonts w:ascii="Arial" w:cs="Arial" w:eastAsia="Arial" w:hAnsi="Arial"/>
          <w:sz w:val="16"/>
          <w:szCs w:val="16"/>
          <w:color w:val="auto"/>
        </w:rPr>
      </w:pPr>
      <w:r>
        <w:rPr>
          <w:rFonts w:ascii="Arial" w:cs="Arial" w:eastAsia="Arial" w:hAnsi="Arial"/>
          <w:sz w:val="16"/>
          <w:szCs w:val="16"/>
          <w:color w:val="auto"/>
        </w:rPr>
        <w:t>Lack of Quorum. Without limiting the generality of Section 2.06(c), if a meeting cannot be organized because a quorum has not attended, those shareholders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shareholders present may determine, and the balance of the matters to be considered at such meeting for which a quorum was present may be considered and acted upon at the initial meeting.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6" w:name="page7"/>
    <w:bookmarkEnd w:id="6"/>
    <w:p>
      <w:pPr>
        <w:ind w:left="-20" w:right="100" w:firstLine="464"/>
        <w:spacing w:after="0" w:line="256" w:lineRule="auto"/>
        <w:tabs>
          <w:tab w:leader="none" w:pos="675"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an Adjourned Meeting.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Voting List, Voting and Proxies</w:t>
      </w:r>
      <w:r>
        <w:rPr>
          <w:rFonts w:ascii="Arial" w:cs="Arial" w:eastAsia="Arial" w:hAnsi="Arial"/>
          <w:sz w:val="18"/>
          <w:szCs w:val="18"/>
          <w:color w:val="auto"/>
        </w:rPr>
        <w:t>.</w:t>
      </w:r>
    </w:p>
    <w:p>
      <w:pPr>
        <w:spacing w:after="0" w:line="171" w:lineRule="exact"/>
        <w:rPr>
          <w:sz w:val="20"/>
          <w:szCs w:val="20"/>
          <w:color w:val="auto"/>
        </w:rPr>
      </w:pPr>
    </w:p>
    <w:p>
      <w:pPr>
        <w:ind w:left="-20" w:firstLine="464"/>
        <w:spacing w:after="0" w:line="255" w:lineRule="auto"/>
        <w:tabs>
          <w:tab w:leader="none" w:pos="675"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List.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if the Corporation has 5,000 or more shareholders, in lieu of the making of the list the Corporation may make the information therein available at the meeting by any other means.</w:t>
      </w:r>
    </w:p>
    <w:p>
      <w:pPr>
        <w:spacing w:after="0" w:line="142" w:lineRule="exact"/>
        <w:rPr>
          <w:rFonts w:ascii="Arial" w:cs="Arial" w:eastAsia="Arial" w:hAnsi="Arial"/>
          <w:sz w:val="18"/>
          <w:szCs w:val="18"/>
          <w:color w:val="auto"/>
        </w:rPr>
      </w:pPr>
    </w:p>
    <w:p>
      <w:pPr>
        <w:jc w:val="both"/>
        <w:ind w:left="-20" w:right="120" w:firstLine="464"/>
        <w:spacing w:after="0" w:line="255" w:lineRule="auto"/>
        <w:tabs>
          <w:tab w:leader="none" w:pos="685" w:val="left"/>
        </w:tabs>
        <w:numPr>
          <w:ilvl w:val="0"/>
          <w:numId w:val="7"/>
        </w:numPr>
        <w:rPr>
          <w:rFonts w:ascii="Arial" w:cs="Arial" w:eastAsia="Arial" w:hAnsi="Arial"/>
          <w:sz w:val="18"/>
          <w:szCs w:val="18"/>
          <w:color w:val="auto"/>
        </w:rPr>
      </w:pPr>
      <w:r>
        <w:rPr>
          <w:rFonts w:ascii="Arial" w:cs="Arial" w:eastAsia="Arial" w:hAnsi="Arial"/>
          <w:sz w:val="18"/>
          <w:szCs w:val="18"/>
          <w:color w:val="auto"/>
        </w:rPr>
        <w:t>Method of Voting.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 Section 2.05(b), voting need not be by ballot but may be taken by voice, show of hands or such other method determined by the presiding officer to the fullest extent permitted by applicable law (including the Pennsylvania BCL).</w:t>
      </w:r>
    </w:p>
    <w:p>
      <w:pPr>
        <w:spacing w:after="0" w:line="142" w:lineRule="exact"/>
        <w:rPr>
          <w:rFonts w:ascii="Arial" w:cs="Arial" w:eastAsia="Arial" w:hAnsi="Arial"/>
          <w:sz w:val="18"/>
          <w:szCs w:val="18"/>
          <w:color w:val="auto"/>
        </w:rPr>
      </w:pPr>
    </w:p>
    <w:p>
      <w:pPr>
        <w:ind w:left="-20" w:right="60" w:firstLine="464"/>
        <w:spacing w:after="0" w:line="288" w:lineRule="auto"/>
        <w:tabs>
          <w:tab w:leader="none" w:pos="675"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Proxies.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or his or her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or his or her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or his or her designated agent in writing or by electronic transmission.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7" w:name="page8"/>
    <w:bookmarkEnd w:id="7"/>
    <w:p>
      <w:pPr>
        <w:ind w:right="20" w:firstLine="464"/>
        <w:spacing w:after="0" w:line="290" w:lineRule="auto"/>
        <w:tabs>
          <w:tab w:leader="none" w:pos="705"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Judges of Election.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118" w:lineRule="exact"/>
        <w:rPr>
          <w:rFonts w:ascii="Arial" w:cs="Arial" w:eastAsia="Arial" w:hAnsi="Arial"/>
          <w:sz w:val="16"/>
          <w:szCs w:val="16"/>
          <w:color w:val="auto"/>
        </w:rPr>
      </w:pPr>
    </w:p>
    <w:p>
      <w:pPr>
        <w:ind w:right="120" w:firstLine="464"/>
        <w:spacing w:after="0" w:line="268"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Action by Written Consent in Lieu of a Meeting. Subject to Article NINTH of the Articles of Incorporation, the shareholders shall not be permitted to act by written consent in lieu of a meeting.</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Section 2.08</w:t>
      </w:r>
      <w:r>
        <w:rPr>
          <w:rFonts w:ascii="Arial" w:cs="Arial" w:eastAsia="Arial" w:hAnsi="Arial"/>
          <w:sz w:val="18"/>
          <w:szCs w:val="18"/>
          <w:i w:val="1"/>
          <w:iCs w:val="1"/>
          <w:color w:val="auto"/>
        </w:rPr>
        <w:t>. Participation in Meetings by Electronic Means.</w:t>
      </w:r>
      <w:r>
        <w:rPr>
          <w:rFonts w:ascii="Arial" w:cs="Arial" w:eastAsia="Arial" w:hAnsi="Arial"/>
          <w:sz w:val="18"/>
          <w:szCs w:val="18"/>
          <w:color w:val="auto"/>
        </w:rPr>
        <w:t xml:space="preserve"> The Board of Directors may permit, by resolution with respect to a particular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14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Section 2.09</w:t>
      </w:r>
      <w:r>
        <w:rPr>
          <w:rFonts w:ascii="Arial" w:cs="Arial" w:eastAsia="Arial" w:hAnsi="Arial"/>
          <w:sz w:val="16"/>
          <w:szCs w:val="16"/>
          <w:i w:val="1"/>
          <w:iCs w:val="1"/>
          <w:color w:val="auto"/>
        </w:rPr>
        <w:t>. Business at Meetings of Shareholders.</w:t>
      </w:r>
      <w:r>
        <w:rPr>
          <w:rFonts w:ascii="Arial" w:cs="Arial" w:eastAsia="Arial" w:hAnsi="Arial"/>
          <w:sz w:val="16"/>
          <w:szCs w:val="16"/>
          <w:color w:val="auto"/>
        </w:rPr>
        <w:t xml:space="preserve"> Except as otherwise provided by law (including but not limited to Rule 14a-8 promulgated under the Securities and Exchange Act of 1934, as amended, or any successor provision thereto) or in these By-Laws, the business which shall be conducted at any meeting of the shareholders shall (a) have been specified in the written notice of the meeting (or any supplement thereto) given by the Corporation, or (b) be brought before the meeting at the direction of the Board of Directors, or (c) be brought before the meeting by the presiding officer of the meeting unless a majority of the Directors then in office object to such business being conducted at the meeting, or (d) in the case of any matters intended to be brought by a shareholder before an annual meeting of shareholders for specific action at such meeting, have been specified in a written notice given to the Secretary, by or on behalf of any shareholder who shall have been a shareholder of record on the record date for such meeting and who shall continue to be entitled to vote thereat (the “</w:t>
      </w:r>
      <w:r>
        <w:rPr>
          <w:rFonts w:ascii="Arial" w:cs="Arial" w:eastAsia="Arial" w:hAnsi="Arial"/>
          <w:sz w:val="16"/>
          <w:szCs w:val="16"/>
          <w:b w:val="1"/>
          <w:bCs w:val="1"/>
          <w:color w:val="auto"/>
        </w:rPr>
        <w:t>Shareholder Notice</w:t>
      </w:r>
      <w:r>
        <w:rPr>
          <w:rFonts w:ascii="Arial" w:cs="Arial" w:eastAsia="Arial" w:hAnsi="Arial"/>
          <w:sz w:val="16"/>
          <w:szCs w:val="16"/>
          <w:color w:val="auto"/>
        </w:rPr>
        <w:t>”), in accordance with all of the following requirements:</w:t>
      </w:r>
    </w:p>
    <w:p>
      <w:pPr>
        <w:spacing w:after="0" w:line="37" w:lineRule="exact"/>
        <w:rPr>
          <w:sz w:val="20"/>
          <w:szCs w:val="20"/>
          <w:color w:val="auto"/>
        </w:rPr>
      </w:pPr>
    </w:p>
    <w:p>
      <w:pPr>
        <w:ind w:left="460" w:right="80" w:firstLine="443"/>
        <w:spacing w:after="0" w:line="254" w:lineRule="auto"/>
        <w:tabs>
          <w:tab w:leader="none" w:pos="1108"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Shareholder Notice must be delivered to, or mailed and received at, the principal executive offices of the Corporation (A) in the case of an annual meeting that is called for a date that is within 30 days before or after the anniversary date of the immediately preceding annual meeting of shareholders, not less than 60 days nor more than 90 days prior to such anniversary date, and (B) in the case of an annual meeting that is called for a date that is not within 30 days before or after the anniversary date of the immediately preceding annual meeting, not later than the close of business on the tenth day following the day on which notice of the date of the meeting was mailed or public disclosure of the date of the meeting was made, whichever occurs first; and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ind w:left="1120" w:hanging="257"/>
        <w:spacing w:after="0"/>
        <w:tabs>
          <w:tab w:leader="none" w:pos="1120" w:val="left"/>
        </w:tabs>
        <w:numPr>
          <w:ilvl w:val="1"/>
          <w:numId w:val="1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such Shareholder Notice must set forth: (A) the name and address of the shareholder who intends to bring the business before the meeting;</w:t>
      </w:r>
    </w:p>
    <w:p>
      <w:pPr>
        <w:spacing w:after="0" w:line="49" w:lineRule="exact"/>
        <w:rPr>
          <w:rFonts w:ascii="Arial" w:cs="Arial" w:eastAsia="Arial" w:hAnsi="Arial"/>
          <w:sz w:val="15"/>
          <w:szCs w:val="15"/>
          <w:color w:val="auto"/>
        </w:rPr>
      </w:pPr>
    </w:p>
    <w:p>
      <w:pPr>
        <w:ind w:left="420" w:right="120" w:firstLine="4"/>
        <w:spacing w:after="0" w:line="253" w:lineRule="auto"/>
        <w:tabs>
          <w:tab w:leader="none" w:pos="6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general nature of the business which such shareholder seeks to bring before the meeting and the text of the resolution or resolutions which the proposing shareholder proposes that the shareholders adopt; and (C) a representation that the shareholder is a holder of record of the stock of the Corporation entitled to vote at such meeting and intends to appear in person or by proxy at the meeting to bring the business specified in the notice before the meeting. The presiding officer of the meeting may, in his or her sole discretion, refuse to acknowledge any business proposed by a shareholder not made in compliance with the foregoing procedure.</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Conduct Of Meetings Of Shareholders.</w:t>
      </w:r>
    </w:p>
    <w:p>
      <w:pPr>
        <w:spacing w:after="0" w:line="171" w:lineRule="exact"/>
        <w:rPr>
          <w:sz w:val="20"/>
          <w:szCs w:val="20"/>
          <w:color w:val="auto"/>
        </w:rPr>
      </w:pPr>
    </w:p>
    <w:p>
      <w:pPr>
        <w:ind w:left="-40" w:right="40" w:firstLine="464"/>
        <w:spacing w:after="0" w:line="306"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Presiding Officer. There shall be a presiding officer at every meeting of the shareholders. Subject to Article SIXTH of the Articles of Incorporation, the presiding officer shall be appointed by the Board of Directors or in the manner authorized by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 presiding officer is not designated by the Board of Directors or in the manner authorized by the Board of Directors, the Chairman of the Board shall be the presiding officer.</w:t>
      </w:r>
    </w:p>
    <w:p>
      <w:pPr>
        <w:spacing w:after="0" w:line="106" w:lineRule="exact"/>
        <w:rPr>
          <w:rFonts w:ascii="Arial" w:cs="Arial" w:eastAsia="Arial" w:hAnsi="Arial"/>
          <w:sz w:val="16"/>
          <w:szCs w:val="16"/>
          <w:color w:val="auto"/>
        </w:rPr>
      </w:pPr>
    </w:p>
    <w:p>
      <w:pPr>
        <w:ind w:left="-40" w:firstLine="464"/>
        <w:spacing w:after="0" w:line="268" w:lineRule="auto"/>
        <w:tabs>
          <w:tab w:leader="none" w:pos="6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Authority of Presiding Officer. Except as prescribed by the Board of Directors, the presiding officer shall determine the order of business and shall have the authority to establish rules for the conduct of the meeting of the shareholders.</w:t>
      </w:r>
    </w:p>
    <w:p>
      <w:pPr>
        <w:spacing w:after="0" w:line="131" w:lineRule="exact"/>
        <w:rPr>
          <w:rFonts w:ascii="Arial" w:cs="Arial" w:eastAsia="Arial" w:hAnsi="Arial"/>
          <w:sz w:val="18"/>
          <w:szCs w:val="18"/>
          <w:color w:val="auto"/>
        </w:rPr>
      </w:pPr>
    </w:p>
    <w:p>
      <w:pPr>
        <w:ind w:left="-40" w:right="420" w:firstLine="464"/>
        <w:spacing w:after="0" w:line="33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Procedural Standard. Any action by the presiding officer in adopting rules for, and in conducting, a meeting of the shareholders shall be fair to the shareholders. The conduct of the meeting need not follow </w:t>
      </w:r>
      <w:r>
        <w:rPr>
          <w:rFonts w:ascii="Arial" w:cs="Arial" w:eastAsia="Arial" w:hAnsi="Arial"/>
          <w:sz w:val="16"/>
          <w:szCs w:val="16"/>
          <w:i w:val="1"/>
          <w:iCs w:val="1"/>
          <w:color w:val="auto"/>
        </w:rPr>
        <w:t>Robert’s Rules of Order</w:t>
      </w:r>
      <w:r>
        <w:rPr>
          <w:rFonts w:ascii="Arial" w:cs="Arial" w:eastAsia="Arial" w:hAnsi="Arial"/>
          <w:sz w:val="16"/>
          <w:szCs w:val="16"/>
          <w:color w:val="auto"/>
        </w:rPr>
        <w:t xml:space="preserve"> or any other published rules for the conduct of a meeting.</w:t>
      </w:r>
    </w:p>
    <w:p>
      <w:pPr>
        <w:spacing w:after="0" w:line="85" w:lineRule="exact"/>
        <w:rPr>
          <w:rFonts w:ascii="Arial" w:cs="Arial" w:eastAsia="Arial" w:hAnsi="Arial"/>
          <w:sz w:val="16"/>
          <w:szCs w:val="16"/>
          <w:color w:val="auto"/>
        </w:rPr>
      </w:pPr>
    </w:p>
    <w:p>
      <w:pPr>
        <w:ind w:left="-40" w:right="20" w:firstLine="464"/>
        <w:spacing w:after="0" w:line="259" w:lineRule="auto"/>
        <w:tabs>
          <w:tab w:leader="none" w:pos="6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Closing of the Polls.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80" w:right="2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OARD</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D</w:t>
      </w:r>
      <w:r>
        <w:rPr>
          <w:rFonts w:ascii="Arial" w:cs="Arial" w:eastAsia="Arial" w:hAnsi="Arial"/>
          <w:sz w:val="14"/>
          <w:szCs w:val="14"/>
          <w:color w:val="auto"/>
        </w:rPr>
        <w:t>IRECTORS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 Board of Directors.</w:t>
      </w:r>
    </w:p>
    <w:p>
      <w:pPr>
        <w:spacing w:after="0" w:line="171" w:lineRule="exact"/>
        <w:rPr>
          <w:sz w:val="20"/>
          <w:szCs w:val="20"/>
          <w:color w:val="auto"/>
        </w:rPr>
      </w:pPr>
    </w:p>
    <w:p>
      <w:pPr>
        <w:ind w:right="100" w:firstLine="464"/>
        <w:spacing w:after="0" w:line="332" w:lineRule="auto"/>
        <w:tabs>
          <w:tab w:leader="none" w:pos="6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General Powers. Except as otherwise provided by law, the Articles of Incorporation or these By-Laws, all powers of the Corporation shall be exercised by or under the authority of, and the business and affairs of the Corporation shall be managed under the direction of, the Board of Directors.</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The number of Directors shall be as determined by the Board of Directors from time to time.</w:t>
      </w:r>
    </w:p>
    <w:p>
      <w:pPr>
        <w:spacing w:after="0" w:line="171" w:lineRule="exact"/>
        <w:rPr>
          <w:rFonts w:ascii="Arial" w:cs="Arial" w:eastAsia="Arial" w:hAnsi="Arial"/>
          <w:sz w:val="18"/>
          <w:szCs w:val="18"/>
          <w:color w:val="auto"/>
        </w:rPr>
      </w:pPr>
    </w:p>
    <w:p>
      <w:pPr>
        <w:ind w:firstLine="464"/>
        <w:spacing w:after="0" w:line="294" w:lineRule="auto"/>
        <w:tabs>
          <w:tab w:leader="none" w:pos="6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Vacancies.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115" w:lineRule="exact"/>
        <w:rPr>
          <w:rFonts w:ascii="Arial" w:cs="Arial" w:eastAsia="Arial" w:hAnsi="Arial"/>
          <w:sz w:val="16"/>
          <w:szCs w:val="16"/>
          <w:color w:val="auto"/>
        </w:rPr>
      </w:pPr>
    </w:p>
    <w:p>
      <w:pPr>
        <w:ind w:right="160" w:firstLine="464"/>
        <w:spacing w:after="0" w:line="268"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Removal. The entire Board of Directors or any individual Director may be removed from office only for cause by the vote of the shareholders entitled to elect directors.</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Qualification. A Director must be a natural person at least 18 years of age.</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Section 3.02</w:t>
      </w:r>
      <w:r>
        <w:rPr>
          <w:rFonts w:ascii="Arial" w:cs="Arial" w:eastAsia="Arial" w:hAnsi="Arial"/>
          <w:sz w:val="18"/>
          <w:szCs w:val="18"/>
          <w:i w:val="1"/>
          <w:iCs w:val="1"/>
          <w:color w:val="auto"/>
        </w:rPr>
        <w:t>. Place of Meetings.</w:t>
      </w:r>
      <w:r>
        <w:rPr>
          <w:rFonts w:ascii="Arial" w:cs="Arial" w:eastAsia="Arial" w:hAnsi="Arial"/>
          <w:sz w:val="18"/>
          <w:szCs w:val="18"/>
          <w:color w:val="auto"/>
        </w:rPr>
        <w:t xml:space="preserve"> Meetings of the Board of Directors may be held at such place within or without the Commonwealth of Pennsylvania as the Board of Directors may appoint from time to time or as may be designated in the notice of the meeting.</w:t>
      </w:r>
    </w:p>
    <w:p>
      <w:pPr>
        <w:spacing w:after="0" w:line="132"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Section 3.03</w:t>
      </w:r>
      <w:r>
        <w:rPr>
          <w:rFonts w:ascii="Arial" w:cs="Arial" w:eastAsia="Arial" w:hAnsi="Arial"/>
          <w:sz w:val="15"/>
          <w:szCs w:val="15"/>
          <w:i w:val="1"/>
          <w:iCs w:val="1"/>
          <w:color w:val="auto"/>
        </w:rPr>
        <w:t>. Regular Meetings.</w:t>
      </w:r>
      <w:r>
        <w:rPr>
          <w:rFonts w:ascii="Arial" w:cs="Arial" w:eastAsia="Arial" w:hAnsi="Arial"/>
          <w:sz w:val="15"/>
          <w:szCs w:val="15"/>
          <w:color w:val="auto"/>
        </w:rPr>
        <w:t xml:space="preserve"> A regular meeting of the Board of Directors shall be held immediately following each annual meeting of the shareholders, at the place where such meeting of the shareholders is held or at such other place and time after the annual meeting of shareholders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3.04</w:t>
      </w:r>
      <w:r>
        <w:rPr>
          <w:rFonts w:ascii="Arial" w:cs="Arial" w:eastAsia="Arial" w:hAnsi="Arial"/>
          <w:sz w:val="18"/>
          <w:szCs w:val="18"/>
          <w:i w:val="1"/>
          <w:iCs w:val="1"/>
          <w:color w:val="auto"/>
        </w:rPr>
        <w:t>. Special Meetings.</w:t>
      </w:r>
      <w:r>
        <w:rPr>
          <w:rFonts w:ascii="Arial" w:cs="Arial" w:eastAsia="Arial" w:hAnsi="Arial"/>
          <w:sz w:val="18"/>
          <w:szCs w:val="18"/>
          <w:color w:val="auto"/>
        </w:rPr>
        <w:t xml:space="preserve">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140"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Section 3.05</w:t>
      </w:r>
      <w:r>
        <w:rPr>
          <w:rFonts w:ascii="Arial" w:cs="Arial" w:eastAsia="Arial" w:hAnsi="Arial"/>
          <w:sz w:val="15"/>
          <w:szCs w:val="15"/>
          <w:i w:val="1"/>
          <w:iCs w:val="1"/>
          <w:color w:val="auto"/>
        </w:rPr>
        <w:t>. Participation in Meetings by Electronic Means.</w:t>
      </w:r>
      <w:r>
        <w:rPr>
          <w:rFonts w:ascii="Arial" w:cs="Arial" w:eastAsia="Arial" w:hAnsi="Arial"/>
          <w:sz w:val="15"/>
          <w:szCs w:val="15"/>
          <w:color w:val="auto"/>
        </w:rPr>
        <w:t xml:space="preserve"> Any Director may participate in any meeting of the Board of Directors or of any committee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technology by means of which all persons participating in the meeting can hear each other.</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3.06</w:t>
      </w:r>
      <w:r>
        <w:rPr>
          <w:rFonts w:ascii="Arial" w:cs="Arial" w:eastAsia="Arial" w:hAnsi="Arial"/>
          <w:sz w:val="18"/>
          <w:szCs w:val="18"/>
          <w:i w:val="1"/>
          <w:iCs w:val="1"/>
          <w:color w:val="auto"/>
        </w:rPr>
        <w:t>. Notices of Meetings of Board of Directors.</w:t>
      </w:r>
    </w:p>
    <w:p>
      <w:pPr>
        <w:spacing w:after="0" w:line="171" w:lineRule="exact"/>
        <w:rPr>
          <w:sz w:val="20"/>
          <w:szCs w:val="20"/>
          <w:color w:val="auto"/>
        </w:rPr>
      </w:pPr>
    </w:p>
    <w:p>
      <w:pPr>
        <w:ind w:right="260" w:firstLine="464"/>
        <w:spacing w:after="0" w:line="259"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Regular Meetings.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140"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Meetings. Written notice stating the place, date and time of any special meeting of the Board of Directors shall be sufficient if given at least 48 hours, as provided in Article 6, in advance of the date and time fixed for the meeting.</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Section 3.07</w:t>
      </w:r>
      <w:r>
        <w:rPr>
          <w:rFonts w:ascii="Arial" w:cs="Arial" w:eastAsia="Arial" w:hAnsi="Arial"/>
          <w:sz w:val="16"/>
          <w:szCs w:val="16"/>
          <w:i w:val="1"/>
          <w:iCs w:val="1"/>
          <w:color w:val="auto"/>
        </w:rPr>
        <w:t>. Quorum; Action by the Board of Directors.</w:t>
      </w:r>
      <w:r>
        <w:rPr>
          <w:rFonts w:ascii="Arial" w:cs="Arial" w:eastAsia="Arial" w:hAnsi="Arial"/>
          <w:sz w:val="16"/>
          <w:szCs w:val="16"/>
          <w:color w:val="auto"/>
        </w:rPr>
        <w:t xml:space="preserve">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Section 3.08</w:t>
      </w:r>
      <w:r>
        <w:rPr>
          <w:rFonts w:ascii="Arial" w:cs="Arial" w:eastAsia="Arial" w:hAnsi="Arial"/>
          <w:sz w:val="16"/>
          <w:szCs w:val="16"/>
          <w:i w:val="1"/>
          <w:iCs w:val="1"/>
          <w:color w:val="auto"/>
        </w:rPr>
        <w:t>. Informal Action by the Board of Directors.</w:t>
      </w:r>
      <w:r>
        <w:rPr>
          <w:rFonts w:ascii="Arial" w:cs="Arial" w:eastAsia="Arial" w:hAnsi="Arial"/>
          <w:sz w:val="16"/>
          <w:szCs w:val="16"/>
          <w:color w:val="auto"/>
        </w:rPr>
        <w:t xml:space="preserve"> Any action required or permitted to be taken at a meeting of the Board of Directors may be taken without a meeting if, prior or subsequent to the action, a consent or consents thereto by all of the Directors in office is filed with the Secretary.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80" w:right="31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3.09. </w:t>
      </w:r>
      <w:r>
        <w:rPr>
          <w:rFonts w:ascii="Arial" w:cs="Arial" w:eastAsia="Arial" w:hAnsi="Arial"/>
          <w:sz w:val="18"/>
          <w:szCs w:val="18"/>
          <w:i w:val="1"/>
          <w:iCs w:val="1"/>
          <w:color w:val="auto"/>
        </w:rPr>
        <w:t>Committees.</w:t>
      </w:r>
    </w:p>
    <w:p>
      <w:pPr>
        <w:spacing w:after="0" w:line="171" w:lineRule="exact"/>
        <w:rPr>
          <w:sz w:val="20"/>
          <w:szCs w:val="20"/>
          <w:color w:val="auto"/>
        </w:rPr>
      </w:pPr>
    </w:p>
    <w:p>
      <w:pPr>
        <w:ind w:left="-20" w:right="100" w:firstLine="464"/>
        <w:spacing w:after="0" w:line="256" w:lineRule="auto"/>
        <w:tabs>
          <w:tab w:leader="none" w:pos="6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Establishment and Powers.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62" w:lineRule="exact"/>
        <w:rPr>
          <w:rFonts w:ascii="Arial" w:cs="Arial" w:eastAsia="Arial" w:hAnsi="Arial"/>
          <w:sz w:val="18"/>
          <w:szCs w:val="18"/>
          <w:color w:val="auto"/>
        </w:rPr>
      </w:pPr>
    </w:p>
    <w:p>
      <w:pPr>
        <w:ind w:left="1100" w:hanging="217"/>
        <w:spacing w:after="0"/>
        <w:tabs>
          <w:tab w:leader="none" w:pos="11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submission to shareholders of any action requiring approval of shareholders under the Pennsylvania BCL.</w:t>
      </w:r>
    </w:p>
    <w:p>
      <w:pPr>
        <w:spacing w:after="0" w:line="90" w:lineRule="exact"/>
        <w:rPr>
          <w:rFonts w:ascii="Arial" w:cs="Arial" w:eastAsia="Arial" w:hAnsi="Arial"/>
          <w:sz w:val="18"/>
          <w:szCs w:val="18"/>
          <w:color w:val="auto"/>
        </w:rPr>
      </w:pPr>
    </w:p>
    <w:p>
      <w:pPr>
        <w:ind w:left="1140" w:hanging="257"/>
        <w:spacing w:after="0"/>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creation or filling of vacancies in the Board of Directors.</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adoption, amendment or repeal of the By-Laws.</w:t>
      </w:r>
    </w:p>
    <w:p>
      <w:pPr>
        <w:spacing w:after="0" w:line="90" w:lineRule="exact"/>
        <w:rPr>
          <w:rFonts w:ascii="Arial" w:cs="Arial" w:eastAsia="Arial" w:hAnsi="Arial"/>
          <w:sz w:val="18"/>
          <w:szCs w:val="18"/>
          <w:color w:val="auto"/>
        </w:rPr>
      </w:pPr>
    </w:p>
    <w:p>
      <w:pPr>
        <w:ind w:left="1180" w:hanging="297"/>
        <w:spacing w:after="0"/>
        <w:tabs>
          <w:tab w:leader="none" w:pos="11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amendment or repeal of any resolution of the Board of Directors that by its terms is amendable or repealable only by the Board of Directors.</w:t>
      </w:r>
    </w:p>
    <w:p>
      <w:pPr>
        <w:spacing w:after="0" w:line="113" w:lineRule="exact"/>
        <w:rPr>
          <w:rFonts w:ascii="Arial" w:cs="Arial" w:eastAsia="Arial" w:hAnsi="Arial"/>
          <w:sz w:val="16"/>
          <w:szCs w:val="16"/>
          <w:color w:val="auto"/>
        </w:rPr>
      </w:pPr>
    </w:p>
    <w:p>
      <w:pPr>
        <w:ind w:left="440" w:right="220" w:firstLine="443"/>
        <w:spacing w:after="0" w:line="268" w:lineRule="auto"/>
        <w:tabs>
          <w:tab w:leader="none" w:pos="112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Action on matters committed by the Articles of Incorporation, the By-Laws or resolution of the Board of Directors to another committee of the Board of Directors.</w:t>
      </w:r>
    </w:p>
    <w:p>
      <w:pPr>
        <w:spacing w:after="0" w:line="131" w:lineRule="exact"/>
        <w:rPr>
          <w:rFonts w:ascii="Arial" w:cs="Arial" w:eastAsia="Arial" w:hAnsi="Arial"/>
          <w:sz w:val="18"/>
          <w:szCs w:val="18"/>
          <w:color w:val="auto"/>
        </w:rPr>
      </w:pPr>
    </w:p>
    <w:p>
      <w:pPr>
        <w:ind w:left="-20" w:right="140" w:firstLine="464"/>
        <w:spacing w:after="0" w:line="294" w:lineRule="auto"/>
        <w:tabs>
          <w:tab w:leader="none" w:pos="68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Alternate Members.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15" w:lineRule="exact"/>
        <w:rPr>
          <w:rFonts w:ascii="Arial" w:cs="Arial" w:eastAsia="Arial" w:hAnsi="Arial"/>
          <w:sz w:val="16"/>
          <w:szCs w:val="16"/>
          <w:color w:val="auto"/>
        </w:rPr>
      </w:pPr>
    </w:p>
    <w:p>
      <w:pPr>
        <w:ind w:left="680" w:hanging="236"/>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Term. Each committee of the Board of Directors shall serve at the pleasure of the Board of Directors.</w:t>
      </w:r>
    </w:p>
    <w:p>
      <w:pPr>
        <w:spacing w:after="0" w:line="165" w:lineRule="exact"/>
        <w:rPr>
          <w:rFonts w:ascii="Arial" w:cs="Arial" w:eastAsia="Arial" w:hAnsi="Arial"/>
          <w:sz w:val="18"/>
          <w:szCs w:val="18"/>
          <w:color w:val="auto"/>
        </w:rPr>
      </w:pPr>
    </w:p>
    <w:p>
      <w:pPr>
        <w:ind w:left="-20" w:firstLine="464"/>
        <w:spacing w:after="0" w:line="256"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Status of Committee Action. The term “</w:t>
      </w:r>
      <w:r>
        <w:rPr>
          <w:rFonts w:ascii="Arial" w:cs="Arial" w:eastAsia="Arial" w:hAnsi="Arial"/>
          <w:sz w:val="18"/>
          <w:szCs w:val="18"/>
          <w:b w:val="1"/>
          <w:bCs w:val="1"/>
          <w:color w:val="auto"/>
        </w:rPr>
        <w:t>Board of Directors</w:t>
      </w:r>
      <w:r>
        <w:rPr>
          <w:rFonts w:ascii="Arial" w:cs="Arial" w:eastAsia="Arial" w:hAnsi="Arial"/>
          <w:sz w:val="18"/>
          <w:szCs w:val="18"/>
          <w:color w:val="auto"/>
        </w:rPr>
        <w:t>” or “</w:t>
      </w:r>
      <w:r>
        <w:rPr>
          <w:rFonts w:ascii="Arial" w:cs="Arial" w:eastAsia="Arial" w:hAnsi="Arial"/>
          <w:sz w:val="18"/>
          <w:szCs w:val="18"/>
          <w:b w:val="1"/>
          <w:bCs w:val="1"/>
          <w:color w:val="auto"/>
        </w:rPr>
        <w:t>Board</w:t>
      </w:r>
      <w:r>
        <w:rPr>
          <w:rFonts w:ascii="Arial" w:cs="Arial" w:eastAsia="Arial" w:hAnsi="Arial"/>
          <w:sz w:val="18"/>
          <w:szCs w:val="18"/>
          <w:color w:val="auto"/>
        </w:rPr>
        <w:t>”,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12" w:name="page13"/>
    <w:bookmarkEnd w:id="12"/>
    <w:p>
      <w:pPr>
        <w:ind w:firstLine="456"/>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3.10</w:t>
      </w:r>
      <w:r>
        <w:rPr>
          <w:rFonts w:ascii="Arial" w:cs="Arial" w:eastAsia="Arial" w:hAnsi="Arial"/>
          <w:sz w:val="15"/>
          <w:szCs w:val="15"/>
          <w:i w:val="1"/>
          <w:iCs w:val="1"/>
          <w:color w:val="auto"/>
        </w:rPr>
        <w:t>. Nomination.</w:t>
      </w:r>
      <w:r>
        <w:rPr>
          <w:rFonts w:ascii="Arial" w:cs="Arial" w:eastAsia="Arial" w:hAnsi="Arial"/>
          <w:sz w:val="15"/>
          <w:szCs w:val="15"/>
          <w:color w:val="auto"/>
        </w:rPr>
        <w:t xml:space="preserve"> Nominations for the election of Directors may be made only (A) by the Board of Directors or (B) by any shareholder of record entitled to vote in the election of Directors generally at the record date of the meeting and also on the date of the meeting at which Directors are to be elected. However, any shareholder entitled to vote in the election of Directors generally may nominate one or more persons for election as Directors at a meeting only if written notice of such shareholder’s intention to make such nomination or nominations has been delivered personally to, or been mailed to and received by the Corporation at, the principal executive offices of the Corporation, addressed to the attention of the Secretary, (a) 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(b)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tenth day following the day on which notice of the date of the meeting was mailed or public disclosure of the date of the meeting was made, whichever occurs first. Each such notice shall set forth: (i) the name and address of the shareholder intending to make the nomination and of the person or persons to be nominated; (ii) a representation that the shareholder is a holder of record of shares of the Corporation entitled to vote at such meeting and intends to appear in person or by proxy at the meeting to nominate the person or persons specified in the notice;</w:t>
      </w:r>
    </w:p>
    <w:p>
      <w:pPr>
        <w:spacing w:after="0" w:line="3" w:lineRule="exact"/>
        <w:rPr>
          <w:sz w:val="20"/>
          <w:szCs w:val="20"/>
          <w:color w:val="auto"/>
        </w:rPr>
      </w:pPr>
    </w:p>
    <w:p>
      <w:pPr>
        <w:ind w:right="100" w:firstLine="8"/>
        <w:spacing w:after="0" w:line="252" w:lineRule="auto"/>
        <w:tabs>
          <w:tab w:leader="none" w:pos="3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Corporation if so elected. The presiding officer of the meeting may, in his or her sole discretion, declare invalid or refuse to acknowledge any nomination not made in compliance with the foregoing procedure.</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FFICERS</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Election and Office.</w:t>
      </w:r>
      <w:r>
        <w:rPr>
          <w:rFonts w:ascii="Arial" w:cs="Arial" w:eastAsia="Arial" w:hAnsi="Arial"/>
          <w:sz w:val="18"/>
          <w:szCs w:val="18"/>
          <w:color w:val="auto"/>
        </w:rPr>
        <w:t xml:space="preserve"> The Corporation shall have a Chairman of the Board, a Chief Executive Officer, a President, a Secretary and a Treasurer who, subject to Article SIXTH of the Articles of Incorporation, shall be elected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 w:name="page14"/>
    <w:bookmarkEnd w:id="1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Subject to Article SIXTH of the Articles of Incorporation, the Board of Directors may create the positions of, define the powers and duties of and elect as additional officers one or more Vice Chairmen, one or more Vice Presidents, and one or more other officers or assistant officers. Any number of offices may be held by the same person. The Chairman of the Board must be a Director of the Corporation.</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Section 4.02</w:t>
      </w:r>
      <w:r>
        <w:rPr>
          <w:rFonts w:ascii="Arial" w:cs="Arial" w:eastAsia="Arial" w:hAnsi="Arial"/>
          <w:sz w:val="16"/>
          <w:szCs w:val="16"/>
          <w:i w:val="1"/>
          <w:iCs w:val="1"/>
          <w:color w:val="auto"/>
        </w:rPr>
        <w:t>. Term.</w:t>
      </w:r>
      <w:r>
        <w:rPr>
          <w:rFonts w:ascii="Arial" w:cs="Arial" w:eastAsia="Arial" w:hAnsi="Arial"/>
          <w:sz w:val="16"/>
          <w:szCs w:val="16"/>
          <w:color w:val="auto"/>
        </w:rPr>
        <w:t xml:space="preserve">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The terms of the Chairman of the Board and the Chief Executive Officer are fixed pursuant to Article SIXTH of the Articles of Incorporation.</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 Powers and Duties of the Chairman of the Board.</w:t>
      </w:r>
      <w:r>
        <w:rPr>
          <w:rFonts w:ascii="Arial" w:cs="Arial" w:eastAsia="Arial" w:hAnsi="Arial"/>
          <w:sz w:val="18"/>
          <w:szCs w:val="18"/>
          <w:color w:val="auto"/>
        </w:rPr>
        <w:t xml:space="preserve"> The Chairman of the Board shall have such powers and shall perform such duties as are provided in Article SIXTH of the Articles of Incorporation.</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Section 4.04</w:t>
      </w:r>
      <w:r>
        <w:rPr>
          <w:rFonts w:ascii="Arial" w:cs="Arial" w:eastAsia="Arial" w:hAnsi="Arial"/>
          <w:sz w:val="18"/>
          <w:szCs w:val="18"/>
          <w:i w:val="1"/>
          <w:iCs w:val="1"/>
          <w:color w:val="auto"/>
        </w:rPr>
        <w:t>. Powers and Duties of the Chief Executive Officer.</w:t>
      </w:r>
      <w:r>
        <w:rPr>
          <w:rFonts w:ascii="Arial" w:cs="Arial" w:eastAsia="Arial" w:hAnsi="Arial"/>
          <w:sz w:val="18"/>
          <w:szCs w:val="18"/>
          <w:color w:val="auto"/>
        </w:rPr>
        <w:t xml:space="preserve"> The Chief Executive Officer shall have such powers and shall perform such duties as are provided in Article SIXTH of the Articles of Incorporation.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Powers and Duties of the President.</w:t>
      </w:r>
      <w:r>
        <w:rPr>
          <w:rFonts w:ascii="Arial" w:cs="Arial" w:eastAsia="Arial" w:hAnsi="Arial"/>
          <w:sz w:val="18"/>
          <w:szCs w:val="18"/>
          <w:color w:val="auto"/>
        </w:rPr>
        <w:t xml:space="preserve"> The President shall have such powers and shall perform such duties as may, subject to Article SIXTH of the Articles of Incorporation, from time to time be assigned to the President by the Board of Directors.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4.06</w:t>
      </w:r>
      <w:r>
        <w:rPr>
          <w:rFonts w:ascii="Arial" w:cs="Arial" w:eastAsia="Arial" w:hAnsi="Arial"/>
          <w:sz w:val="18"/>
          <w:szCs w:val="18"/>
          <w:i w:val="1"/>
          <w:iCs w:val="1"/>
          <w:color w:val="auto"/>
        </w:rPr>
        <w:t>. Powers and Duties of the Secretary.</w:t>
      </w:r>
      <w:r>
        <w:rPr>
          <w:rFonts w:ascii="Arial" w:cs="Arial" w:eastAsia="Arial" w:hAnsi="Arial"/>
          <w:sz w:val="18"/>
          <w:szCs w:val="18"/>
          <w:color w:val="auto"/>
        </w:rPr>
        <w:t xml:space="preserve"> Unless otherwise determined by the Board of Directors, the Secretary shall be responsible for the keeping of the minutes of all meetings of the shareholders, the Board of Directors, and all committees of the Board, in books provided for that purpose,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 The minute books of the Corporation may be held by a person other than the Secretary.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4.07</w:t>
      </w:r>
      <w:r>
        <w:rPr>
          <w:rFonts w:ascii="Arial" w:cs="Arial" w:eastAsia="Arial" w:hAnsi="Arial"/>
          <w:sz w:val="16"/>
          <w:szCs w:val="16"/>
          <w:i w:val="1"/>
          <w:iCs w:val="1"/>
          <w:color w:val="auto"/>
        </w:rPr>
        <w:t>. Powers and Duties of the Treasurer.</w:t>
      </w:r>
      <w:r>
        <w:rPr>
          <w:rFonts w:ascii="Arial" w:cs="Arial" w:eastAsia="Arial" w:hAnsi="Arial"/>
          <w:sz w:val="16"/>
          <w:szCs w:val="16"/>
          <w:color w:val="auto"/>
        </w:rPr>
        <w:t xml:space="preserve">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Section 4.08</w:t>
      </w:r>
      <w:r>
        <w:rPr>
          <w:rFonts w:ascii="Arial" w:cs="Arial" w:eastAsia="Arial" w:hAnsi="Arial"/>
          <w:sz w:val="16"/>
          <w:szCs w:val="16"/>
          <w:i w:val="1"/>
          <w:iCs w:val="1"/>
          <w:color w:val="auto"/>
        </w:rPr>
        <w:t>. Rank and Duties of Vice Chairmen, Vice Presidents and Assistant Officers.</w:t>
      </w:r>
      <w:r>
        <w:rPr>
          <w:rFonts w:ascii="Arial" w:cs="Arial" w:eastAsia="Arial" w:hAnsi="Arial"/>
          <w:sz w:val="16"/>
          <w:szCs w:val="16"/>
          <w:color w:val="auto"/>
        </w:rPr>
        <w:t xml:space="preserve"> Vice Chairmen, Executive Vice Presidents, Senior Vice Presidents, Vice Presidents and assistant officers shall have such rank as may be designated by the Board of Directors, provided that Vice Chairmen and Executive Vice Presidents shall serve as superior officers to Senior Vice Presidents and Senior Vice Presidents shall serve as superior officers to Vice Presidents. Vice Chairmen, Executive Vice Presidents, Senior Vice Presidents and Vice Presidents may be designated by the Board of Directors as having responsibility for a specific area of the Corporation’s affairs, in which event such Vice Chairmen, Executive Vice Presidents, Senior Vice Presidents or Vice Presidents shall be superior to the other Vice Chairmen, Executive Vice Presidents, Senior Vice Presidents or Vice Presidents, respectively, in relation to matters within his or her area. The President shall be the superior officer of the Vice Chairmen, Executive Vice Presidents, Senior Vice Presidents, Vice Presidents and all other officer positions, unless the Board of Directors provides otherwise. The Treasurer and Secretary shall be the superior officers of the Assistant Treasurers and Assistant Secretaries, respectively. Vice Chairmen, Executive Vice Presidents, Senior Vice Presidents and assistant officers shall have such duties as may be assigned to them by the Board of Directors or the President.</w:t>
      </w:r>
    </w:p>
    <w:p>
      <w:pPr>
        <w:spacing w:after="0" w:line="12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Section 4.09</w:t>
      </w:r>
      <w:r>
        <w:rPr>
          <w:rFonts w:ascii="Arial" w:cs="Arial" w:eastAsia="Arial" w:hAnsi="Arial"/>
          <w:sz w:val="18"/>
          <w:szCs w:val="18"/>
          <w:i w:val="1"/>
          <w:iCs w:val="1"/>
          <w:color w:val="auto"/>
        </w:rPr>
        <w:t>. Vacancies.</w:t>
      </w:r>
      <w:r>
        <w:rPr>
          <w:rFonts w:ascii="Arial" w:cs="Arial" w:eastAsia="Arial" w:hAnsi="Arial"/>
          <w:sz w:val="18"/>
          <w:szCs w:val="18"/>
          <w:color w:val="auto"/>
        </w:rPr>
        <w:t xml:space="preserve"> Subject to Article SIXTH of the Articles of Incorporation, the Board of Directors shall have the power to fill any vacancies in any office occurring for any reason.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Section 4.10</w:t>
      </w:r>
      <w:r>
        <w:rPr>
          <w:rFonts w:ascii="Arial" w:cs="Arial" w:eastAsia="Arial" w:hAnsi="Arial"/>
          <w:sz w:val="18"/>
          <w:szCs w:val="18"/>
          <w:i w:val="1"/>
          <w:iCs w:val="1"/>
          <w:color w:val="auto"/>
        </w:rPr>
        <w:t>. Delegation of Office.</w:t>
      </w:r>
      <w:r>
        <w:rPr>
          <w:rFonts w:ascii="Arial" w:cs="Arial" w:eastAsia="Arial" w:hAnsi="Arial"/>
          <w:sz w:val="18"/>
          <w:szCs w:val="18"/>
          <w:color w:val="auto"/>
        </w:rPr>
        <w:t xml:space="preserve"> Subject to Article SIXTH of the Articles of Incorporation, the Board of Directors may delegate the powers or duties of any officer of the Corporation to any other person from time to time.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APITAL</w:t>
      </w:r>
      <w:r>
        <w:rPr>
          <w:rFonts w:ascii="Arial" w:cs="Arial" w:eastAsia="Arial" w:hAnsi="Arial"/>
          <w:sz w:val="18"/>
          <w:szCs w:val="18"/>
          <w:color w:val="auto"/>
        </w:rPr>
        <w:t xml:space="preserve"> S</w:t>
      </w:r>
      <w:r>
        <w:rPr>
          <w:rFonts w:ascii="Arial" w:cs="Arial" w:eastAsia="Arial" w:hAnsi="Arial"/>
          <w:sz w:val="14"/>
          <w:szCs w:val="14"/>
          <w:color w:val="auto"/>
        </w:rPr>
        <w:t>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Share Certificates.</w:t>
      </w:r>
    </w:p>
    <w:p>
      <w:pPr>
        <w:spacing w:after="0" w:line="171" w:lineRule="exact"/>
        <w:rPr>
          <w:sz w:val="20"/>
          <w:szCs w:val="20"/>
          <w:color w:val="auto"/>
        </w:rPr>
      </w:pPr>
    </w:p>
    <w:p>
      <w:pPr>
        <w:jc w:val="both"/>
        <w:ind w:right="260" w:firstLine="464"/>
        <w:spacing w:after="0" w:line="259"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Execution.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ind w:right="18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88" w:lineRule="exact"/>
        <w:rPr>
          <w:sz w:val="20"/>
          <w:szCs w:val="20"/>
          <w:color w:val="auto"/>
        </w:rPr>
      </w:pPr>
    </w:p>
    <w:p>
      <w:pPr>
        <w:ind w:right="100" w:firstLine="464"/>
        <w:spacing w:after="0" w:line="318" w:lineRule="auto"/>
        <w:tabs>
          <w:tab w:leader="none" w:pos="705" w:val="left"/>
        </w:tabs>
        <w:numPr>
          <w:ilvl w:val="0"/>
          <w:numId w:val="18"/>
        </w:numPr>
        <w:rPr>
          <w:rFonts w:ascii="Arial" w:cs="Arial" w:eastAsia="Arial" w:hAnsi="Arial"/>
          <w:sz w:val="15"/>
          <w:szCs w:val="15"/>
          <w:color w:val="auto"/>
        </w:rPr>
      </w:pPr>
      <w:r>
        <w:rPr>
          <w:rFonts w:ascii="Arial" w:cs="Arial" w:eastAsia="Arial" w:hAnsi="Arial"/>
          <w:sz w:val="15"/>
          <w:szCs w:val="15"/>
          <w:color w:val="auto"/>
        </w:rPr>
        <w:t>Designations, Voting Rights, Preferences, Limitations and Special Rights. To the extent the Corporation is authorized to issue shares of more than one class or series,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99" w:lineRule="exact"/>
        <w:rPr>
          <w:rFonts w:ascii="Arial" w:cs="Arial" w:eastAsia="Arial" w:hAnsi="Arial"/>
          <w:sz w:val="15"/>
          <w:szCs w:val="15"/>
          <w:color w:val="auto"/>
        </w:rPr>
      </w:pPr>
    </w:p>
    <w:p>
      <w:pPr>
        <w:ind w:right="20" w:firstLine="464"/>
        <w:spacing w:after="0" w:line="370" w:lineRule="auto"/>
        <w:tabs>
          <w:tab w:leader="none" w:pos="695" w:val="left"/>
        </w:tabs>
        <w:numPr>
          <w:ilvl w:val="0"/>
          <w:numId w:val="18"/>
        </w:numPr>
        <w:rPr>
          <w:rFonts w:ascii="Arial" w:cs="Arial" w:eastAsia="Arial" w:hAnsi="Arial"/>
          <w:sz w:val="15"/>
          <w:szCs w:val="15"/>
          <w:color w:val="auto"/>
        </w:rPr>
      </w:pPr>
      <w:r>
        <w:rPr>
          <w:rFonts w:ascii="Arial" w:cs="Arial" w:eastAsia="Arial" w:hAnsi="Arial"/>
          <w:sz w:val="15"/>
          <w:szCs w:val="15"/>
          <w:color w:val="auto"/>
        </w:rPr>
        <w:t>Fractional Shares.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Section 5.02</w:t>
      </w:r>
      <w:r>
        <w:rPr>
          <w:rFonts w:ascii="Arial" w:cs="Arial" w:eastAsia="Arial" w:hAnsi="Arial"/>
          <w:sz w:val="18"/>
          <w:szCs w:val="18"/>
          <w:i w:val="1"/>
          <w:iCs w:val="1"/>
          <w:color w:val="auto"/>
        </w:rPr>
        <w:t>. Transfer of Shares.</w:t>
      </w:r>
      <w:r>
        <w:rPr>
          <w:rFonts w:ascii="Arial" w:cs="Arial" w:eastAsia="Arial" w:hAnsi="Arial"/>
          <w:sz w:val="18"/>
          <w:szCs w:val="18"/>
          <w:color w:val="auto"/>
        </w:rPr>
        <w:t xml:space="preserve"> Transfer of shares shall be made on the books of the Corporation as required by law. A transfer of shares represented by a share certificate shall be made only upon surrender of the share certificate, duly endorsed or with duly executed stock powers attached and otherwise in proper form for transfer, which certificate shall be canceled at the time of the transfer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5.03</w:t>
      </w:r>
      <w:r>
        <w:rPr>
          <w:rFonts w:ascii="Arial" w:cs="Arial" w:eastAsia="Arial" w:hAnsi="Arial"/>
          <w:sz w:val="18"/>
          <w:szCs w:val="18"/>
          <w:i w:val="1"/>
          <w:iCs w:val="1"/>
          <w:color w:val="auto"/>
        </w:rPr>
        <w:t>. Determination of Shareholders of Record.</w:t>
      </w:r>
    </w:p>
    <w:p>
      <w:pPr>
        <w:spacing w:after="0" w:line="171" w:lineRule="exact"/>
        <w:rPr>
          <w:sz w:val="20"/>
          <w:szCs w:val="20"/>
          <w:color w:val="auto"/>
        </w:rPr>
      </w:pPr>
    </w:p>
    <w:p>
      <w:pPr>
        <w:ind w:firstLine="464"/>
        <w:spacing w:after="0" w:line="291" w:lineRule="auto"/>
        <w:tabs>
          <w:tab w:leader="none" w:pos="6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Fixing Record Date for Purposes of Meetings.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When a 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120" w:lineRule="exact"/>
        <w:rPr>
          <w:rFonts w:ascii="Arial" w:cs="Arial" w:eastAsia="Arial" w:hAnsi="Arial"/>
          <w:sz w:val="16"/>
          <w:szCs w:val="16"/>
          <w:color w:val="auto"/>
        </w:rPr>
      </w:pPr>
    </w:p>
    <w:p>
      <w:pPr>
        <w:ind w:firstLine="464"/>
        <w:spacing w:after="0" w:line="332"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Fixing Record Date for Purpose of Distributions. The Board of Directors of the Corporation may fix a time prior to the date of payment of a distribution as a record date for the determination of the shareholders entitled to be paid the distribution, which time shall be not more than 90 days prior to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of payment. Only shareholders of record on the date fixed shall be so entitled notwithstanding any transfer of shares on the books of the Corporation after any record date fixed as provided in this subsection.</w:t>
      </w:r>
    </w:p>
    <w:p>
      <w:pPr>
        <w:spacing w:after="0" w:line="132" w:lineRule="exact"/>
        <w:rPr>
          <w:sz w:val="20"/>
          <w:szCs w:val="20"/>
          <w:color w:val="auto"/>
        </w:rPr>
      </w:pPr>
    </w:p>
    <w:p>
      <w:pPr>
        <w:ind w:right="180" w:firstLine="464"/>
        <w:spacing w:after="0" w:line="259"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Fixing Record Date for Other Purposes. The Board of Directors of the Corporation may fix a time prior to an event or action as a record date for the determination of shareholders with respect to an event or action other than a meeting of shareholders or payment of a distribution, which time shall be not more than 90 days prior to the date of the event or action.</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Determination when No Record Date Fixed. If a record date is not fixed:</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08"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57"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record date for determining shareholders for any other purpose shall be at the close of business on the day on which the Board of Directors adopts the resolution relating thereto.</w:t>
      </w:r>
    </w:p>
    <w:p>
      <w:pPr>
        <w:spacing w:after="0" w:line="131" w:lineRule="exact"/>
        <w:rPr>
          <w:rFonts w:ascii="Arial" w:cs="Arial" w:eastAsia="Arial" w:hAnsi="Arial"/>
          <w:sz w:val="18"/>
          <w:szCs w:val="18"/>
          <w:color w:val="auto"/>
        </w:rPr>
      </w:pPr>
    </w:p>
    <w:p>
      <w:pPr>
        <w:ind w:right="40" w:firstLine="464"/>
        <w:spacing w:after="0" w:line="259"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 by Nominee.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classification of shareholder who may certify;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purpose or purposes for which the certification may be made;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form of certification and information to be contained therein;</w:t>
      </w:r>
    </w:p>
    <w:p>
      <w:pPr>
        <w:spacing w:after="0" w:line="90" w:lineRule="exact"/>
        <w:rPr>
          <w:rFonts w:ascii="Arial" w:cs="Arial" w:eastAsia="Arial" w:hAnsi="Arial"/>
          <w:sz w:val="18"/>
          <w:szCs w:val="18"/>
          <w:color w:val="auto"/>
        </w:rPr>
      </w:pPr>
    </w:p>
    <w:p>
      <w:pPr>
        <w:ind w:left="460" w:right="820" w:firstLine="443"/>
        <w:spacing w:after="0" w:line="268" w:lineRule="auto"/>
        <w:tabs>
          <w:tab w:leader="none" w:pos="1196"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the certification is with respect to a record date, the time after the record date within which the certification must be received by the Corporation;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such other provisions with respect to the procedure as are deemed necessary or desirable.</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7" w:name="page18"/>
    <w:bookmarkEnd w:id="17"/>
    <w:p>
      <w:pPr>
        <w:ind w:right="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5.04</w:t>
      </w:r>
      <w:r>
        <w:rPr>
          <w:rFonts w:ascii="Arial" w:cs="Arial" w:eastAsia="Arial" w:hAnsi="Arial"/>
          <w:sz w:val="16"/>
          <w:szCs w:val="16"/>
          <w:i w:val="1"/>
          <w:iCs w:val="1"/>
          <w:color w:val="auto"/>
        </w:rPr>
        <w:t>. Lost Share Certificates.</w:t>
      </w:r>
      <w:r>
        <w:rPr>
          <w:rFonts w:ascii="Arial" w:cs="Arial" w:eastAsia="Arial" w:hAnsi="Arial"/>
          <w:sz w:val="16"/>
          <w:szCs w:val="16"/>
          <w:color w:val="auto"/>
        </w:rPr>
        <w:t xml:space="preserve">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request therefor and issuance thereof have been made before the Corporation has notice that such shares have been acquired by a bona fide purchaser.</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OTICES</w:t>
      </w:r>
      <w:r>
        <w:rPr>
          <w:rFonts w:ascii="Arial" w:cs="Arial" w:eastAsia="Arial" w:hAnsi="Arial"/>
          <w:sz w:val="18"/>
          <w:szCs w:val="18"/>
          <w:color w:val="auto"/>
        </w:rPr>
        <w:t>; C</w:t>
      </w:r>
      <w:r>
        <w:rPr>
          <w:rFonts w:ascii="Arial" w:cs="Arial" w:eastAsia="Arial" w:hAnsi="Arial"/>
          <w:sz w:val="14"/>
          <w:szCs w:val="14"/>
          <w:color w:val="auto"/>
        </w:rPr>
        <w:t>OMPUTING</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 xml:space="preserve"> P</w:t>
      </w:r>
      <w:r>
        <w:rPr>
          <w:rFonts w:ascii="Arial" w:cs="Arial" w:eastAsia="Arial" w:hAnsi="Arial"/>
          <w:sz w:val="14"/>
          <w:szCs w:val="14"/>
          <w:color w:val="auto"/>
        </w:rPr>
        <w:t>ERIODS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6.01</w:t>
      </w:r>
      <w:r>
        <w:rPr>
          <w:rFonts w:ascii="Arial" w:cs="Arial" w:eastAsia="Arial" w:hAnsi="Arial"/>
          <w:sz w:val="16"/>
          <w:szCs w:val="16"/>
          <w:i w:val="1"/>
          <w:iCs w:val="1"/>
          <w:color w:val="auto"/>
        </w:rPr>
        <w:t>. Contents of Notice.</w:t>
      </w:r>
      <w:r>
        <w:rPr>
          <w:rFonts w:ascii="Arial" w:cs="Arial" w:eastAsia="Arial" w:hAnsi="Arial"/>
          <w:sz w:val="16"/>
          <w:szCs w:val="16"/>
          <w:color w:val="auto"/>
        </w:rPr>
        <w:t xml:space="preserve">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6.02</w:t>
      </w:r>
      <w:r>
        <w:rPr>
          <w:rFonts w:ascii="Arial" w:cs="Arial" w:eastAsia="Arial" w:hAnsi="Arial"/>
          <w:sz w:val="16"/>
          <w:szCs w:val="16"/>
          <w:i w:val="1"/>
          <w:iCs w:val="1"/>
          <w:color w:val="auto"/>
        </w:rPr>
        <w:t>. Method of Notice.</w:t>
      </w:r>
      <w:r>
        <w:rPr>
          <w:rFonts w:ascii="Arial" w:cs="Arial" w:eastAsia="Arial" w:hAnsi="Arial"/>
          <w:sz w:val="16"/>
          <w:szCs w:val="16"/>
          <w:color w:val="auto"/>
        </w:rPr>
        <w:t xml:space="preserve"> Any notice required to be given to any person under the provisions of the Articles of Incorporation or these By-Laws shall be given to the person either personally or by sending a copy thereof (i) by first class or express mail, postage prepaid, or courier service, charges prepaid, to such person’s postal address appearing on the books of the Corporation, or, in the case of a Director, supplied by such Director to the Corporation for the purpose of notice or (ii) by facsimile transmission, e-mail or other electronic communication to such person’s facsimile number or address for e-mail or other electronic communication supplied by such person to the Corporation for purposes of notice. Notice delivered pursuant to clause (i) of the preceding sentence shall be deemed to have been given to the person entitled thereto when deposited in the United States mail or with a courier service for delivery to that person, and notice pursuant to clause (ii)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6.03</w:t>
      </w:r>
      <w:r>
        <w:rPr>
          <w:rFonts w:ascii="Arial" w:cs="Arial" w:eastAsia="Arial" w:hAnsi="Arial"/>
          <w:sz w:val="18"/>
          <w:szCs w:val="18"/>
          <w:i w:val="1"/>
          <w:iCs w:val="1"/>
          <w:color w:val="auto"/>
        </w:rPr>
        <w:t>. Computing Time Periods.</w:t>
      </w:r>
    </w:p>
    <w:p>
      <w:pPr>
        <w:spacing w:after="0" w:line="171" w:lineRule="exact"/>
        <w:rPr>
          <w:sz w:val="20"/>
          <w:szCs w:val="20"/>
          <w:color w:val="auto"/>
        </w:rPr>
      </w:pPr>
    </w:p>
    <w:p>
      <w:pPr>
        <w:ind w:right="100" w:firstLine="464"/>
        <w:spacing w:after="0" w:line="256"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Days to be Counted. In computing the number of days for purposes of these By-Laws, all days shall be counted, including Saturdays, Sundays and any Holiday;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final day of any time period falls on a Saturday, Sunday or Holiday, then the final day shall be deemed to be the next day which is not a Saturday, Sunday or Holiday. In computing the number of days for the purpose of giving notice of any meeting, the date upon which the notice is given shall be counted but the day set for the meeting shall not be counted.</w:t>
      </w:r>
    </w:p>
    <w:p>
      <w:pPr>
        <w:spacing w:after="0" w:line="143" w:lineRule="exact"/>
        <w:rPr>
          <w:rFonts w:ascii="Arial" w:cs="Arial" w:eastAsia="Arial" w:hAnsi="Arial"/>
          <w:sz w:val="18"/>
          <w:szCs w:val="18"/>
          <w:color w:val="auto"/>
        </w:rPr>
      </w:pPr>
    </w:p>
    <w:p>
      <w:pPr>
        <w:ind w:right="660" w:firstLine="464"/>
        <w:spacing w:after="0" w:line="332" w:lineRule="auto"/>
        <w:tabs>
          <w:tab w:leader="none" w:pos="7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One Day Notice. In any case where only one day’s notice is being given, notice must be given at least 24 hours in advance of the date and time specified for the meeting in question by delivery in person or by telephone, telex, telecopier or similar means of communication.</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6.04</w:t>
      </w:r>
      <w:r>
        <w:rPr>
          <w:rFonts w:ascii="Arial" w:cs="Arial" w:eastAsia="Arial" w:hAnsi="Arial"/>
          <w:sz w:val="16"/>
          <w:szCs w:val="16"/>
          <w:i w:val="1"/>
          <w:iCs w:val="1"/>
          <w:color w:val="auto"/>
        </w:rPr>
        <w:t>. Waiver of Notice.</w:t>
      </w:r>
      <w:r>
        <w:rPr>
          <w:rFonts w:ascii="Arial" w:cs="Arial" w:eastAsia="Arial" w:hAnsi="Arial"/>
          <w:sz w:val="16"/>
          <w:szCs w:val="16"/>
          <w:color w:val="auto"/>
        </w:rPr>
        <w:t xml:space="preserve">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Section 6.05</w:t>
      </w:r>
      <w:r>
        <w:rPr>
          <w:rFonts w:ascii="Arial" w:cs="Arial" w:eastAsia="Arial" w:hAnsi="Arial"/>
          <w:sz w:val="16"/>
          <w:szCs w:val="16"/>
          <w:i w:val="1"/>
          <w:iCs w:val="1"/>
          <w:color w:val="auto"/>
        </w:rPr>
        <w:t>. Modification of Proposal Contained in Notice.</w:t>
      </w:r>
      <w:r>
        <w:rPr>
          <w:rFonts w:ascii="Arial" w:cs="Arial" w:eastAsia="Arial" w:hAnsi="Arial"/>
          <w:sz w:val="16"/>
          <w:szCs w:val="16"/>
          <w:color w:val="auto"/>
        </w:rPr>
        <w:t xml:space="preserve">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Section 6.06</w:t>
      </w:r>
      <w:r>
        <w:rPr>
          <w:rFonts w:ascii="Arial" w:cs="Arial" w:eastAsia="Arial" w:hAnsi="Arial"/>
          <w:sz w:val="18"/>
          <w:szCs w:val="18"/>
          <w:i w:val="1"/>
          <w:iCs w:val="1"/>
          <w:color w:val="auto"/>
        </w:rPr>
        <w:t>. Bulk Mail.</w:t>
      </w:r>
      <w:r>
        <w:rPr>
          <w:rFonts w:ascii="Arial" w:cs="Arial" w:eastAsia="Arial" w:hAnsi="Arial"/>
          <w:sz w:val="18"/>
          <w:szCs w:val="18"/>
          <w:color w:val="auto"/>
        </w:rPr>
        <w:t xml:space="preserve">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43" w:lineRule="exact"/>
        <w:rPr>
          <w:sz w:val="20"/>
          <w:szCs w:val="20"/>
          <w:color w:val="auto"/>
        </w:rPr>
      </w:pPr>
    </w:p>
    <w:p>
      <w:pPr>
        <w:jc w:val="center"/>
        <w:ind w:right="380"/>
        <w:spacing w:after="0" w:line="440" w:lineRule="auto"/>
        <w:rPr>
          <w:sz w:val="20"/>
          <w:szCs w:val="20"/>
          <w:color w:val="auto"/>
        </w:rPr>
      </w:pPr>
      <w:r>
        <w:rPr>
          <w:rFonts w:ascii="Arial" w:cs="Arial" w:eastAsia="Arial" w:hAnsi="Arial"/>
          <w:sz w:val="18"/>
          <w:szCs w:val="18"/>
          <w:color w:val="auto"/>
        </w:rPr>
        <w:t>Section 6.07</w:t>
      </w:r>
      <w:r>
        <w:rPr>
          <w:rFonts w:ascii="Arial" w:cs="Arial" w:eastAsia="Arial" w:hAnsi="Arial"/>
          <w:sz w:val="18"/>
          <w:szCs w:val="18"/>
          <w:i w:val="1"/>
          <w:iCs w:val="1"/>
          <w:color w:val="auto"/>
        </w:rPr>
        <w:t>. Shareholders Without Forwarding Addresses.</w:t>
      </w:r>
      <w:r>
        <w:rPr>
          <w:rFonts w:ascii="Arial" w:cs="Arial" w:eastAsia="Arial" w:hAnsi="Arial"/>
          <w:sz w:val="18"/>
          <w:szCs w:val="18"/>
          <w:color w:val="auto"/>
        </w:rPr>
        <w:t xml:space="preserve"> Notice or other communications need not be sent to any shareholder with whom the 16</w:t>
      </w:r>
    </w:p>
    <w:p>
      <w:pPr>
        <w:sectPr>
          <w:pgSz w:w="11900" w:h="16838" w:orient="portrait"/>
          <w:cols w:equalWidth="0" w:num="1">
            <w:col w:w="11400"/>
          </w:cols>
          <w:pgMar w:left="240" w:top="280" w:right="259" w:bottom="1440" w:gutter="0" w:footer="0" w:header="0"/>
        </w:sectPr>
      </w:pPr>
    </w:p>
    <w:bookmarkStart w:id="19" w:name="page20"/>
    <w:bookmarkEnd w:id="19"/>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 OF</w:t>
      </w:r>
      <w:r>
        <w:rPr>
          <w:rFonts w:ascii="Arial" w:cs="Arial" w:eastAsia="Arial" w:hAnsi="Arial"/>
          <w:sz w:val="18"/>
          <w:szCs w:val="18"/>
          <w:color w:val="auto"/>
        </w:rPr>
        <w:t xml:space="preserve"> D</w:t>
      </w:r>
      <w:r>
        <w:rPr>
          <w:rFonts w:ascii="Arial" w:cs="Arial" w:eastAsia="Arial" w:hAnsi="Arial"/>
          <w:sz w:val="14"/>
          <w:szCs w:val="14"/>
          <w:color w:val="auto"/>
        </w:rPr>
        <w:t>IRECTORS</w:t>
      </w:r>
      <w:r>
        <w:rPr>
          <w:rFonts w:ascii="Arial" w:cs="Arial" w:eastAsia="Arial" w:hAnsi="Arial"/>
          <w:sz w:val="18"/>
          <w:szCs w:val="18"/>
          <w:color w:val="auto"/>
        </w:rPr>
        <w:t>, O</w:t>
      </w:r>
      <w:r>
        <w:rPr>
          <w:rFonts w:ascii="Arial" w:cs="Arial" w:eastAsia="Arial" w:hAnsi="Arial"/>
          <w:sz w:val="14"/>
          <w:szCs w:val="14"/>
          <w:color w:val="auto"/>
        </w:rPr>
        <w:t>FFICERS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P</w:t>
      </w:r>
      <w:r>
        <w:rPr>
          <w:rFonts w:ascii="Arial" w:cs="Arial" w:eastAsia="Arial" w:hAnsi="Arial"/>
          <w:sz w:val="14"/>
          <w:szCs w:val="14"/>
          <w:color w:val="auto"/>
        </w:rPr>
        <w:t>ERSONS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Indemnification of Directors and Officers.</w:t>
      </w:r>
    </w:p>
    <w:p>
      <w:pPr>
        <w:spacing w:after="0" w:line="90" w:lineRule="exact"/>
        <w:rPr>
          <w:rFonts w:ascii="Arial" w:cs="Arial" w:eastAsia="Arial" w:hAnsi="Arial"/>
          <w:sz w:val="18"/>
          <w:szCs w:val="18"/>
          <w:color w:val="auto"/>
        </w:rPr>
      </w:pPr>
    </w:p>
    <w:p>
      <w:pPr>
        <w:ind w:left="460" w:firstLine="443"/>
        <w:spacing w:after="0" w:line="290" w:lineRule="auto"/>
        <w:tabs>
          <w:tab w:leader="none" w:pos="1108" w:val="left"/>
        </w:tabs>
        <w:numPr>
          <w:ilvl w:val="1"/>
          <w:numId w:val="22"/>
        </w:numPr>
        <w:rPr>
          <w:rFonts w:ascii="Arial" w:cs="Arial" w:eastAsia="Arial" w:hAnsi="Arial"/>
          <w:sz w:val="16"/>
          <w:szCs w:val="16"/>
          <w:color w:val="auto"/>
        </w:rPr>
      </w:pPr>
      <w:r>
        <w:rPr>
          <w:rFonts w:ascii="Arial" w:cs="Arial" w:eastAsia="Arial" w:hAnsi="Arial"/>
          <w:sz w:val="16"/>
          <w:szCs w:val="16"/>
          <w:color w:val="auto"/>
        </w:rPr>
        <w:t>Each Indemnitee (as defined below) shall be indemnified and held harmless by the Corporation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arising out of or related to Indemnitee’s service at any time in a Covered Capacity. No indemnification pursuant to this Section shall be made, however: (A) in any case where the act or failure to act giving rise to the claim for indemnification is determined by a court to have constituted wilful misconduct or recklessness; or (B) in connection with a Proceeding (or part thereof) initiated by an Indemnitee (except in connection with a Proceeding to enforce a right to indemnification or advancement of expenses under this Article 7), unless the Proceeding (or part thereof) was authorized by the Board of Directors.</w:t>
      </w:r>
    </w:p>
    <w:p>
      <w:pPr>
        <w:spacing w:after="0" w:line="37" w:lineRule="exact"/>
        <w:rPr>
          <w:rFonts w:ascii="Arial" w:cs="Arial" w:eastAsia="Arial" w:hAnsi="Arial"/>
          <w:sz w:val="16"/>
          <w:szCs w:val="16"/>
          <w:color w:val="auto"/>
        </w:rPr>
      </w:pPr>
    </w:p>
    <w:p>
      <w:pPr>
        <w:ind w:left="460" w:right="20" w:firstLine="443"/>
        <w:spacing w:after="0" w:line="291" w:lineRule="auto"/>
        <w:tabs>
          <w:tab w:leader="none" w:pos="1157"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The right to indemnification provided in this Section shall include the right to have the expenses incurred by the Indemnitee in participating in any Proceeding paid by the Corporation in advance of the final disposition of the Proceeding arising out of or related to Indemnitee’s service at any time in a Covered Capacity automatically and without any action or approval required by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33" w:lineRule="exact"/>
        <w:rPr>
          <w:rFonts w:ascii="Arial" w:cs="Arial" w:eastAsia="Arial" w:hAnsi="Arial"/>
          <w:sz w:val="16"/>
          <w:szCs w:val="16"/>
          <w:color w:val="auto"/>
        </w:rPr>
      </w:pPr>
    </w:p>
    <w:p>
      <w:pPr>
        <w:ind w:left="1200" w:hanging="297"/>
        <w:spacing w:after="0"/>
        <w:tabs>
          <w:tab w:leader="none" w:pos="12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For purposes of this Article, (A) “</w:t>
      </w:r>
      <w:r>
        <w:rPr>
          <w:rFonts w:ascii="Arial" w:cs="Arial" w:eastAsia="Arial" w:hAnsi="Arial"/>
          <w:sz w:val="16"/>
          <w:szCs w:val="16"/>
          <w:b w:val="1"/>
          <w:bCs w:val="1"/>
          <w:color w:val="auto"/>
        </w:rPr>
        <w:t>Indemnitee</w:t>
      </w:r>
      <w:r>
        <w:rPr>
          <w:rFonts w:ascii="Arial" w:cs="Arial" w:eastAsia="Arial" w:hAnsi="Arial"/>
          <w:sz w:val="16"/>
          <w:szCs w:val="16"/>
          <w:color w:val="auto"/>
        </w:rPr>
        <w:t>” shall mean each Director and each officer of the Corporation (including Directors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ind w:left="460"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officers who have ceased serving in any such capacity) who was or is a party to, or is threatened to be made a party to, or is a witness or other participant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limited liability company, partnership, joint venture, trust, employee benefit plan, or other entity; (B) “</w:t>
      </w:r>
      <w:r>
        <w:rPr>
          <w:rFonts w:ascii="Arial" w:cs="Arial" w:eastAsia="Arial" w:hAnsi="Arial"/>
          <w:sz w:val="16"/>
          <w:szCs w:val="16"/>
          <w:b w:val="1"/>
          <w:bCs w:val="1"/>
          <w:color w:val="auto"/>
        </w:rPr>
        <w:t>Proceeding</w:t>
      </w:r>
      <w:r>
        <w:rPr>
          <w:rFonts w:ascii="Arial" w:cs="Arial" w:eastAsia="Arial" w:hAnsi="Arial"/>
          <w:sz w:val="16"/>
          <w:szCs w:val="16"/>
          <w:color w:val="auto"/>
        </w:rPr>
        <w:t>” shall mean any threatened, pending or completed action, suit, claim, counterclaim, cross claim, arbitration, alternate dispute resolution mechanism, investigation, inquiry, administrative hearing or any other actual, threatened or completed proceeding, whether civil, criminal, administrative or investigative, including any appeal therefrom, and whether instituted by or on behalf of the Corporation or any other party; and (C) service as a Director or officer of the Corporation or in any other capacity of the type referred to in clause (A) of this paragraph shall be deemed service in a “</w:t>
      </w:r>
      <w:r>
        <w:rPr>
          <w:rFonts w:ascii="Arial" w:cs="Arial" w:eastAsia="Arial" w:hAnsi="Arial"/>
          <w:sz w:val="16"/>
          <w:szCs w:val="16"/>
          <w:b w:val="1"/>
          <w:bCs w:val="1"/>
          <w:color w:val="auto"/>
        </w:rPr>
        <w:t>Covered Capacity</w:t>
      </w:r>
      <w:r>
        <w:rPr>
          <w:rFonts w:ascii="Arial" w:cs="Arial" w:eastAsia="Arial" w:hAnsi="Arial"/>
          <w:sz w:val="16"/>
          <w:szCs w:val="16"/>
          <w:color w:val="auto"/>
        </w:rPr>
        <w:t>”.</w:t>
      </w:r>
    </w:p>
    <w:p>
      <w:pPr>
        <w:spacing w:after="0" w:line="37" w:lineRule="exact"/>
        <w:rPr>
          <w:sz w:val="20"/>
          <w:szCs w:val="20"/>
          <w:color w:val="auto"/>
        </w:rPr>
      </w:pPr>
    </w:p>
    <w:p>
      <w:pPr>
        <w:ind w:left="460" w:right="560" w:firstLine="443"/>
        <w:spacing w:after="0" w:line="268" w:lineRule="auto"/>
        <w:tabs>
          <w:tab w:leader="none" w:pos="11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provisions of this Article shall inure to the benefit of and be enforceable by an Indemnitee’s heirs, executors, administrators and legal representatives.</w:t>
      </w:r>
    </w:p>
    <w:p>
      <w:pPr>
        <w:spacing w:after="0" w:line="131" w:lineRule="exact"/>
        <w:rPr>
          <w:rFonts w:ascii="Arial" w:cs="Arial" w:eastAsia="Arial" w:hAnsi="Arial"/>
          <w:sz w:val="18"/>
          <w:szCs w:val="18"/>
          <w:color w:val="auto"/>
        </w:rPr>
      </w:pPr>
    </w:p>
    <w:p>
      <w:pPr>
        <w:ind w:right="60" w:firstLine="464"/>
        <w:spacing w:after="0" w:line="289" w:lineRule="auto"/>
        <w:tabs>
          <w:tab w:leader="none" w:pos="70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7.02(b).</w:t>
      </w:r>
    </w:p>
    <w:p>
      <w:pPr>
        <w:spacing w:after="0" w:line="118" w:lineRule="exact"/>
        <w:rPr>
          <w:rFonts w:ascii="Arial" w:cs="Arial" w:eastAsia="Arial" w:hAnsi="Arial"/>
          <w:sz w:val="16"/>
          <w:szCs w:val="16"/>
          <w:color w:val="auto"/>
        </w:rPr>
      </w:pPr>
    </w:p>
    <w:p>
      <w:pPr>
        <w:ind w:right="180" w:firstLine="464"/>
        <w:spacing w:after="0" w:line="259" w:lineRule="auto"/>
        <w:tabs>
          <w:tab w:leader="none" w:pos="6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40" w:lineRule="exact"/>
        <w:rPr>
          <w:rFonts w:ascii="Arial" w:cs="Arial" w:eastAsia="Arial" w:hAnsi="Arial"/>
          <w:sz w:val="18"/>
          <w:szCs w:val="18"/>
          <w:color w:val="auto"/>
        </w:rPr>
      </w:pPr>
    </w:p>
    <w:p>
      <w:pPr>
        <w:ind w:firstLine="464"/>
        <w:spacing w:after="0" w:line="268"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Insurance. The Corporation may purchase and maintain insurance, at its expense, for the benefit of any person on behalf of whom insurance is permitted to be purchased by Pennsylvania law against any expense, liability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32" w:lineRule="exact"/>
        <w:rPr>
          <w:sz w:val="20"/>
          <w:szCs w:val="20"/>
          <w:color w:val="auto"/>
        </w:rPr>
      </w:pPr>
    </w:p>
    <w:p>
      <w:pPr>
        <w:jc w:val="both"/>
        <w:ind w:right="580" w:firstLine="464"/>
        <w:spacing w:after="0" w:line="259"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14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Section 7.02</w:t>
      </w:r>
      <w:r>
        <w:rPr>
          <w:rFonts w:ascii="Arial" w:cs="Arial" w:eastAsia="Arial" w:hAnsi="Arial"/>
          <w:sz w:val="16"/>
          <w:szCs w:val="16"/>
          <w:i w:val="1"/>
          <w:iCs w:val="1"/>
          <w:color w:val="auto"/>
        </w:rPr>
        <w:t>. Amendment.</w:t>
      </w:r>
      <w:r>
        <w:rPr>
          <w:rFonts w:ascii="Arial" w:cs="Arial" w:eastAsia="Arial" w:hAnsi="Arial"/>
          <w:sz w:val="16"/>
          <w:szCs w:val="16"/>
          <w:color w:val="auto"/>
        </w:rPr>
        <w:t xml:space="preserve"> The provisions of this Article 7 shall constitute a contract between the Corporation and each of its Directors and officers which may be modified as to any Indemnitee only with that person’s consent or as specifically provided in this Section. Notwithstanding any other provision of these By-Laws relating to their amendment generally, any repeal or amendment of this Article 7 which is adverse to any Indemnitee shall apply to such Indemnitee only on a prospective basis, and shall not reduce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or limit indemnification or the advancement of expenses in any manner unless adopted by</w:t>
      </w:r>
    </w:p>
    <w:p>
      <w:pPr>
        <w:spacing w:after="0" w:line="1" w:lineRule="exact"/>
        <w:rPr>
          <w:sz w:val="20"/>
          <w:szCs w:val="20"/>
          <w:color w:val="auto"/>
        </w:rPr>
      </w:pPr>
    </w:p>
    <w:p>
      <w:pPr>
        <w:ind w:right="60" w:firstLine="8"/>
        <w:spacing w:after="0" w:line="255" w:lineRule="auto"/>
        <w:tabs>
          <w:tab w:leader="none" w:pos="2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unanimous vote of the Directors of the Corporation then serving, or (b) the affirmative vote of shareholders entitled to cast at least eighty percent (80%) of the votes that all shareholders are entitled to cast in the election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amendment shall have retroactive effect inconsistent with the preceding sentence.</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Section 7.03</w:t>
      </w:r>
      <w:r>
        <w:rPr>
          <w:rFonts w:ascii="Arial" w:cs="Arial" w:eastAsia="Arial" w:hAnsi="Arial"/>
          <w:sz w:val="16"/>
          <w:szCs w:val="16"/>
          <w:i w:val="1"/>
          <w:iCs w:val="1"/>
          <w:color w:val="auto"/>
        </w:rPr>
        <w:t>. Changes in Pennsylvania Law.</w:t>
      </w:r>
      <w:r>
        <w:rPr>
          <w:rFonts w:ascii="Arial" w:cs="Arial" w:eastAsia="Arial" w:hAnsi="Arial"/>
          <w:sz w:val="16"/>
          <w:szCs w:val="16"/>
          <w:color w:val="auto"/>
        </w:rPr>
        <w:t xml:space="preserve"> References in this Article to Pennsylvania law or to any provision thereof shall be to such law, as it existed on the date this Article was adopted or as such law thereafter may be changed;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change which: (a) limits the indemnification rights or the rights to advancement of expenses which the Corporation may provide, the rights to indemnification and to the advancement of expenses provided in this Article shall continue as theretofore to the extent permitted by law; and (b) permits the Corporation, without the requirement of any further action by shareholders or Directors, to provide broader indemnification rights or rights to the advancement of expenses than the Corporation was permitted to provide prior to such change, then the rights to indemnification and the advancement of expenses shall be so broadened to the extent permitted by law.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8</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Y</w:t>
      </w:r>
      <w:r>
        <w:rPr>
          <w:rFonts w:ascii="Arial" w:cs="Arial" w:eastAsia="Arial" w:hAnsi="Arial"/>
          <w:sz w:val="14"/>
          <w:szCs w:val="14"/>
          <w:color w:val="auto"/>
        </w:rPr>
        <w:t>EAR</w:t>
      </w:r>
    </w:p>
    <w:p>
      <w:pPr>
        <w:spacing w:after="0" w:line="16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Section 8.01</w:t>
      </w:r>
      <w:r>
        <w:rPr>
          <w:rFonts w:ascii="Arial" w:cs="Arial" w:eastAsia="Arial" w:hAnsi="Arial"/>
          <w:sz w:val="18"/>
          <w:szCs w:val="18"/>
          <w:i w:val="1"/>
          <w:iCs w:val="1"/>
          <w:color w:val="auto"/>
        </w:rPr>
        <w:t>. Determination of Fiscal Year.</w:t>
      </w:r>
      <w:r>
        <w:rPr>
          <w:rFonts w:ascii="Arial" w:cs="Arial" w:eastAsia="Arial" w:hAnsi="Arial"/>
          <w:sz w:val="18"/>
          <w:szCs w:val="18"/>
          <w:color w:val="auto"/>
        </w:rPr>
        <w:t xml:space="preserve"> Determination of Fiscal Year. The Board of Directors shall have the power by resolution to fix the fiscal year of the Corporation. If the Board of Directors shall fail to do so, the Chief Executive Officer shall fix the fiscal year.</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RTICLES</w:t>
      </w:r>
      <w:r>
        <w:rPr>
          <w:rFonts w:ascii="Arial" w:cs="Arial" w:eastAsia="Arial" w:hAnsi="Arial"/>
          <w:sz w:val="18"/>
          <w:szCs w:val="18"/>
          <w:color w:val="auto"/>
        </w:rPr>
        <w:t xml:space="preserve"> O</w:t>
      </w:r>
      <w:r>
        <w:rPr>
          <w:rFonts w:ascii="Arial" w:cs="Arial" w:eastAsia="Arial" w:hAnsi="Arial"/>
          <w:sz w:val="14"/>
          <w:szCs w:val="14"/>
          <w:color w:val="auto"/>
        </w:rPr>
        <w:t>F</w:t>
      </w:r>
      <w:r>
        <w:rPr>
          <w:rFonts w:ascii="Arial" w:cs="Arial" w:eastAsia="Arial" w:hAnsi="Arial"/>
          <w:sz w:val="18"/>
          <w:szCs w:val="18"/>
          <w:color w:val="auto"/>
        </w:rPr>
        <w:t xml:space="preserve"> I</w:t>
      </w:r>
      <w:r>
        <w:rPr>
          <w:rFonts w:ascii="Arial" w:cs="Arial" w:eastAsia="Arial" w:hAnsi="Arial"/>
          <w:sz w:val="14"/>
          <w:szCs w:val="14"/>
          <w:color w:val="auto"/>
        </w:rPr>
        <w:t>NCORPORATION</w:t>
      </w:r>
    </w:p>
    <w:p>
      <w:pPr>
        <w:spacing w:after="0" w:line="165"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Section 9.01</w:t>
      </w:r>
      <w:r>
        <w:rPr>
          <w:rFonts w:ascii="Arial" w:cs="Arial" w:eastAsia="Arial" w:hAnsi="Arial"/>
          <w:sz w:val="18"/>
          <w:szCs w:val="18"/>
          <w:i w:val="1"/>
          <w:iCs w:val="1"/>
          <w:color w:val="auto"/>
        </w:rPr>
        <w:t>. Inconsistent Provisions.</w:t>
      </w:r>
      <w:r>
        <w:rPr>
          <w:rFonts w:ascii="Arial" w:cs="Arial" w:eastAsia="Arial" w:hAnsi="Arial"/>
          <w:sz w:val="18"/>
          <w:szCs w:val="18"/>
          <w:color w:val="auto"/>
        </w:rPr>
        <w:t xml:space="preserve">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MENDMENTS</w:t>
      </w:r>
    </w:p>
    <w:p>
      <w:pPr>
        <w:spacing w:after="0" w:line="16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Amendments</w:t>
      </w:r>
      <w:r>
        <w:rPr>
          <w:rFonts w:ascii="Arial" w:cs="Arial" w:eastAsia="Arial" w:hAnsi="Arial"/>
          <w:sz w:val="18"/>
          <w:szCs w:val="18"/>
          <w:color w:val="auto"/>
        </w:rPr>
        <w:t>. Except as otherwise provided in these By-Laws or in the Articles of Incorporation, including Article SIXTH, Article SEVENTH and Article TENTH of the Articles of Incorporation:</w:t>
      </w:r>
    </w:p>
    <w:p>
      <w:pPr>
        <w:spacing w:after="0" w:line="132" w:lineRule="exact"/>
        <w:rPr>
          <w:sz w:val="20"/>
          <w:szCs w:val="20"/>
          <w:color w:val="auto"/>
        </w:rPr>
      </w:pPr>
    </w:p>
    <w:p>
      <w:pPr>
        <w:ind w:right="240" w:firstLine="464"/>
        <w:spacing w:after="0" w:line="298" w:lineRule="auto"/>
        <w:tabs>
          <w:tab w:leader="none" w:pos="6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12" w:lineRule="exact"/>
        <w:rPr>
          <w:rFonts w:ascii="Arial" w:cs="Arial" w:eastAsia="Arial" w:hAnsi="Arial"/>
          <w:sz w:val="16"/>
          <w:szCs w:val="16"/>
          <w:color w:val="auto"/>
        </w:rPr>
      </w:pPr>
    </w:p>
    <w:p>
      <w:pPr>
        <w:ind w:firstLine="464"/>
        <w:spacing w:after="0" w:line="256"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Board of Directors shall not have the power to amend these By-Laws on any subject that is expressly committed to the shareholders by</w:t>
      </w:r>
      <w:r>
        <w:rPr>
          <w:rFonts w:ascii="Arial" w:cs="Arial" w:eastAsia="Arial" w:hAnsi="Arial"/>
          <w:sz w:val="18"/>
          <w:szCs w:val="18"/>
          <w:i w:val="1"/>
          <w:iCs w:val="1"/>
          <w:color w:val="auto"/>
        </w:rPr>
        <w:t xml:space="preserve"> </w:t>
      </w:r>
      <w:r>
        <w:rPr>
          <w:rFonts w:ascii="Arial" w:cs="Arial" w:eastAsia="Arial" w:hAnsi="Arial"/>
          <w:sz w:val="18"/>
          <w:szCs w:val="18"/>
          <w:color w:val="auto"/>
        </w:rPr>
        <w:t>the express terms hereof, by the Pennsylvania BCL or otherwise.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3" w:name="page24"/>
    <w:bookmarkEnd w:id="23"/>
    <w:p>
      <w:pPr>
        <w:jc w:val="center"/>
        <w:ind w:right="-4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11</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NTERPRETATION OF</w:t>
      </w:r>
      <w:r>
        <w:rPr>
          <w:rFonts w:ascii="Arial" w:cs="Arial" w:eastAsia="Arial" w:hAnsi="Arial"/>
          <w:sz w:val="18"/>
          <w:szCs w:val="18"/>
          <w:color w:val="auto"/>
        </w:rPr>
        <w:t xml:space="preserve"> B</w:t>
      </w:r>
      <w:r>
        <w:rPr>
          <w:rFonts w:ascii="Arial" w:cs="Arial" w:eastAsia="Arial" w:hAnsi="Arial"/>
          <w:sz w:val="14"/>
          <w:szCs w:val="14"/>
          <w:color w:val="auto"/>
        </w:rPr>
        <w:t>Y</w:t>
      </w:r>
      <w:r>
        <w:rPr>
          <w:rFonts w:ascii="Arial" w:cs="Arial" w:eastAsia="Arial" w:hAnsi="Arial"/>
          <w:sz w:val="18"/>
          <w:szCs w:val="18"/>
          <w:color w:val="auto"/>
        </w:rPr>
        <w:t>-L</w:t>
      </w:r>
      <w:r>
        <w:rPr>
          <w:rFonts w:ascii="Arial" w:cs="Arial" w:eastAsia="Arial" w:hAnsi="Arial"/>
          <w:sz w:val="14"/>
          <w:szCs w:val="14"/>
          <w:color w:val="auto"/>
        </w:rPr>
        <w:t>AWS</w:t>
      </w:r>
      <w:r>
        <w:rPr>
          <w:rFonts w:ascii="Arial" w:cs="Arial" w:eastAsia="Arial" w:hAnsi="Arial"/>
          <w:sz w:val="18"/>
          <w:szCs w:val="18"/>
          <w:color w:val="auto"/>
        </w:rPr>
        <w:t>; S</w:t>
      </w:r>
      <w:r>
        <w:rPr>
          <w:rFonts w:ascii="Arial" w:cs="Arial" w:eastAsia="Arial" w:hAnsi="Arial"/>
          <w:sz w:val="14"/>
          <w:szCs w:val="14"/>
          <w:color w:val="auto"/>
        </w:rPr>
        <w:t>EPARABILITY</w:t>
      </w:r>
    </w:p>
    <w:p>
      <w:pPr>
        <w:spacing w:after="0" w:line="16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Interpretation.</w:t>
      </w:r>
      <w:r>
        <w:rPr>
          <w:rFonts w:ascii="Arial" w:cs="Arial" w:eastAsia="Arial" w:hAnsi="Arial"/>
          <w:sz w:val="18"/>
          <w:szCs w:val="18"/>
          <w:color w:val="auto"/>
        </w:rPr>
        <w:t xml:space="preserve"> All words, terms and provisions of these By-Laws shall be interpreted and defined by and in accordance with the Pennsylvania BCL.</w:t>
      </w:r>
    </w:p>
    <w:p>
      <w:pPr>
        <w:spacing w:after="0" w:line="132"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Section 11.02</w:t>
      </w:r>
      <w:r>
        <w:rPr>
          <w:rFonts w:ascii="Arial" w:cs="Arial" w:eastAsia="Arial" w:hAnsi="Arial"/>
          <w:sz w:val="15"/>
          <w:szCs w:val="15"/>
          <w:i w:val="1"/>
          <w:iCs w:val="1"/>
          <w:color w:val="auto"/>
        </w:rPr>
        <w:t>. Separability.</w:t>
      </w:r>
      <w:r>
        <w:rPr>
          <w:rFonts w:ascii="Arial" w:cs="Arial" w:eastAsia="Arial" w:hAnsi="Arial"/>
          <w:sz w:val="15"/>
          <w:szCs w:val="15"/>
          <w:color w:val="auto"/>
        </w:rPr>
        <w:t xml:space="preserve">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22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ARTICLE 12</w:t>
      </w:r>
    </w:p>
    <w:p>
      <w:pPr>
        <w:spacing w:after="0" w:line="1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ETERMINATIONS BY THE</w:t>
      </w:r>
      <w:r>
        <w:rPr>
          <w:rFonts w:ascii="Arial" w:cs="Arial" w:eastAsia="Arial" w:hAnsi="Arial"/>
          <w:sz w:val="18"/>
          <w:szCs w:val="18"/>
          <w:color w:val="auto"/>
        </w:rPr>
        <w:t xml:space="preserve"> B</w:t>
      </w:r>
      <w:r>
        <w:rPr>
          <w:rFonts w:ascii="Arial" w:cs="Arial" w:eastAsia="Arial" w:hAnsi="Arial"/>
          <w:sz w:val="14"/>
          <w:szCs w:val="14"/>
          <w:color w:val="auto"/>
        </w:rPr>
        <w:t>OARD</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Section 12.01</w:t>
      </w:r>
      <w:r>
        <w:rPr>
          <w:rFonts w:ascii="Arial" w:cs="Arial" w:eastAsia="Arial" w:hAnsi="Arial"/>
          <w:sz w:val="18"/>
          <w:szCs w:val="18"/>
          <w:i w:val="1"/>
          <w:iCs w:val="1"/>
          <w:color w:val="auto"/>
        </w:rPr>
        <w:t>. Effect of Board Determinations.</w:t>
      </w:r>
      <w:r>
        <w:rPr>
          <w:rFonts w:ascii="Arial" w:cs="Arial" w:eastAsia="Arial" w:hAnsi="Arial"/>
          <w:sz w:val="18"/>
          <w:szCs w:val="18"/>
          <w:color w:val="auto"/>
        </w:rPr>
        <w:t xml:space="preserve"> Any determination involving interpretation or application of these By-Laws made in good faith by the Board of Directors shall be final, binding and conclusive on all parties in interest.</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240" w:top="280" w:right="6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This EMPLOYMENT AGREEMENT (the “Agreement”) is entered into as of the 22</w:t>
      </w:r>
      <w:r>
        <w:rPr>
          <w:rFonts w:ascii="Arial" w:cs="Arial" w:eastAsia="Arial" w:hAnsi="Arial"/>
          <w:sz w:val="11"/>
          <w:szCs w:val="11"/>
          <w:color w:val="auto"/>
        </w:rPr>
        <w:t>nd</w:t>
      </w:r>
      <w:r>
        <w:rPr>
          <w:rFonts w:ascii="Arial" w:cs="Arial" w:eastAsia="Arial" w:hAnsi="Arial"/>
          <w:sz w:val="18"/>
          <w:szCs w:val="18"/>
          <w:color w:val="auto"/>
        </w:rPr>
        <w:t xml:space="preserve"> day of November, 2011, between COMCAST CORPORATION, a Pennsylvania corporation (together with its subsidiaries, the “Company”), and MICHAEL J. ANGELAKIS (“Employee”).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17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Employee desires to have Employee’s employment relationship with the Company be governed by the terms and conditions of this Agreement, which include material benefits favorable to Employee. In return for such favorable benefits, Employee is agreeing to the terms and conditions contained in this Agreement, which include material obligations on Employee.</w:t>
      </w:r>
    </w:p>
    <w:p>
      <w:pPr>
        <w:spacing w:after="0" w:line="29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171" w:lineRule="exact"/>
        <w:rPr>
          <w:sz w:val="20"/>
          <w:szCs w:val="20"/>
          <w:color w:val="auto"/>
        </w:rPr>
      </w:pPr>
    </w:p>
    <w:p>
      <w:pPr>
        <w:ind w:left="640" w:hanging="176"/>
        <w:spacing w:after="0"/>
        <w:tabs>
          <w:tab w:leader="none" w:pos="64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20" w:firstLine="921"/>
        <w:spacing w:after="0" w:line="306" w:lineRule="auto"/>
        <w:tabs>
          <w:tab w:leader="none" w:pos="1152" w:val="left"/>
        </w:tabs>
        <w:numPr>
          <w:ilvl w:val="2"/>
          <w:numId w:val="28"/>
        </w:numPr>
        <w:rPr>
          <w:rFonts w:ascii="Arial" w:cs="Arial" w:eastAsia="Arial" w:hAnsi="Arial"/>
          <w:sz w:val="16"/>
          <w:szCs w:val="16"/>
          <w:color w:val="auto"/>
        </w:rPr>
      </w:pPr>
      <w:r>
        <w:rPr>
          <w:rFonts w:ascii="Arial" w:cs="Arial" w:eastAsia="Arial" w:hAnsi="Arial"/>
          <w:sz w:val="16"/>
          <w:szCs w:val="16"/>
          <w:color w:val="auto"/>
        </w:rPr>
        <w:t>Employee shall continue to serve and the Company shall continue to employ Employee in the position set forth on Schedule 1. Employee shall report directly to the Company’s Chief Executive Officer (currently Brian L. Roberts), in Philadelphia, Pennsylvania. The duties of Employee will be those assigned by the Chief Executive Officer from time to time commensurate with Employee’s education, skills and experience.</w:t>
      </w:r>
    </w:p>
    <w:p>
      <w:pPr>
        <w:spacing w:after="0" w:line="106" w:lineRule="exact"/>
        <w:rPr>
          <w:rFonts w:ascii="Arial" w:cs="Arial" w:eastAsia="Arial" w:hAnsi="Arial"/>
          <w:sz w:val="16"/>
          <w:szCs w:val="16"/>
          <w:color w:val="auto"/>
        </w:rPr>
      </w:pPr>
    </w:p>
    <w:p>
      <w:pPr>
        <w:ind w:right="80" w:firstLine="921"/>
        <w:spacing w:after="0" w:line="298" w:lineRule="auto"/>
        <w:tabs>
          <w:tab w:leader="none" w:pos="1162" w:val="left"/>
        </w:tabs>
        <w:numPr>
          <w:ilvl w:val="2"/>
          <w:numId w:val="28"/>
        </w:numPr>
        <w:rPr>
          <w:rFonts w:ascii="Arial" w:cs="Arial" w:eastAsia="Arial" w:hAnsi="Arial"/>
          <w:sz w:val="16"/>
          <w:szCs w:val="16"/>
          <w:color w:val="auto"/>
        </w:rPr>
      </w:pPr>
      <w:r>
        <w:rPr>
          <w:rFonts w:ascii="Arial" w:cs="Arial" w:eastAsia="Arial" w:hAnsi="Arial"/>
          <w:sz w:val="16"/>
          <w:szCs w:val="16"/>
          <w:color w:val="auto"/>
        </w:rPr>
        <w:t>Employee shall work full-time and devote Employee’s reasonable best efforts to the business of the Company in a manner that will further the interests of the Company. Without the prior written consent of the Company, Employee shall not, directly or indirectly, work for or otherwise provide services to or on behalf of any person or business, other than the Company. Notwithstanding the foregoing, Employee may engage in non-compensatory civic and charitable activities with the consent of the Company, which consent shall not be unreasonably withheld or delayed.</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2"/>
          <w:numId w:val="28"/>
        </w:numPr>
        <w:rPr>
          <w:rFonts w:ascii="Arial" w:cs="Arial" w:eastAsia="Arial" w:hAnsi="Arial"/>
          <w:sz w:val="16"/>
          <w:szCs w:val="16"/>
          <w:color w:val="auto"/>
        </w:rPr>
      </w:pPr>
      <w:r>
        <w:rPr>
          <w:rFonts w:ascii="Arial" w:cs="Arial" w:eastAsia="Arial" w:hAnsi="Arial"/>
          <w:sz w:val="16"/>
          <w:szCs w:val="16"/>
          <w:color w:val="auto"/>
        </w:rPr>
        <w:t>Employee shall comply with all policies of the Company applicable to Employee, including the Employee Handbook and the Code of Conduct.</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(the “Term”) shall be from the date first-above written (the “Commencement Date”) through the first to occur of:</w:t>
      </w:r>
    </w:p>
    <w:p>
      <w:pPr>
        <w:spacing w:after="0" w:line="38" w:lineRule="exact"/>
        <w:rPr>
          <w:rFonts w:ascii="Arial" w:cs="Arial" w:eastAsia="Arial" w:hAnsi="Arial"/>
          <w:sz w:val="16"/>
          <w:szCs w:val="16"/>
          <w:color w:val="auto"/>
        </w:rPr>
      </w:pPr>
    </w:p>
    <w:p>
      <w:pPr>
        <w:jc w:val="both"/>
        <w:ind w:right="120" w:firstLine="8"/>
        <w:spacing w:after="0" w:line="302" w:lineRule="auto"/>
        <w:tabs>
          <w:tab w:leader="none" w:pos="23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date Employee’s employment is terminated in accordance with Paragraph 6; or (b) June 30, 2016 (the date specified in subparagraph (b) above is referred to as the “Regular End Date”). Notwithstanding the end of the Term, the Company’s obligation to make any payments expressly set forth herein to be made after the Term, and Employee’s covenants contained in Paragraphs 8, 9 and 10, shall be enforceable after the end of the Term.</w:t>
      </w:r>
    </w:p>
    <w:p>
      <w:pPr>
        <w:sectPr>
          <w:pgSz w:w="11900" w:h="16838" w:orient="portrait"/>
          <w:cols w:equalWidth="0" w:num="1">
            <w:col w:w="11420"/>
          </w:cols>
          <w:pgMar w:left="240" w:top="125" w:right="239" w:bottom="1440" w:gutter="0" w:footer="0" w:header="0"/>
        </w:sectPr>
      </w:pPr>
    </w:p>
    <w:bookmarkStart w:id="25" w:name="page26"/>
    <w:bookmarkEnd w:id="25"/>
    <w:p>
      <w:pPr>
        <w:ind w:left="580" w:hanging="176"/>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right="160" w:firstLine="921"/>
        <w:spacing w:after="0" w:line="294" w:lineRule="auto"/>
        <w:tabs>
          <w:tab w:leader="none" w:pos="1092"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Employee’s base salary (“Base Salary”) from the Commencement Date through February 28, 2013 shall be at Employee’s current annual rate and shall not be reduced other than as part of a salary reduction program effected on a basis consistent with that applicable to other employees at Employee’s level. Employee shall thereafter be entitled to participate in any salary increase program offered during the Term, on a basis consistent with that applicable to other employees at Employee’s level, taking into account Employee’s position, duties and performance. Base Salary, less normal deductions, shall be paid to Employee in accordance with the Company’s payroll practices in effect from time to time.</w:t>
      </w:r>
    </w:p>
    <w:p>
      <w:pPr>
        <w:spacing w:after="0" w:line="115" w:lineRule="exact"/>
        <w:rPr>
          <w:rFonts w:ascii="Arial" w:cs="Arial" w:eastAsia="Arial" w:hAnsi="Arial"/>
          <w:sz w:val="16"/>
          <w:szCs w:val="16"/>
          <w:color w:val="auto"/>
        </w:rPr>
      </w:pPr>
    </w:p>
    <w:p>
      <w:pPr>
        <w:ind w:left="-60" w:right="80" w:firstLine="921"/>
        <w:spacing w:after="0" w:line="268" w:lineRule="auto"/>
        <w:tabs>
          <w:tab w:leader="none" w:pos="1101"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Cash Signing Bonuses</w:t>
      </w:r>
      <w:r>
        <w:rPr>
          <w:rFonts w:ascii="Arial" w:cs="Arial" w:eastAsia="Arial" w:hAnsi="Arial"/>
          <w:sz w:val="18"/>
          <w:szCs w:val="18"/>
          <w:color w:val="auto"/>
        </w:rPr>
        <w:t>. As soon as practicable after each of (i) the Commencement Date and (ii) January 1, 2012, Employee shall receive a cash signing bonus in the amount and on the terms set forth on Schedule 1.</w:t>
      </w:r>
    </w:p>
    <w:p>
      <w:pPr>
        <w:spacing w:after="0" w:line="131" w:lineRule="exact"/>
        <w:rPr>
          <w:rFonts w:ascii="Arial" w:cs="Arial" w:eastAsia="Arial" w:hAnsi="Arial"/>
          <w:sz w:val="18"/>
          <w:szCs w:val="18"/>
          <w:color w:val="auto"/>
        </w:rPr>
      </w:pPr>
    </w:p>
    <w:p>
      <w:pPr>
        <w:ind w:left="-60" w:right="60" w:firstLine="921"/>
        <w:spacing w:after="0" w:line="306" w:lineRule="auto"/>
        <w:tabs>
          <w:tab w:leader="none" w:pos="1092"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Restricted Stock/Stock Option Grants</w:t>
      </w:r>
      <w:r>
        <w:rPr>
          <w:rFonts w:ascii="Arial" w:cs="Arial" w:eastAsia="Arial" w:hAnsi="Arial"/>
          <w:sz w:val="16"/>
          <w:szCs w:val="16"/>
          <w:color w:val="auto"/>
        </w:rPr>
        <w:t>. Continuing in 2012, Employee shall be entitled to participate in any annual (or other) broad-based grant programs under the Company’s Restricted Stock Plan and/or Stock Option Plan (or any successor equity-based compensation plan or plans) on a basis consistent with that applicable to other employees at Employee’s level, taking into account Employee’s position.</w:t>
      </w:r>
    </w:p>
    <w:p>
      <w:pPr>
        <w:spacing w:after="0" w:line="106" w:lineRule="exact"/>
        <w:rPr>
          <w:rFonts w:ascii="Arial" w:cs="Arial" w:eastAsia="Arial" w:hAnsi="Arial"/>
          <w:sz w:val="16"/>
          <w:szCs w:val="16"/>
          <w:color w:val="auto"/>
        </w:rPr>
      </w:pPr>
    </w:p>
    <w:p>
      <w:pPr>
        <w:ind w:left="1100" w:hanging="239"/>
        <w:spacing w:after="0"/>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Cash Bonuses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firstLine="1492"/>
        <w:spacing w:after="0" w:line="256" w:lineRule="auto"/>
        <w:tabs>
          <w:tab w:leader="none" w:pos="1633" w:val="left"/>
        </w:tabs>
        <w:numPr>
          <w:ilvl w:val="2"/>
          <w:numId w:val="30"/>
        </w:numPr>
        <w:rPr>
          <w:rFonts w:ascii="Arial" w:cs="Arial" w:eastAsia="Arial" w:hAnsi="Arial"/>
          <w:sz w:val="18"/>
          <w:szCs w:val="18"/>
          <w:color w:val="auto"/>
        </w:rPr>
      </w:pPr>
      <w:r>
        <w:rPr>
          <w:rFonts w:ascii="Arial" w:cs="Arial" w:eastAsia="Arial" w:hAnsi="Arial"/>
          <w:sz w:val="18"/>
          <w:szCs w:val="18"/>
          <w:color w:val="auto"/>
        </w:rPr>
        <w:t>Employee shall be entitled to continue to participate in the Company’s Cash Bonus Plan as set forth on Schedule 1 for the period from January 1, 2011 through December 31, 2011 and from January 1, 2012 through December 31, 2012. Employee’s participation in such Plan will be pursuant to the terms and conditions thereof. The performance standards applicable to such cash bonus will be consistent with those applicable to other employees at Employee’s level, taking into account Employee’s position and duties.</w:t>
      </w:r>
    </w:p>
    <w:p>
      <w:pPr>
        <w:spacing w:after="0" w:line="143" w:lineRule="exact"/>
        <w:rPr>
          <w:rFonts w:ascii="Arial" w:cs="Arial" w:eastAsia="Arial" w:hAnsi="Arial"/>
          <w:sz w:val="18"/>
          <w:szCs w:val="18"/>
          <w:color w:val="auto"/>
        </w:rPr>
      </w:pPr>
    </w:p>
    <w:p>
      <w:pPr>
        <w:ind w:left="-60" w:right="140" w:firstLine="1492"/>
        <w:spacing w:after="0" w:line="298" w:lineRule="auto"/>
        <w:tabs>
          <w:tab w:leader="none" w:pos="1682" w:val="left"/>
        </w:tabs>
        <w:numPr>
          <w:ilvl w:val="2"/>
          <w:numId w:val="30"/>
        </w:numPr>
        <w:rPr>
          <w:rFonts w:ascii="Arial" w:cs="Arial" w:eastAsia="Arial" w:hAnsi="Arial"/>
          <w:sz w:val="16"/>
          <w:szCs w:val="16"/>
          <w:color w:val="auto"/>
        </w:rPr>
      </w:pPr>
      <w:r>
        <w:rPr>
          <w:rFonts w:ascii="Arial" w:cs="Arial" w:eastAsia="Arial" w:hAnsi="Arial"/>
          <w:sz w:val="16"/>
          <w:szCs w:val="16"/>
          <w:color w:val="auto"/>
        </w:rPr>
        <w:t>Employee shall be entitled to continued participation in the Company’s Cash Bonus Plan (or any successor performance-based cash incentive compensation plan) with respect to each calendar year (or portion thereof) in the Term subsequent to 2012 on a basis consistent with that applicable to other employees at Employee’s level, taking into account Employee’s position, duties and performance, provided that in no event will the percentage of eligible earnings target bonus potential thereunder be less than that set forth on Schedule 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300" w:top="280" w:right="279" w:bottom="1440" w:gutter="0" w:footer="0" w:header="0"/>
        </w:sectPr>
      </w:pPr>
    </w:p>
    <w:bookmarkStart w:id="26" w:name="page27"/>
    <w:bookmarkEnd w:id="26"/>
    <w:p>
      <w:pPr>
        <w:ind w:left="1140" w:hanging="239"/>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Deferred Compensation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760" w:firstLine="1492"/>
        <w:spacing w:after="0" w:line="268" w:lineRule="auto"/>
        <w:tabs>
          <w:tab w:leader="none" w:pos="1673" w:val="left"/>
        </w:tabs>
        <w:numPr>
          <w:ilvl w:val="1"/>
          <w:numId w:val="31"/>
        </w:numPr>
        <w:rPr>
          <w:rFonts w:ascii="Arial" w:cs="Arial" w:eastAsia="Arial" w:hAnsi="Arial"/>
          <w:sz w:val="18"/>
          <w:szCs w:val="18"/>
          <w:color w:val="auto"/>
        </w:rPr>
      </w:pPr>
      <w:r>
        <w:rPr>
          <w:rFonts w:ascii="Arial" w:cs="Arial" w:eastAsia="Arial" w:hAnsi="Arial"/>
          <w:sz w:val="18"/>
          <w:szCs w:val="18"/>
          <w:color w:val="auto"/>
        </w:rPr>
        <w:t>Employee shall be entitled to participate in the Company’s deferred compensation plans and programs on the same terms as the Company’s other senior executive officers.</w:t>
      </w:r>
    </w:p>
    <w:p>
      <w:pPr>
        <w:spacing w:after="0" w:line="131" w:lineRule="exact"/>
        <w:rPr>
          <w:rFonts w:ascii="Arial" w:cs="Arial" w:eastAsia="Arial" w:hAnsi="Arial"/>
          <w:sz w:val="18"/>
          <w:szCs w:val="18"/>
          <w:color w:val="auto"/>
        </w:rPr>
      </w:pPr>
    </w:p>
    <w:p>
      <w:pPr>
        <w:ind w:left="-20" w:right="180" w:firstLine="1492"/>
        <w:spacing w:after="0" w:line="259" w:lineRule="auto"/>
        <w:tabs>
          <w:tab w:leader="none" w:pos="1722"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addition, the Company shall credit to Employee’s account under, and pursuant to the terms and conditions of, the Company’s 2005 Deferred Compensation Plan (or any successor plan), (A) as of the Commencement Date, $2,125,000, and (B) as of January 1 of each of the following calendar years, the following amounts:</w:t>
      </w:r>
    </w:p>
    <w:p>
      <w:pPr>
        <w:spacing w:after="0" w:line="177" w:lineRule="exact"/>
        <w:rPr>
          <w:sz w:val="20"/>
          <w:szCs w:val="20"/>
          <w:color w:val="auto"/>
        </w:rPr>
      </w:pPr>
    </w:p>
    <w:tbl>
      <w:tblPr>
        <w:tblLayout w:type="fixed"/>
        <w:tblInd w:w="1820" w:type="dxa"/>
        <w:tblCellMar>
          <w:top w:w="0" w:type="dxa"/>
          <w:left w:w="0" w:type="dxa"/>
          <w:bottom w:w="0" w:type="dxa"/>
          <w:right w:w="0" w:type="dxa"/>
        </w:tblCellMar>
      </w:tblPr>
      <w:tr>
        <w:trPr>
          <w:trHeight w:val="168"/>
        </w:trPr>
        <w:tc>
          <w:tcPr>
            <w:tcW w:w="3600" w:type="dxa"/>
            <w:vAlign w:val="bottom"/>
            <w:gridSpan w:val="3"/>
          </w:tcPr>
          <w:p>
            <w:pPr>
              <w:spacing w:after="0"/>
              <w:rPr>
                <w:sz w:val="20"/>
                <w:szCs w:val="20"/>
                <w:color w:val="auto"/>
              </w:rPr>
            </w:pPr>
            <w:r>
              <w:rPr>
                <w:rFonts w:ascii="Arial" w:cs="Arial" w:eastAsia="Arial" w:hAnsi="Arial"/>
                <w:sz w:val="14"/>
                <w:szCs w:val="14"/>
                <w:color w:val="auto"/>
              </w:rPr>
              <w:t>Year</w:t>
            </w:r>
          </w:p>
        </w:tc>
        <w:tc>
          <w:tcPr>
            <w:tcW w:w="32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Amount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4060" w:type="dxa"/>
            <w:vAlign w:val="bottom"/>
            <w:gridSpan w:val="2"/>
            <w:shd w:val="clear" w:color="auto" w:fill="CCEEFF"/>
          </w:tcPr>
          <w:p>
            <w:pPr>
              <w:jc w:val="center"/>
              <w:ind w:left="3172"/>
              <w:spacing w:after="0"/>
              <w:rPr>
                <w:sz w:val="20"/>
                <w:szCs w:val="20"/>
                <w:color w:val="auto"/>
              </w:rPr>
            </w:pPr>
            <w:r>
              <w:rPr>
                <w:rFonts w:ascii="Arial" w:cs="Arial" w:eastAsia="Arial" w:hAnsi="Arial"/>
                <w:sz w:val="18"/>
                <w:szCs w:val="18"/>
                <w:color w:val="auto"/>
                <w:w w:val="88"/>
              </w:rPr>
              <w:t>$3,700,000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2013</w:t>
            </w:r>
          </w:p>
        </w:tc>
        <w:tc>
          <w:tcPr>
            <w:tcW w:w="4060" w:type="dxa"/>
            <w:vAlign w:val="bottom"/>
            <w:gridSpan w:val="2"/>
          </w:tcPr>
          <w:p>
            <w:pPr>
              <w:jc w:val="center"/>
              <w:ind w:left="3172"/>
              <w:spacing w:after="0"/>
              <w:rPr>
                <w:sz w:val="20"/>
                <w:szCs w:val="20"/>
                <w:color w:val="auto"/>
              </w:rPr>
            </w:pPr>
            <w:r>
              <w:rPr>
                <w:rFonts w:ascii="Arial" w:cs="Arial" w:eastAsia="Arial" w:hAnsi="Arial"/>
                <w:sz w:val="18"/>
                <w:szCs w:val="18"/>
                <w:color w:val="auto"/>
                <w:w w:val="88"/>
              </w:rPr>
              <w:t>$1,653,700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4060" w:type="dxa"/>
            <w:vAlign w:val="bottom"/>
            <w:gridSpan w:val="2"/>
            <w:shd w:val="clear" w:color="auto" w:fill="CCEEFF"/>
          </w:tcPr>
          <w:p>
            <w:pPr>
              <w:jc w:val="center"/>
              <w:ind w:left="3172"/>
              <w:spacing w:after="0"/>
              <w:rPr>
                <w:sz w:val="20"/>
                <w:szCs w:val="20"/>
                <w:color w:val="auto"/>
              </w:rPr>
            </w:pPr>
            <w:r>
              <w:rPr>
                <w:rFonts w:ascii="Arial" w:cs="Arial" w:eastAsia="Arial" w:hAnsi="Arial"/>
                <w:sz w:val="18"/>
                <w:szCs w:val="18"/>
                <w:color w:val="auto"/>
                <w:w w:val="88"/>
              </w:rPr>
              <w:t>$1,736,437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2015</w:t>
            </w:r>
          </w:p>
        </w:tc>
        <w:tc>
          <w:tcPr>
            <w:tcW w:w="4060" w:type="dxa"/>
            <w:vAlign w:val="bottom"/>
            <w:gridSpan w:val="2"/>
          </w:tcPr>
          <w:p>
            <w:pPr>
              <w:jc w:val="center"/>
              <w:ind w:left="3172"/>
              <w:spacing w:after="0"/>
              <w:rPr>
                <w:sz w:val="20"/>
                <w:szCs w:val="20"/>
                <w:color w:val="auto"/>
              </w:rPr>
            </w:pPr>
            <w:r>
              <w:rPr>
                <w:rFonts w:ascii="Arial" w:cs="Arial" w:eastAsia="Arial" w:hAnsi="Arial"/>
                <w:sz w:val="18"/>
                <w:szCs w:val="18"/>
                <w:color w:val="auto"/>
                <w:w w:val="88"/>
              </w:rPr>
              <w:t>$1,823,259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4060" w:type="dxa"/>
            <w:vAlign w:val="bottom"/>
            <w:gridSpan w:val="2"/>
            <w:shd w:val="clear" w:color="auto" w:fill="CCEEFF"/>
          </w:tcPr>
          <w:p>
            <w:pPr>
              <w:jc w:val="center"/>
              <w:ind w:left="3172"/>
              <w:spacing w:after="0"/>
              <w:rPr>
                <w:sz w:val="20"/>
                <w:szCs w:val="20"/>
                <w:color w:val="auto"/>
              </w:rPr>
            </w:pPr>
            <w:r>
              <w:rPr>
                <w:rFonts w:ascii="Arial" w:cs="Arial" w:eastAsia="Arial" w:hAnsi="Arial"/>
                <w:sz w:val="18"/>
                <w:szCs w:val="18"/>
                <w:color w:val="auto"/>
                <w:w w:val="88"/>
              </w:rPr>
              <w:t>$1,914,422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0" w:firstLine="464"/>
        <w:spacing w:after="0" w:line="290" w:lineRule="auto"/>
        <w:tabs>
          <w:tab w:leader="none" w:pos="61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Benefit Plans and Programs</w:t>
      </w:r>
      <w:r>
        <w:rPr>
          <w:rFonts w:ascii="Arial" w:cs="Arial" w:eastAsia="Arial" w:hAnsi="Arial"/>
          <w:sz w:val="16"/>
          <w:szCs w:val="16"/>
          <w:color w:val="auto"/>
        </w:rPr>
        <w:t>. Employee shall be entitled to participate in the Company’s health and welfare and other employee benefit plans and programs (including group insurance programs, vacation benefits and applicable directors and officers liability insurance and indemnification and advancement of expenses provisions relating to claims made by third parties against Employee in Employee’s role as a director, officer or employee) (“Benefit Plans”), on terms (including cost) as are consistent with those made available to other employees at Employee’s level, taking into account Employee’s position and duties, in accordance with the terms of such plans and programs. Nothing in this Agreement shall limit the Company’s right to modify or discontinue any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terms of this Agreement shall control.</w:t>
      </w:r>
    </w:p>
    <w:p>
      <w:pPr>
        <w:spacing w:after="0" w:line="118" w:lineRule="exact"/>
        <w:rPr>
          <w:rFonts w:ascii="Arial" w:cs="Arial" w:eastAsia="Arial" w:hAnsi="Arial"/>
          <w:sz w:val="16"/>
          <w:szCs w:val="16"/>
          <w:color w:val="auto"/>
        </w:rPr>
      </w:pPr>
    </w:p>
    <w:p>
      <w:pPr>
        <w:ind w:left="-20" w:right="140" w:firstLine="464"/>
        <w:spacing w:after="0" w:line="259" w:lineRule="auto"/>
        <w:tabs>
          <w:tab w:leader="none" w:pos="61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pay or reimburse Employee for reasonable travel, lodging, meals, entertainment and other reasonable expenses incurred by Employee in connection with the performance of Employee’s duties hereunder, upon receipt of vouchers therefor submitted to the Company on a timely basis and in accordance with the Company’s policies and practices in effect from time to time.</w:t>
      </w:r>
    </w:p>
    <w:p>
      <w:pPr>
        <w:spacing w:after="0" w:line="140" w:lineRule="exact"/>
        <w:rPr>
          <w:rFonts w:ascii="Arial" w:cs="Arial" w:eastAsia="Arial" w:hAnsi="Arial"/>
          <w:sz w:val="18"/>
          <w:szCs w:val="18"/>
          <w:color w:val="auto"/>
        </w:rPr>
      </w:pPr>
    </w:p>
    <w:p>
      <w:pPr>
        <w:ind w:left="-20" w:right="160" w:firstLine="464"/>
        <w:spacing w:after="0" w:line="306" w:lineRule="auto"/>
        <w:tabs>
          <w:tab w:leader="none" w:pos="61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compensation or benefit plans or programs), shall or may be terminated, in the circumstances set forth below.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27" w:name="page28"/>
    <w:bookmarkEnd w:id="27"/>
    <w:p>
      <w:pPr>
        <w:ind w:left="1160" w:hanging="239"/>
        <w:spacing w:after="0"/>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Death</w:t>
      </w:r>
      <w:r>
        <w:rPr>
          <w:rFonts w:ascii="Arial" w:cs="Arial" w:eastAsia="Arial" w:hAnsi="Arial"/>
          <w:sz w:val="18"/>
          <w:szCs w:val="18"/>
          <w:color w:val="auto"/>
        </w:rPr>
        <w:t>. Employee’s employment shall terminate automatically in the event of Employee’s death.</w:t>
      </w:r>
    </w:p>
    <w:p>
      <w:pPr>
        <w:spacing w:after="0" w:line="171" w:lineRule="exact"/>
        <w:rPr>
          <w:rFonts w:ascii="Arial" w:cs="Arial" w:eastAsia="Arial" w:hAnsi="Arial"/>
          <w:sz w:val="18"/>
          <w:szCs w:val="18"/>
          <w:color w:val="auto"/>
        </w:rPr>
      </w:pPr>
    </w:p>
    <w:p>
      <w:pPr>
        <w:jc w:val="both"/>
        <w:ind w:right="280" w:firstLine="921"/>
        <w:spacing w:after="0" w:line="284" w:lineRule="auto"/>
        <w:tabs>
          <w:tab w:leader="none" w:pos="1161"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The Company may terminate Employee’s employment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twelve (12) consecutive months or for a cumulative period of fifty-two (52) weeks in any two</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calendar year period.</w:t>
      </w:r>
    </w:p>
    <w:p>
      <w:pPr>
        <w:spacing w:after="0" w:line="164" w:lineRule="exact"/>
        <w:rPr>
          <w:rFonts w:ascii="Arial" w:cs="Arial" w:eastAsia="Arial" w:hAnsi="Arial"/>
          <w:sz w:val="18"/>
          <w:szCs w:val="18"/>
          <w:color w:val="auto"/>
        </w:rPr>
      </w:pPr>
    </w:p>
    <w:p>
      <w:pPr>
        <w:ind w:left="1160" w:hanging="239"/>
        <w:spacing w:after="0"/>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Termination With Cause by the Company or Termination Without Good Reason by Employee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492"/>
        <w:spacing w:after="0" w:line="254" w:lineRule="auto"/>
        <w:tabs>
          <w:tab w:leader="none" w:pos="1693"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Company may terminate Employee’s employment upon written notice following its determination that Employee has committed any of the following acts (“Termination With Cause”): conviction of a felony or a crime involving moral turpitude; fraud; embezzlement or other misappropriation of funds; material misrepresentation with respect to the Company; substantial and/or repeated failure to perform duties; gross negligence or willful misconduct in the performance of duties; material violation of the Employee Handbook, the Code of Conduct or any other written Company policy; or material breach of this Agreement (which, as to the last two items, if capable of being cured (as determined by the Company), shall remain uncured following ten (10) business days after written notice thereof).</w:t>
      </w:r>
    </w:p>
    <w:p>
      <w:pPr>
        <w:spacing w:after="0" w:line="144" w:lineRule="exact"/>
        <w:rPr>
          <w:rFonts w:ascii="Arial" w:cs="Arial" w:eastAsia="Arial" w:hAnsi="Arial"/>
          <w:sz w:val="18"/>
          <w:szCs w:val="18"/>
          <w:color w:val="auto"/>
        </w:rPr>
      </w:pPr>
    </w:p>
    <w:p>
      <w:pPr>
        <w:ind w:right="60" w:firstLine="1492"/>
        <w:spacing w:after="0" w:line="268" w:lineRule="auto"/>
        <w:tabs>
          <w:tab w:leader="none" w:pos="1742" w:val="left"/>
        </w:tabs>
        <w:numPr>
          <w:ilvl w:val="2"/>
          <w:numId w:val="34"/>
        </w:numPr>
        <w:rPr>
          <w:rFonts w:ascii="Arial" w:cs="Arial" w:eastAsia="Arial" w:hAnsi="Arial"/>
          <w:sz w:val="18"/>
          <w:szCs w:val="18"/>
          <w:color w:val="auto"/>
        </w:rPr>
      </w:pPr>
      <w:r>
        <w:rPr>
          <w:rFonts w:ascii="Arial" w:cs="Arial" w:eastAsia="Arial" w:hAnsi="Arial"/>
          <w:sz w:val="18"/>
          <w:szCs w:val="18"/>
          <w:color w:val="auto"/>
        </w:rPr>
        <w:t>Employee may terminate Employee’s employment at any time upon twenty (20) business days prior written notice without Good Reason (as such item is defined in subparagraph (d)(ii) below) (“Termination Without Good Reason”).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by the Company or Termination With Good Reason by Employee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80" w:firstLine="1492"/>
        <w:spacing w:after="0" w:line="268" w:lineRule="auto"/>
        <w:tabs>
          <w:tab w:leader="none" w:pos="1693"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Company may terminate Employee’s employment at any time for any reason (or for no reason) upon ten (10) business days’ prior written notice (“Termination Without Cause”).</w:t>
      </w:r>
    </w:p>
    <w:p>
      <w:pPr>
        <w:spacing w:after="0" w:line="131" w:lineRule="exact"/>
        <w:rPr>
          <w:rFonts w:ascii="Arial" w:cs="Arial" w:eastAsia="Arial" w:hAnsi="Arial"/>
          <w:sz w:val="18"/>
          <w:szCs w:val="18"/>
          <w:color w:val="auto"/>
        </w:rPr>
      </w:pPr>
    </w:p>
    <w:p>
      <w:pPr>
        <w:ind w:firstLine="1492"/>
        <w:spacing w:after="0" w:line="298" w:lineRule="auto"/>
        <w:tabs>
          <w:tab w:leader="none" w:pos="1742" w:val="left"/>
        </w:tabs>
        <w:numPr>
          <w:ilvl w:val="2"/>
          <w:numId w:val="34"/>
        </w:numPr>
        <w:rPr>
          <w:rFonts w:ascii="Arial" w:cs="Arial" w:eastAsia="Arial" w:hAnsi="Arial"/>
          <w:sz w:val="16"/>
          <w:szCs w:val="16"/>
          <w:color w:val="auto"/>
        </w:rPr>
      </w:pPr>
      <w:r>
        <w:rPr>
          <w:rFonts w:ascii="Arial" w:cs="Arial" w:eastAsia="Arial" w:hAnsi="Arial"/>
          <w:sz w:val="16"/>
          <w:szCs w:val="16"/>
          <w:color w:val="auto"/>
        </w:rPr>
        <w:t>Employee may terminate Employee’s employment as a result of any of the following acts of the Company (“Termination With Good Reason”) upon ten (10) business days prior written notice, provided Employee has provided Company such written notice within sixty (60) days of the occurrence thereof: a substantial demotion in Employee’s position; or material breach of this Agreement (which, as to either such item, if capable of being cured (as determined by the Company), shall remain uncured following ten (10) business days after written notice thereof) (“Good Reason”).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8" w:name="page29"/>
    <w:bookmarkEnd w:id="28"/>
    <w:p>
      <w:pPr>
        <w:ind w:left="-8" w:right="80" w:firstLine="464"/>
        <w:spacing w:after="0" w:line="268" w:lineRule="auto"/>
        <w:tabs>
          <w:tab w:leader="none" w:pos="624"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and Other Entitlements As a Result of Termination</w:t>
      </w:r>
      <w:r>
        <w:rPr>
          <w:rFonts w:ascii="Arial" w:cs="Arial" w:eastAsia="Arial" w:hAnsi="Arial"/>
          <w:sz w:val="18"/>
          <w:szCs w:val="18"/>
          <w:color w:val="auto"/>
        </w:rPr>
        <w:t>. Employee’s sole entitlements as a result of a termination under Paragraph 6 shall be as set forth below.</w:t>
      </w:r>
    </w:p>
    <w:p>
      <w:pPr>
        <w:spacing w:after="0" w:line="131" w:lineRule="exact"/>
        <w:rPr>
          <w:rFonts w:ascii="Arial" w:cs="Arial" w:eastAsia="Arial" w:hAnsi="Arial"/>
          <w:sz w:val="18"/>
          <w:szCs w:val="18"/>
          <w:color w:val="auto"/>
        </w:rPr>
      </w:pPr>
    </w:p>
    <w:p>
      <w:pPr>
        <w:ind w:left="-8" w:right="20" w:firstLine="921"/>
        <w:spacing w:after="0" w:line="301" w:lineRule="auto"/>
        <w:tabs>
          <w:tab w:leader="none" w:pos="1144" w:val="left"/>
        </w:tabs>
        <w:numPr>
          <w:ilvl w:val="2"/>
          <w:numId w:val="35"/>
        </w:numPr>
        <w:rPr>
          <w:rFonts w:ascii="Arial" w:cs="Arial" w:eastAsia="Arial" w:hAnsi="Arial"/>
          <w:sz w:val="15"/>
          <w:szCs w:val="15"/>
          <w:color w:val="auto"/>
        </w:rPr>
      </w:pPr>
      <w:r>
        <w:rPr>
          <w:rFonts w:ascii="Arial" w:cs="Arial" w:eastAsia="Arial" w:hAnsi="Arial"/>
          <w:sz w:val="15"/>
          <w:szCs w:val="15"/>
          <w:u w:val="single" w:color="auto"/>
          <w:color w:val="auto"/>
        </w:rPr>
        <w:t>Death or Disability</w:t>
      </w:r>
      <w:r>
        <w:rPr>
          <w:rFonts w:ascii="Arial" w:cs="Arial" w:eastAsia="Arial" w:hAnsi="Arial"/>
          <w:sz w:val="15"/>
          <w:szCs w:val="15"/>
          <w:color w:val="auto"/>
        </w:rPr>
        <w:t>. Following termination due to death or Disability, Employee (or Employee’s estate, as applicable) shall be entitled to payment of Employee’s then-current Base Salary through the date of termination and for a period of three (3) months thereafter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the prior year’s Cash Bonus Plan grant, and an amount on account of the current year’s Cash Bonus Plan grant (pro-rated through the date of termination, and assuming achievement of performance targets at 100%) (in the case of each of the last two amounts, payable at such time as otherwise applicable absent such death or Disability). Except as otherwise provided herein, any amounts payable to Employee (or Employee’s estate, as applicable) pursuant to this subparagraph</w:t>
      </w:r>
    </w:p>
    <w:p>
      <w:pPr>
        <w:spacing w:after="0" w:line="4" w:lineRule="exact"/>
        <w:rPr>
          <w:rFonts w:ascii="Arial" w:cs="Arial" w:eastAsia="Arial" w:hAnsi="Arial"/>
          <w:sz w:val="15"/>
          <w:szCs w:val="15"/>
          <w:color w:val="auto"/>
        </w:rPr>
      </w:pPr>
    </w:p>
    <w:p>
      <w:pPr>
        <w:ind w:left="-8" w:right="140" w:firstLine="8"/>
        <w:spacing w:after="0" w:line="261" w:lineRule="auto"/>
        <w:tabs>
          <w:tab w:leader="none" w:pos="2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shall be paid no later than the 90</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termination. In addition, Employee’s stock options and restricted stock grants shall automatically vest in full, and the stock options shall remain exercisable for the balance of their remaining terms.</w:t>
      </w:r>
    </w:p>
    <w:p>
      <w:pPr>
        <w:spacing w:after="0" w:line="137" w:lineRule="exact"/>
        <w:rPr>
          <w:rFonts w:ascii="Arial" w:cs="Arial" w:eastAsia="Arial" w:hAnsi="Arial"/>
          <w:sz w:val="18"/>
          <w:szCs w:val="18"/>
          <w:color w:val="auto"/>
        </w:rPr>
      </w:pPr>
    </w:p>
    <w:p>
      <w:pPr>
        <w:ind w:left="-8" w:firstLine="921"/>
        <w:spacing w:after="0" w:line="290" w:lineRule="auto"/>
        <w:tabs>
          <w:tab w:leader="none" w:pos="1153" w:val="left"/>
        </w:tabs>
        <w:numPr>
          <w:ilvl w:val="2"/>
          <w:numId w:val="36"/>
        </w:numPr>
        <w:rPr>
          <w:rFonts w:ascii="Arial" w:cs="Arial" w:eastAsia="Arial" w:hAnsi="Arial"/>
          <w:sz w:val="16"/>
          <w:szCs w:val="16"/>
          <w:color w:val="auto"/>
        </w:rPr>
      </w:pPr>
      <w:r>
        <w:rPr>
          <w:rFonts w:ascii="Arial" w:cs="Arial" w:eastAsia="Arial" w:hAnsi="Arial"/>
          <w:sz w:val="16"/>
          <w:szCs w:val="16"/>
          <w:u w:val="single" w:color="auto"/>
          <w:color w:val="auto"/>
        </w:rPr>
        <w:t>Termination With Cause by the Company or Termination Without Good Reason by Employee</w:t>
      </w:r>
      <w:r>
        <w:rPr>
          <w:rFonts w:ascii="Arial" w:cs="Arial" w:eastAsia="Arial" w:hAnsi="Arial"/>
          <w:sz w:val="16"/>
          <w:szCs w:val="16"/>
          <w:color w:val="auto"/>
        </w:rPr>
        <w:t>. If Employee’s employment terminates as a result of a Termination With Cause or Termination Without Good Reason, then subject to the provisions of subparagraph 8(c), Employee shall be entitled only to payment of Employee’s then-current Base Salary through the date of termination (payable in accordance with the Company’s regular payroll practices), amounts accrued or payable under any Other Benefit Plans (payable at such times as provided therein), any accrued but unused vacation time, any amounts payable for any unreimbursed business expenses, and any amount that otherwise would have been payable in the current year on account of the prior year’s Cash Bonus Plan grant (payable at such time as otherwise applicable absent such termination). Except as otherwise provided herein, any amounts payable to Employee pursuant to this subparagraph (b) shall be paid no later than the 90</w:t>
      </w:r>
      <w:r>
        <w:rPr>
          <w:rFonts w:ascii="Arial" w:cs="Arial" w:eastAsia="Arial" w:hAnsi="Arial"/>
          <w:sz w:val="10"/>
          <w:szCs w:val="10"/>
          <w:color w:val="auto"/>
        </w:rPr>
        <w:t>th</w:t>
      </w:r>
      <w:r>
        <w:rPr>
          <w:rFonts w:ascii="Arial" w:cs="Arial" w:eastAsia="Arial" w:hAnsi="Arial"/>
          <w:sz w:val="16"/>
          <w:szCs w:val="16"/>
          <w:color w:val="auto"/>
        </w:rPr>
        <w:t xml:space="preserve"> day following the date of termination.</w:t>
      </w:r>
    </w:p>
    <w:p>
      <w:pPr>
        <w:spacing w:after="0" w:line="118" w:lineRule="exact"/>
        <w:rPr>
          <w:rFonts w:ascii="Arial" w:cs="Arial" w:eastAsia="Arial" w:hAnsi="Arial"/>
          <w:sz w:val="16"/>
          <w:szCs w:val="16"/>
          <w:color w:val="auto"/>
        </w:rPr>
      </w:pPr>
    </w:p>
    <w:p>
      <w:pPr>
        <w:ind w:left="-8" w:right="120" w:firstLine="921"/>
        <w:spacing w:after="0" w:line="254" w:lineRule="auto"/>
        <w:tabs>
          <w:tab w:leader="none" w:pos="1144" w:val="left"/>
        </w:tabs>
        <w:numPr>
          <w:ilvl w:val="2"/>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by the Company or Termination With Good Reason by Employee</w:t>
      </w:r>
      <w:r>
        <w:rPr>
          <w:rFonts w:ascii="Arial" w:cs="Arial" w:eastAsia="Arial" w:hAnsi="Arial"/>
          <w:sz w:val="18"/>
          <w:szCs w:val="18"/>
          <w:color w:val="auto"/>
        </w:rPr>
        <w:t>. If Employee’s employment is terminated as a result of a Termination Without Cause or Termination With Good Reason, and subject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and any vested rights under any compensation or benefit plan or program) within thirty (30) days following the date of termination, in a form and containing terms as the Company customarily requires of terminated employees receiving salary continuation payments:</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80" w:right="239" w:bottom="1440" w:gutter="0" w:footer="0" w:header="0"/>
        </w:sectPr>
      </w:pPr>
    </w:p>
    <w:bookmarkStart w:id="29" w:name="page30"/>
    <w:bookmarkEnd w:id="29"/>
    <w:p>
      <w:pPr>
        <w:ind w:left="-80" w:right="20" w:firstLine="1492"/>
        <w:spacing w:after="0" w:line="290" w:lineRule="auto"/>
        <w:tabs>
          <w:tab w:leader="none" w:pos="1613"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Employee is alive at the time of payment or receipt thereof, Employee shall be entitled to: (A) receive Employee’s then-current Base Salary in accordance with the Company’s regular payroll practices; and (B) participate in the Company’s health and welfare benefit plans and programs at the same cost to Employee as is applicable to active employees; in each case for the period of time set forth on Schedule 1 following the date of termination. Employee’s rights under the Consolidated Omnibus Budget Reconciliation Act of 1986, as amended (“COBRA”) shall run concurrently with Employee’s participation during such period of time. To the extent the provision of health and welfare benefits to Employee pursuant to subparagraph (B) above constitutes a “deferral of compensation” within the meaning of Section 409A of the Internal Revenue Code (the “Code”), and its implementing regulations and guidance, the provision of such benefits shall be subject to the terms and conditions of subparagraph 13(a).</w:t>
      </w:r>
    </w:p>
    <w:p>
      <w:pPr>
        <w:spacing w:after="0" w:line="118" w:lineRule="exact"/>
        <w:rPr>
          <w:rFonts w:ascii="Arial" w:cs="Arial" w:eastAsia="Arial" w:hAnsi="Arial"/>
          <w:sz w:val="16"/>
          <w:szCs w:val="16"/>
          <w:color w:val="auto"/>
        </w:rPr>
      </w:pPr>
    </w:p>
    <w:p>
      <w:pPr>
        <w:ind w:left="-80" w:firstLine="1492"/>
        <w:spacing w:after="0" w:line="294" w:lineRule="auto"/>
        <w:tabs>
          <w:tab w:leader="none" w:pos="1662" w:val="left"/>
        </w:tabs>
        <w:numPr>
          <w:ilvl w:val="0"/>
          <w:numId w:val="37"/>
        </w:numPr>
        <w:rPr>
          <w:rFonts w:ascii="Arial" w:cs="Arial" w:eastAsia="Arial" w:hAnsi="Arial"/>
          <w:sz w:val="16"/>
          <w:szCs w:val="16"/>
          <w:color w:val="auto"/>
        </w:rPr>
      </w:pPr>
      <w:r>
        <w:rPr>
          <w:rFonts w:ascii="Arial" w:cs="Arial" w:eastAsia="Arial" w:hAnsi="Arial"/>
          <w:sz w:val="16"/>
          <w:szCs w:val="16"/>
          <w:color w:val="auto"/>
        </w:rPr>
        <w:t>Employee shall also receive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the prior year’s Cash Bonus Plan grant payable at such time as otherwise applicable absent such termination). Except as otherwise provided herein, any amounts payable to Employee pursuant to this subparagraph (ii) shall be paid no later than the 90</w:t>
      </w:r>
      <w:r>
        <w:rPr>
          <w:rFonts w:ascii="Arial" w:cs="Arial" w:eastAsia="Arial" w:hAnsi="Arial"/>
          <w:sz w:val="10"/>
          <w:szCs w:val="10"/>
          <w:color w:val="auto"/>
        </w:rPr>
        <w:t>th</w:t>
      </w:r>
      <w:r>
        <w:rPr>
          <w:rFonts w:ascii="Arial" w:cs="Arial" w:eastAsia="Arial" w:hAnsi="Arial"/>
          <w:sz w:val="16"/>
          <w:szCs w:val="16"/>
          <w:color w:val="auto"/>
        </w:rPr>
        <w:t xml:space="preserve"> day following the date of termination.</w:t>
      </w:r>
    </w:p>
    <w:p>
      <w:pPr>
        <w:spacing w:after="0" w:line="115" w:lineRule="exact"/>
        <w:rPr>
          <w:rFonts w:ascii="Arial" w:cs="Arial" w:eastAsia="Arial" w:hAnsi="Arial"/>
          <w:sz w:val="16"/>
          <w:szCs w:val="16"/>
          <w:color w:val="auto"/>
        </w:rPr>
      </w:pPr>
    </w:p>
    <w:p>
      <w:pPr>
        <w:ind w:left="-80" w:right="80" w:firstLine="1492"/>
        <w:spacing w:after="0" w:line="291" w:lineRule="auto"/>
        <w:tabs>
          <w:tab w:leader="none" w:pos="1711" w:val="left"/>
        </w:tabs>
        <w:numPr>
          <w:ilvl w:val="0"/>
          <w:numId w:val="37"/>
        </w:numPr>
        <w:rPr>
          <w:rFonts w:ascii="Arial" w:cs="Arial" w:eastAsia="Arial" w:hAnsi="Arial"/>
          <w:sz w:val="16"/>
          <w:szCs w:val="16"/>
          <w:color w:val="auto"/>
        </w:rPr>
      </w:pPr>
      <w:r>
        <w:rPr>
          <w:rFonts w:ascii="Arial" w:cs="Arial" w:eastAsia="Arial" w:hAnsi="Arial"/>
          <w:sz w:val="16"/>
          <w:szCs w:val="16"/>
          <w:color w:val="auto"/>
        </w:rPr>
        <w:t>Employee shall be obligated to seek reasonable other employment during the period in which Employee receives salary continuation payments under subparagraph (i) above, and the Company may request reasonable periodic written reports evidencing Employee’s efforts to obtain such employment. Such salary continuation payments shall be subject to reduction in the amount of any salary, bonus, vested equity or other compensation earned or received by Employee for services through employment or self-employment during or on account of the period of time of salary continuation. Employee shall provide the Company with prompt written notice of any such employment and amounts. The Company’s obligation to continue health and welfare benefits shall cease upon Employee’s eligibility for health and welfare benefits from any subsequent employer.</w:t>
      </w:r>
    </w:p>
    <w:p>
      <w:pPr>
        <w:spacing w:after="0" w:line="120" w:lineRule="exact"/>
        <w:rPr>
          <w:rFonts w:ascii="Arial" w:cs="Arial" w:eastAsia="Arial" w:hAnsi="Arial"/>
          <w:sz w:val="16"/>
          <w:szCs w:val="16"/>
          <w:color w:val="auto"/>
        </w:rPr>
      </w:pPr>
    </w:p>
    <w:p>
      <w:pPr>
        <w:ind w:left="-80" w:right="60" w:firstLine="1492"/>
        <w:spacing w:after="0" w:line="256" w:lineRule="auto"/>
        <w:tabs>
          <w:tab w:leader="none" w:pos="17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Provided Employee is alive at the time of payment, Employee shall be entitled to receive payment on account of: (A) the current year’s Cash Bonus Plan grant, without proration; and (B) the following year’s Cash Bonus Plan grant, pro-rated based on the number of full months of employment in the year of termination; in each case, assuming achievement of performance targets at 100% (payable at such times as otherwise applicable absent such termination).</w:t>
      </w:r>
    </w:p>
    <w:p>
      <w:pPr>
        <w:spacing w:after="0" w:line="143" w:lineRule="exact"/>
        <w:rPr>
          <w:rFonts w:ascii="Arial" w:cs="Arial" w:eastAsia="Arial" w:hAnsi="Arial"/>
          <w:sz w:val="18"/>
          <w:szCs w:val="18"/>
          <w:color w:val="auto"/>
        </w:rPr>
      </w:pPr>
    </w:p>
    <w:p>
      <w:pPr>
        <w:ind w:left="-80" w:right="660" w:firstLine="1492"/>
        <w:spacing w:after="0" w:line="332" w:lineRule="auto"/>
        <w:tabs>
          <w:tab w:leader="none" w:pos="16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Provided Employee is alive at the time of vesting, Employee shall have the right to continued vesting of Stock Option Plan and Restricted Stock Plan grants through the period of time set forth on Schedule 1, as if there had been no termination of employment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320" w:top="280" w:right="319" w:bottom="1440" w:gutter="0" w:footer="0" w:header="0"/>
        </w:sectPr>
      </w:pPr>
    </w:p>
    <w:bookmarkStart w:id="30" w:name="page31"/>
    <w:bookmarkEnd w:id="30"/>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achievement of any performance conditions in Restricted Stock Plan grants). Provided Employee is alive at the time of exercise, Employee shall have the right to exercise any vested Stock Option Plan grants through the period of time set forth on Schedule 1.</w:t>
      </w:r>
    </w:p>
    <w:p>
      <w:pPr>
        <w:spacing w:after="0" w:line="132" w:lineRule="exact"/>
        <w:rPr>
          <w:sz w:val="20"/>
          <w:szCs w:val="20"/>
          <w:color w:val="auto"/>
        </w:rPr>
      </w:pPr>
    </w:p>
    <w:p>
      <w:pPr>
        <w:ind w:firstLine="464"/>
        <w:spacing w:after="0" w:line="255"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 Confidentiality</w:t>
      </w:r>
      <w:r>
        <w:rPr>
          <w:rFonts w:ascii="Arial" w:cs="Arial" w:eastAsia="Arial" w:hAnsi="Arial"/>
          <w:sz w:val="18"/>
          <w:szCs w:val="18"/>
          <w:color w:val="auto"/>
        </w:rPr>
        <w:t>. Employee acknowledges and agrees that: Employee’s skills, experience, knowledge and reputation are of special, unique and extraordinary value to the Company; Employee is and will continue to be privy to confidential and proprietary information, processes and know-how of the Company, the confidentiality of which has significant value to the Company and its future success; and the restrictions on Employee’s activities as set forth below are necessary to protect the value of the goodwill and other tangible and intangible assets of the Company. Based upon the foregoing, Employee agrees as follows:</w:t>
      </w:r>
    </w:p>
    <w:p>
      <w:pPr>
        <w:spacing w:after="0" w:line="142" w:lineRule="exact"/>
        <w:rPr>
          <w:rFonts w:ascii="Arial" w:cs="Arial" w:eastAsia="Arial" w:hAnsi="Arial"/>
          <w:sz w:val="18"/>
          <w:szCs w:val="18"/>
          <w:color w:val="auto"/>
        </w:rPr>
      </w:pPr>
    </w:p>
    <w:p>
      <w:pPr>
        <w:ind w:firstLine="921"/>
        <w:spacing w:after="0" w:line="294" w:lineRule="auto"/>
        <w:tabs>
          <w:tab w:leader="none" w:pos="1152" w:val="left"/>
        </w:tabs>
        <w:numPr>
          <w:ilvl w:val="1"/>
          <w:numId w:val="38"/>
        </w:numPr>
        <w:rPr>
          <w:rFonts w:ascii="Arial" w:cs="Arial" w:eastAsia="Arial" w:hAnsi="Arial"/>
          <w:sz w:val="16"/>
          <w:szCs w:val="16"/>
          <w:color w:val="auto"/>
        </w:rPr>
      </w:pPr>
      <w:r>
        <w:rPr>
          <w:rFonts w:ascii="Arial" w:cs="Arial" w:eastAsia="Arial" w:hAnsi="Arial"/>
          <w:sz w:val="16"/>
          <w:szCs w:val="16"/>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(ii) solicit, induce, encourage or attempt to influence any employee, customer, consultant, independent contractor, service provider or supplier of the Company to cease to do business or terminate the employment or other relationship with the Company; or (iii) assist any other person, firm or entity in doing or performing any of the acts that Employee is prohibited from doing under subparagraphs (i) or (ii) above.</w:t>
      </w:r>
    </w:p>
    <w:p>
      <w:pPr>
        <w:spacing w:after="0" w:line="115" w:lineRule="exact"/>
        <w:rPr>
          <w:rFonts w:ascii="Arial" w:cs="Arial" w:eastAsia="Arial" w:hAnsi="Arial"/>
          <w:sz w:val="16"/>
          <w:szCs w:val="16"/>
          <w:color w:val="auto"/>
        </w:rPr>
      </w:pPr>
    </w:p>
    <w:p>
      <w:pPr>
        <w:ind w:firstLine="921"/>
        <w:spacing w:after="0" w:line="288" w:lineRule="auto"/>
        <w:tabs>
          <w:tab w:leader="none" w:pos="1162" w:val="left"/>
        </w:tabs>
        <w:numPr>
          <w:ilvl w:val="1"/>
          <w:numId w:val="38"/>
        </w:numPr>
        <w:rPr>
          <w:rFonts w:ascii="Arial" w:cs="Arial" w:eastAsia="Arial" w:hAnsi="Arial"/>
          <w:sz w:val="16"/>
          <w:szCs w:val="16"/>
          <w:color w:val="auto"/>
        </w:rPr>
      </w:pPr>
      <w:r>
        <w:rPr>
          <w:rFonts w:ascii="Arial" w:cs="Arial" w:eastAsia="Arial" w:hAnsi="Arial"/>
          <w:sz w:val="16"/>
          <w:szCs w:val="16"/>
          <w:color w:val="auto"/>
        </w:rPr>
        <w:t>(i) WHILE EMPLOYED BY THE COMPANY (WHETHER DURING THE TERM OR THEREAFTER), AND FOR A PERIOD OF ONE YEAR AFTER TERMINATION OF EMPLOYEE’S EMPLOYMENT PRIOR TO THE REGULAR END DATE BY EMPLOYEE (OTHER THAN AS A RESULT OF A TERMINATION WITH GOOD REASON) OR BY THE COMPANY AS A RESULT OF A TERMINATION WITH CAUSE, EMPLOYEE SHALL NOT, DIRECTLY OR INDIRECTLY, ENGAGE OR BE FINANCIALLY INTERESTED IN (AS AN AGENT, CONSULTANT, DIRECTOR, EMPLOYEE, INDEPENDENT CONTRACTOR, OFFICER, OWNER, PARTNER, MEMBER, PRINCIPAL OR OTHERWISE), ANY ACTIVITIES FOR A COMPETITIVE BUSINESS. A COMPETITIVE BUSINESS MEANS A BUSINESS (WHETHER CONDUCTED BY AN ENTITY OR INDIVIDUAL, INCLUDING EMPLOYEE IN SELF-EMPLOYMENT) THAT IS ENGAGED IN COMPETITION, DIRECTLY OR INDIRECTLY THROUGH ANY ENTITY CONTROLLING, CONTROLLED BY OR UNDER COMMON CONTROL WITH SUCH BUSINESS, WITH ANY OF THE BUSINESS ACTIVITIES CARRIED ON BY THE COMPANY OR BEING PLANNED BY THE COMPANY WITH EMPLOYEE’S PARTICIPATION.</w:t>
      </w:r>
    </w:p>
    <w:p>
      <w:pPr>
        <w:spacing w:after="0" w:line="119" w:lineRule="exact"/>
        <w:rPr>
          <w:rFonts w:ascii="Arial" w:cs="Arial" w:eastAsia="Arial" w:hAnsi="Arial"/>
          <w:sz w:val="16"/>
          <w:szCs w:val="16"/>
          <w:color w:val="auto"/>
        </w:rPr>
      </w:pPr>
    </w:p>
    <w:p>
      <w:pPr>
        <w:ind w:right="940" w:firstLine="1492"/>
        <w:spacing w:after="0" w:line="332" w:lineRule="auto"/>
        <w:tabs>
          <w:tab w:leader="none" w:pos="1739" w:val="left"/>
        </w:tabs>
        <w:numPr>
          <w:ilvl w:val="2"/>
          <w:numId w:val="38"/>
        </w:numPr>
        <w:rPr>
          <w:rFonts w:ascii="Arial" w:cs="Arial" w:eastAsia="Arial" w:hAnsi="Arial"/>
          <w:sz w:val="16"/>
          <w:szCs w:val="16"/>
          <w:color w:val="auto"/>
        </w:rPr>
      </w:pPr>
      <w:r>
        <w:rPr>
          <w:rFonts w:ascii="Arial" w:cs="Arial" w:eastAsia="Arial" w:hAnsi="Arial"/>
          <w:sz w:val="16"/>
          <w:szCs w:val="16"/>
          <w:color w:val="auto"/>
        </w:rPr>
        <w:t>TO APPROPRIATELY TAKE ACCOUNT OF THE HIGHLY COMPETITIVE ENVIRONMENT OF THE COMPANY’S BUSINESSES, THE PARTIES AGREE THAT ANY BUSINESS ENGAGED IN ANY OF THE ACTIVITIES SET FORTH ON</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 SHALL BE DEEMED TO BE A COMPETITIVE BUSINESS UNDER SUBPARAGRAPH (i) ABOVE.</w:t>
      </w:r>
    </w:p>
    <w:p>
      <w:pPr>
        <w:spacing w:after="0" w:line="171" w:lineRule="exact"/>
        <w:rPr>
          <w:sz w:val="20"/>
          <w:szCs w:val="20"/>
          <w:color w:val="auto"/>
        </w:rPr>
      </w:pPr>
    </w:p>
    <w:p>
      <w:pPr>
        <w:ind w:firstLine="1492"/>
        <w:spacing w:after="0" w:line="306" w:lineRule="auto"/>
        <w:tabs>
          <w:tab w:leader="none" w:pos="1791"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THIS RESTRICTION SHALL APPLY IN ANY GEOGRAPHIC AREA IN THE WORLD IN WHICH THE COMPANY CARRIES OUT BUSINESS ACTIVITIES. EMPLOYEE AGREES THAT NOT SPECIFYING A MORE LIMITED GEOGRAPHIC AREA IS REASONABLE IN LIGHT OF THE BROAD GEOGRAPHIC SCOPE OF THE ACTIVITIES CARRIED OUT BY THE COMPANY IN THE WORLD.</w:t>
      </w:r>
    </w:p>
    <w:p>
      <w:pPr>
        <w:spacing w:after="0" w:line="106" w:lineRule="exact"/>
        <w:rPr>
          <w:rFonts w:ascii="Arial" w:cs="Arial" w:eastAsia="Arial" w:hAnsi="Arial"/>
          <w:sz w:val="16"/>
          <w:szCs w:val="16"/>
          <w:color w:val="auto"/>
        </w:rPr>
      </w:pPr>
    </w:p>
    <w:p>
      <w:pPr>
        <w:ind w:right="400" w:firstLine="1492"/>
        <w:spacing w:after="0" w:line="306" w:lineRule="auto"/>
        <w:tabs>
          <w:tab w:leader="none" w:pos="1781" w:val="left"/>
        </w:tabs>
        <w:numPr>
          <w:ilvl w:val="1"/>
          <w:numId w:val="39"/>
        </w:numPr>
        <w:rPr>
          <w:rFonts w:ascii="Arial" w:cs="Arial" w:eastAsia="Arial" w:hAnsi="Arial"/>
          <w:sz w:val="16"/>
          <w:szCs w:val="16"/>
          <w:color w:val="auto"/>
        </w:rPr>
      </w:pPr>
      <w:r>
        <w:rPr>
          <w:rFonts w:ascii="Arial" w:cs="Arial" w:eastAsia="Arial" w:hAnsi="Arial"/>
          <w:sz w:val="16"/>
          <w:szCs w:val="16"/>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 company or other entity that provides consulting, advisory, lobbying or similar services to other businesses.</w:t>
      </w:r>
    </w:p>
    <w:p>
      <w:pPr>
        <w:spacing w:after="0" w:line="106" w:lineRule="exact"/>
        <w:rPr>
          <w:rFonts w:ascii="Arial" w:cs="Arial" w:eastAsia="Arial" w:hAnsi="Arial"/>
          <w:sz w:val="16"/>
          <w:szCs w:val="16"/>
          <w:color w:val="auto"/>
        </w:rPr>
      </w:pPr>
    </w:p>
    <w:p>
      <w:pPr>
        <w:ind w:right="180" w:firstLine="1492"/>
        <w:spacing w:after="0" w:line="298" w:lineRule="auto"/>
        <w:tabs>
          <w:tab w:leader="none" w:pos="1732" w:val="left"/>
        </w:tabs>
        <w:numPr>
          <w:ilvl w:val="1"/>
          <w:numId w:val="39"/>
        </w:numPr>
        <w:rPr>
          <w:rFonts w:ascii="Arial" w:cs="Arial" w:eastAsia="Arial" w:hAnsi="Arial"/>
          <w:sz w:val="16"/>
          <w:szCs w:val="16"/>
          <w:color w:val="auto"/>
        </w:rPr>
      </w:pPr>
      <w:r>
        <w:rPr>
          <w:rFonts w:ascii="Arial" w:cs="Arial" w:eastAsia="Arial" w:hAnsi="Arial"/>
          <w:sz w:val="16"/>
          <w:szCs w:val="16"/>
          <w:color w:val="auto"/>
        </w:rPr>
        <w:t>Nothing herein shall prevent Employee from owning for investment up to one percent (1%) of any class of equity security of an entity whose securities are traded on a national securities exchange or market. Further, nothing herein shall prevent Employee from being employed or otherwise engaged in any private equity or other financial services business (including related investing, monitoring and management activities (including serving as a director)) as long as the Employee is not employed by a Competitive Business as an officer or in any other operational capacity.</w:t>
      </w:r>
    </w:p>
    <w:p>
      <w:pPr>
        <w:spacing w:after="0" w:line="112" w:lineRule="exact"/>
        <w:rPr>
          <w:rFonts w:ascii="Arial" w:cs="Arial" w:eastAsia="Arial" w:hAnsi="Arial"/>
          <w:sz w:val="16"/>
          <w:szCs w:val="16"/>
          <w:color w:val="auto"/>
        </w:rPr>
      </w:pPr>
    </w:p>
    <w:p>
      <w:pPr>
        <w:ind w:right="80" w:firstLine="921"/>
        <w:spacing w:after="0" w:line="286" w:lineRule="auto"/>
        <w:tabs>
          <w:tab w:leader="none" w:pos="11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EMPLOYEE TERMINATES EMPLOYMENT (OTHER THAN AS A RESULT OF A TERMINATION WITH GOOD REASON) AT ANY TIME FOLLOWING THE REGULAR END DATE, THEN PROVIDED THE COMPANY SO ELECTS BY WRITTEN NOTICE TO EMPLOYEE GIVEN WITHIN TEN (10) BUSINESS DAYS OF SUCH TERMINATION: (i) THE PROVISIONS OF SUBPARAGRAPH (b) ABOVE SHALL APPLY TO EMPLOYEE FOR A ONE-YEAR PERIOD FOLLOWING SUCH TERMINATION, PROVIDED THAT FOR THE PURPOSES OF THIS SUBPARAGRAPH THE TERM COMPETITIVE BUSINESS SHALL MEAN ANY OF THE FOLLOWING ENTITIES (OR THEIR SUCCESSORS) THAT IS ENGAGED IN COMPETITION WITH THE COMPANY’S BUSINESSES, DIRECTLY OR INDIRECTLY THROUGH ANY PARENT, SUBSIDIARY, AFFILIATE, JOINT VENTURE, PARTNERSHIP OR OTHERWISE: AT&amp;T INC.; CBS CORPORATION; CENTURYLINK, INC.; DIRECTTV, INC.; DISH NETWORK CORPORATION; ECHOSTAR HOLDING CORPORATION; NEWS CORP. (INCLUDING FOX); THE WALT DISNEY COMPANY (INCLUDING ABC); TIME WARNER INC.; AND VERIZON COMMUNICATIONS, INC.; AND (ii) THE COMPANY SHALL PROVIDE TO EMPLOYEE, FOR A ONE-YEAR PERIOD FOLLOWING SUCH TERMINATION, THE PAYMENTS AND BENEFITS DESCRIBED IN SUBPARAGRAPHS 7(c)(i) AND 7(c)(iv) ON THE TERMS SET FORTH THEREIN (INCLUDING SUBJECT TO THE TERMS OF SUBPARAGRAPH 7(c)(iii)), AS IF EMPLOYEE HAD TERMINATED WITHOUT CAUSE.</w:t>
      </w: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80" w:right="319" w:bottom="1440" w:gutter="0" w:footer="0" w:header="0"/>
        </w:sectPr>
      </w:pPr>
    </w:p>
    <w:bookmarkStart w:id="32" w:name="page33"/>
    <w:bookmarkEnd w:id="32"/>
    <w:p>
      <w:pPr>
        <w:ind w:left="-40" w:firstLine="921"/>
        <w:spacing w:after="0" w:line="284" w:lineRule="auto"/>
        <w:tabs>
          <w:tab w:leader="none" w:pos="1122"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or confidential information, knowledge or data of the Company or any of its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(ii) is available to Employee on a nonconfidential basis from a source other than the Company, provided such source is not and was not bound by a confidentiality agreement with the Company or otherwise prohibited from transmitting such information to Employee by a contractual, legal or fiduciary obligation; or (iii) has been independently developed by Employee, as evidenced by written records.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Employee shall retain no copies thereof in any medium.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or legal advisors, or as necessary to enforce this Agreement.</w:t>
      </w:r>
    </w:p>
    <w:p>
      <w:pPr>
        <w:spacing w:after="0" w:line="129" w:lineRule="exact"/>
        <w:rPr>
          <w:rFonts w:ascii="Arial" w:cs="Arial" w:eastAsia="Arial" w:hAnsi="Arial"/>
          <w:sz w:val="16"/>
          <w:szCs w:val="16"/>
          <w:color w:val="auto"/>
        </w:rPr>
      </w:pPr>
    </w:p>
    <w:p>
      <w:pPr>
        <w:ind w:left="-40" w:right="120" w:firstLine="921"/>
        <w:spacing w:after="0" w:line="291" w:lineRule="auto"/>
        <w:tabs>
          <w:tab w:leader="none" w:pos="1112" w:val="left"/>
        </w:tabs>
        <w:numPr>
          <w:ilvl w:val="0"/>
          <w:numId w:val="41"/>
        </w:numPr>
        <w:rPr>
          <w:rFonts w:ascii="Arial" w:cs="Arial" w:eastAsia="Arial" w:hAnsi="Arial"/>
          <w:sz w:val="16"/>
          <w:szCs w:val="16"/>
          <w:color w:val="auto"/>
        </w:rPr>
      </w:pPr>
      <w:r>
        <w:rPr>
          <w:rFonts w:ascii="Arial" w:cs="Arial" w:eastAsia="Arial" w:hAnsi="Arial"/>
          <w:sz w:val="16"/>
          <w:szCs w:val="16"/>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or threatened violation of any of these restrictions: (i) the Company shall have the right to suspend or terminate any unaccrued payment obligations to Employee hereunder and/or Employee’s unaccrued rights under any compensation or benefit plans and programs hereunder or thereunder (including in each case any arising following termination of employment); and (ii) the Company shall be entitled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80" w:top="280" w:right="279" w:bottom="1440" w:gutter="0" w:footer="0" w:header="0"/>
        </w:sectPr>
      </w:pPr>
    </w:p>
    <w:bookmarkStart w:id="33" w:name="page34"/>
    <w:bookmarkEnd w:id="33"/>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seek from any court of competent jurisdiction: (A) preliminary and permanent injunctive relief against Employee; (B) damages from Employee (including the Company’s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143" w:lineRule="exact"/>
        <w:rPr>
          <w:sz w:val="20"/>
          <w:szCs w:val="20"/>
          <w:color w:val="auto"/>
        </w:rPr>
      </w:pPr>
    </w:p>
    <w:p>
      <w:pPr>
        <w:ind w:firstLine="921"/>
        <w:spacing w:after="0" w:line="255" w:lineRule="auto"/>
        <w:tabs>
          <w:tab w:leader="none" w:pos="1132" w:val="left"/>
        </w:tabs>
        <w:numPr>
          <w:ilvl w:val="2"/>
          <w:numId w:val="42"/>
        </w:numPr>
        <w:rPr>
          <w:rFonts w:ascii="Arial" w:cs="Arial" w:eastAsia="Arial" w:hAnsi="Arial"/>
          <w:sz w:val="18"/>
          <w:szCs w:val="18"/>
          <w:color w:val="auto"/>
        </w:rPr>
      </w:pPr>
      <w:r>
        <w:rPr>
          <w:rFonts w:ascii="Arial" w:cs="Arial" w:eastAsia="Arial" w:hAnsi="Arial"/>
          <w:sz w:val="18"/>
          <w:szCs w:val="18"/>
          <w:color w:val="auto"/>
        </w:rPr>
        <w:t>Employee agrees that if any part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142" w:lineRule="exact"/>
        <w:rPr>
          <w:rFonts w:ascii="Arial" w:cs="Arial" w:eastAsia="Arial" w:hAnsi="Arial"/>
          <w:sz w:val="18"/>
          <w:szCs w:val="18"/>
          <w:color w:val="auto"/>
        </w:rPr>
      </w:pPr>
    </w:p>
    <w:p>
      <w:pPr>
        <w:ind w:right="240" w:firstLine="921"/>
        <w:spacing w:after="0" w:line="268" w:lineRule="auto"/>
        <w:tabs>
          <w:tab w:leader="none" w:pos="1162" w:val="left"/>
        </w:tabs>
        <w:numPr>
          <w:ilvl w:val="2"/>
          <w:numId w:val="42"/>
        </w:numPr>
        <w:rPr>
          <w:rFonts w:ascii="Arial" w:cs="Arial" w:eastAsia="Arial" w:hAnsi="Arial"/>
          <w:sz w:val="18"/>
          <w:szCs w:val="18"/>
          <w:color w:val="auto"/>
        </w:rPr>
      </w:pPr>
      <w:r>
        <w:rPr>
          <w:rFonts w:ascii="Arial" w:cs="Arial" w:eastAsia="Arial" w:hAnsi="Arial"/>
          <w:sz w:val="18"/>
          <w:szCs w:val="18"/>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131" w:lineRule="exact"/>
        <w:rPr>
          <w:rFonts w:ascii="Arial" w:cs="Arial" w:eastAsia="Arial" w:hAnsi="Arial"/>
          <w:sz w:val="18"/>
          <w:szCs w:val="18"/>
          <w:color w:val="auto"/>
        </w:rPr>
      </w:pPr>
    </w:p>
    <w:p>
      <w:pPr>
        <w:ind w:firstLine="921"/>
        <w:spacing w:after="0" w:line="259" w:lineRule="auto"/>
        <w:tabs>
          <w:tab w:leader="none" w:pos="1162" w:val="left"/>
        </w:tabs>
        <w:numPr>
          <w:ilvl w:val="2"/>
          <w:numId w:val="42"/>
        </w:numPr>
        <w:rPr>
          <w:rFonts w:ascii="Arial" w:cs="Arial" w:eastAsia="Arial" w:hAnsi="Arial"/>
          <w:sz w:val="18"/>
          <w:szCs w:val="18"/>
          <w:color w:val="auto"/>
        </w:rPr>
      </w:pPr>
      <w:r>
        <w:rPr>
          <w:rFonts w:ascii="Arial" w:cs="Arial" w:eastAsia="Arial" w:hAnsi="Arial"/>
          <w:sz w:val="18"/>
          <w:szCs w:val="18"/>
          <w:color w:val="auto"/>
        </w:rPr>
        <w:t>Employee agrees that prior to accepting employment with any other person or entity at any time during the one-year period following termination of employment referred to in subparagraph (b)(i) or (c)(i) above, Employee will provide the prospective employer with written notice of the provisions of this Paragraph 8, with a copy of such notice provided simultaneously to the Company.</w:t>
      </w:r>
    </w:p>
    <w:p>
      <w:pPr>
        <w:spacing w:after="0" w:line="140" w:lineRule="exact"/>
        <w:rPr>
          <w:rFonts w:ascii="Arial" w:cs="Arial" w:eastAsia="Arial" w:hAnsi="Arial"/>
          <w:sz w:val="18"/>
          <w:szCs w:val="18"/>
          <w:color w:val="auto"/>
        </w:rPr>
      </w:pPr>
    </w:p>
    <w:p>
      <w:pPr>
        <w:ind w:right="200" w:firstLine="464"/>
        <w:spacing w:after="0" w:line="303" w:lineRule="auto"/>
        <w:tabs>
          <w:tab w:leader="none" w:pos="632" w:val="left"/>
        </w:tabs>
        <w:numPr>
          <w:ilvl w:val="1"/>
          <w:numId w:val="43"/>
        </w:numPr>
        <w:rPr>
          <w:rFonts w:ascii="Arial" w:cs="Arial" w:eastAsia="Arial" w:hAnsi="Arial"/>
          <w:sz w:val="15"/>
          <w:szCs w:val="15"/>
          <w:color w:val="auto"/>
        </w:rPr>
      </w:pPr>
      <w:r>
        <w:rPr>
          <w:rFonts w:ascii="Arial" w:cs="Arial" w:eastAsia="Arial" w:hAnsi="Arial"/>
          <w:sz w:val="15"/>
          <w:szCs w:val="15"/>
          <w:u w:val="single" w:color="auto"/>
          <w:color w:val="auto"/>
        </w:rPr>
        <w:t>Non-Derogatory Statements</w:t>
      </w:r>
      <w:r>
        <w:rPr>
          <w:rFonts w:ascii="Arial" w:cs="Arial" w:eastAsia="Arial" w:hAnsi="Arial"/>
          <w:sz w:val="15"/>
          <w:szCs w:val="15"/>
          <w:color w:val="auto"/>
        </w:rPr>
        <w:t>. During the period of Employee’s employment (whether during the Term or thereafter), and for a period of three (3) years thereafter, neither party shall, directly or indirectly, engage in any communication with any person or entity, including: (i) any actual or potential employer of Employee; (ii) any actual or potential employee, customer, consultant, independent contractor, investor, lender, service provider or supplier of the Company; or</w:t>
      </w:r>
    </w:p>
    <w:p>
      <w:pPr>
        <w:spacing w:after="0" w:line="1" w:lineRule="exact"/>
        <w:rPr>
          <w:rFonts w:ascii="Arial" w:cs="Arial" w:eastAsia="Arial" w:hAnsi="Arial"/>
          <w:sz w:val="15"/>
          <w:szCs w:val="15"/>
          <w:color w:val="auto"/>
        </w:rPr>
      </w:pPr>
    </w:p>
    <w:p>
      <w:pPr>
        <w:ind w:right="80" w:firstLine="8"/>
        <w:spacing w:after="0" w:line="255" w:lineRule="auto"/>
        <w:tabs>
          <w:tab w:leader="none" w:pos="30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media outlet; which constitutes a derogatory or disparaging statement – orally, written or otherwise – against the other party or, in the case of the Company, any of its employees, officers or directors. The foregoing shall not be deemed to restrict either party’s obligation to testify truthfully in any proceeding or cooperate in any governmental investigation.</w:t>
      </w:r>
    </w:p>
    <w:p>
      <w:pPr>
        <w:spacing w:after="0" w:line="144" w:lineRule="exact"/>
        <w:rPr>
          <w:rFonts w:ascii="Arial" w:cs="Arial" w:eastAsia="Arial" w:hAnsi="Arial"/>
          <w:sz w:val="18"/>
          <w:szCs w:val="18"/>
          <w:color w:val="auto"/>
        </w:rPr>
      </w:pPr>
    </w:p>
    <w:p>
      <w:pPr>
        <w:ind w:left="720" w:hanging="256"/>
        <w:spacing w:after="0"/>
        <w:tabs>
          <w:tab w:leader="none" w:pos="72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921"/>
        <w:spacing w:after="0" w:line="335" w:lineRule="auto"/>
        <w:tabs>
          <w:tab w:leader="none" w:pos="1152" w:val="left"/>
        </w:tabs>
        <w:numPr>
          <w:ilvl w:val="2"/>
          <w:numId w:val="44"/>
        </w:numPr>
        <w:rPr>
          <w:rFonts w:ascii="Arial" w:cs="Arial" w:eastAsia="Arial" w:hAnsi="Arial"/>
          <w:sz w:val="15"/>
          <w:szCs w:val="15"/>
          <w:color w:val="auto"/>
        </w:rPr>
      </w:pPr>
      <w:r>
        <w:rPr>
          <w:rFonts w:ascii="Arial" w:cs="Arial" w:eastAsia="Arial" w:hAnsi="Arial"/>
          <w:sz w:val="15"/>
          <w:szCs w:val="15"/>
          <w:color w:val="auto"/>
        </w:rPr>
        <w:t>To the extent any Company Intellectual Property (as defined in subparagraph (e) below) is not already owned by the Company as a matter of law or prior written assignment by Employee to the Company, Employee hereby assigns to the Company, and agrees to assign the Company in the future (to the extent necessary), all right, title and interest that Employee now has or acquires in the future in and to any and all Company Intellectual Property. Employee shall</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34" w:name="page35"/>
    <w:bookmarkEnd w:id="34"/>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(e) below) applications and registrations, and individual assignments thereof, and providing other reasonably requested assistance. Employee’s obligation to assist the Company in obtaining, protecting and enforcing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w:t>
      </w:r>
    </w:p>
    <w:p>
      <w:pPr>
        <w:spacing w:after="0" w:line="118" w:lineRule="exact"/>
        <w:rPr>
          <w:sz w:val="20"/>
          <w:szCs w:val="20"/>
          <w:color w:val="auto"/>
        </w:rPr>
      </w:pPr>
    </w:p>
    <w:p>
      <w:pPr>
        <w:ind w:firstLine="921"/>
        <w:spacing w:after="0" w:line="288" w:lineRule="auto"/>
        <w:tabs>
          <w:tab w:leader="none" w:pos="1162" w:val="left"/>
        </w:tabs>
        <w:numPr>
          <w:ilvl w:val="0"/>
          <w:numId w:val="45"/>
        </w:numPr>
        <w:rPr>
          <w:rFonts w:ascii="Arial" w:cs="Arial" w:eastAsia="Arial" w:hAnsi="Arial"/>
          <w:sz w:val="16"/>
          <w:szCs w:val="16"/>
          <w:color w:val="auto"/>
        </w:rPr>
      </w:pPr>
      <w:r>
        <w:rPr>
          <w:rFonts w:ascii="Arial" w:cs="Arial" w:eastAsia="Arial" w:hAnsi="Arial"/>
          <w:sz w:val="16"/>
          <w:szCs w:val="16"/>
          <w:color w:val="auto"/>
        </w:rPr>
        <w:t>Employee shall use reasonable efforts to promptly disclose to the Company, or any person(s) designated by the Company, all Intellectual Property that is created, conceived or reduced to practice by Employee, either alone or jointly with others, during the term of Employee’s employment with the Company, whether or not patentable or copyrightable or believed by Employee to be patentable or copyrighted, including without limitation any Intellectual Property (to be held in confidence by the Company) that qualifies fully as a nonassignable invention under Section 2870 of the California Labor Code (“Nonassignable IP”). 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his or her behalf within six months after termination of employment, and to cooperate fully with a review and determination by the Company as to whether such patent applications constitute or include Company Intellectual Property or Confidential Information. Employee has reviewed the notification on Schedule 3 and agrees that Employee’s execution hereof acknowledges receipt of such notification.</w:t>
      </w:r>
    </w:p>
    <w:p>
      <w:pPr>
        <w:spacing w:after="0" w:line="119" w:lineRule="exact"/>
        <w:rPr>
          <w:rFonts w:ascii="Arial" w:cs="Arial" w:eastAsia="Arial" w:hAnsi="Arial"/>
          <w:sz w:val="16"/>
          <w:szCs w:val="16"/>
          <w:color w:val="auto"/>
        </w:rPr>
      </w:pPr>
    </w:p>
    <w:p>
      <w:pPr>
        <w:ind w:right="20" w:firstLine="921"/>
        <w:spacing w:after="0" w:line="254" w:lineRule="auto"/>
        <w:tabs>
          <w:tab w:leader="none" w:pos="11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event that the Company is unable for any reason whatsoever to secure Employee’s signature on any lawful and necessary document to apply for, execute or otherwise further prosecute or register any patent or copyright application or any other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Intellectual Property rights registrations thereon with the same legal force and effect as if executed by Employee.</w:t>
      </w:r>
    </w:p>
    <w:p>
      <w:pPr>
        <w:spacing w:after="0" w:line="144" w:lineRule="exact"/>
        <w:rPr>
          <w:rFonts w:ascii="Arial" w:cs="Arial" w:eastAsia="Arial" w:hAnsi="Arial"/>
          <w:sz w:val="18"/>
          <w:szCs w:val="18"/>
          <w:color w:val="auto"/>
        </w:rPr>
      </w:pPr>
    </w:p>
    <w:p>
      <w:pPr>
        <w:ind w:right="460" w:firstLine="921"/>
        <w:spacing w:after="0" w:line="268" w:lineRule="auto"/>
        <w:tabs>
          <w:tab w:leader="none" w:pos="11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the extent any materials, including written, graphic or computer programmed materials, authored, prepared, contributed to or written by Employee, in whole or in part, during the term of employment by the Company and relating in whole or in part to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35" w:name="page36"/>
    <w:bookmarkEnd w:id="35"/>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products, services, research or development of the Company or its suppliers, distributors or customers qualify as “work made for hire,” as such term is defined and used in the copyright laws of the United States, then such materials shall be done by Employee as “work made for hire” under such law.</w:t>
      </w:r>
    </w:p>
    <w:p>
      <w:pPr>
        <w:spacing w:after="0" w:line="85" w:lineRule="exact"/>
        <w:rPr>
          <w:sz w:val="20"/>
          <w:szCs w:val="20"/>
          <w:color w:val="auto"/>
        </w:rPr>
      </w:pPr>
    </w:p>
    <w:p>
      <w:pPr>
        <w:ind w:firstLine="921"/>
        <w:spacing w:after="0" w:line="290" w:lineRule="auto"/>
        <w:tabs>
          <w:tab w:leader="none" w:pos="1152" w:val="left"/>
        </w:tabs>
        <w:numPr>
          <w:ilvl w:val="1"/>
          <w:numId w:val="46"/>
        </w:numPr>
        <w:rPr>
          <w:rFonts w:ascii="Arial" w:cs="Arial" w:eastAsia="Arial" w:hAnsi="Arial"/>
          <w:sz w:val="16"/>
          <w:szCs w:val="16"/>
          <w:color w:val="auto"/>
        </w:rPr>
      </w:pPr>
      <w:r>
        <w:rPr>
          <w:rFonts w:ascii="Arial" w:cs="Arial" w:eastAsia="Arial" w:hAnsi="Arial"/>
          <w:sz w:val="16"/>
          <w:szCs w:val="16"/>
          <w:color w:val="auto"/>
        </w:rPr>
        <w:t>“Intellectual Property” means any and all ideas, inventions, formulae, know how, trade secrets, devices, designs, models, methods, techniques, processes, specifications, tooling, computer programs, software code, works of authorship, copyrighted and copyrightable works, mask works, trademarks and service marks, Internet domain names, technical and product information, patents and patent applications throughout the world and any other intellectual property rights or applications throughout the world. “Company Intellectual Property” means any Intellectual Property created, fixed, conceived or reduced to practice, in whole or in part, by Employee, either alone or jointly with others, whether or not such Intellectual Property is patentable or copyrightable, either (i) that relates to the Company’s current or planned businesses or (ii) that is created, etc. during working hours, in the performance of Employee’s duties or using the Company’s information, facilities or equipment or other assets. “Company Intellectual Property” does not include Nonassignable IP.</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Employee represents that:</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2"/>
          <w:numId w:val="47"/>
        </w:numPr>
        <w:rPr>
          <w:rFonts w:ascii="Arial" w:cs="Arial" w:eastAsia="Arial" w:hAnsi="Arial"/>
          <w:sz w:val="16"/>
          <w:szCs w:val="16"/>
          <w:color w:val="auto"/>
        </w:rPr>
      </w:pPr>
      <w:r>
        <w:rPr>
          <w:rFonts w:ascii="Arial" w:cs="Arial" w:eastAsia="Arial" w:hAnsi="Arial"/>
          <w:sz w:val="16"/>
          <w:szCs w:val="16"/>
          <w:color w:val="auto"/>
        </w:rPr>
        <w:t>Employee has had the opportunity to retain and consult with legal counsel and tax advisors of Employee’s choice regarding the terms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164" w:lineRule="exact"/>
        <w:rPr>
          <w:rFonts w:ascii="Arial" w:cs="Arial" w:eastAsia="Arial" w:hAnsi="Arial"/>
          <w:sz w:val="16"/>
          <w:szCs w:val="16"/>
          <w:color w:val="auto"/>
        </w:rPr>
      </w:pPr>
    </w:p>
    <w:p>
      <w:pPr>
        <w:ind w:right="680" w:firstLine="1492"/>
        <w:spacing w:after="0" w:line="268" w:lineRule="auto"/>
        <w:tabs>
          <w:tab w:leader="none" w:pos="1742" w:val="left"/>
        </w:tabs>
        <w:numPr>
          <w:ilvl w:val="2"/>
          <w:numId w:val="47"/>
        </w:numPr>
        <w:rPr>
          <w:rFonts w:ascii="Arial" w:cs="Arial" w:eastAsia="Arial" w:hAnsi="Arial"/>
          <w:sz w:val="18"/>
          <w:szCs w:val="18"/>
          <w:color w:val="auto"/>
        </w:rPr>
      </w:pPr>
      <w:r>
        <w:rPr>
          <w:rFonts w:ascii="Arial" w:cs="Arial" w:eastAsia="Arial" w:hAnsi="Arial"/>
          <w:sz w:val="18"/>
          <w:szCs w:val="18"/>
          <w:color w:val="auto"/>
        </w:rPr>
        <w:t>Subject to bankruptcy and insolvency laws and general equitable principles, this Agreement is enforceable against Employee in accordance with its terms.</w:t>
      </w:r>
    </w:p>
    <w:p>
      <w:pPr>
        <w:spacing w:after="0" w:line="131" w:lineRule="exact"/>
        <w:rPr>
          <w:rFonts w:ascii="Arial" w:cs="Arial" w:eastAsia="Arial" w:hAnsi="Arial"/>
          <w:sz w:val="18"/>
          <w:szCs w:val="18"/>
          <w:color w:val="auto"/>
        </w:rPr>
      </w:pPr>
    </w:p>
    <w:p>
      <w:pPr>
        <w:ind w:right="60" w:firstLine="1492"/>
        <w:spacing w:after="0" w:line="370" w:lineRule="auto"/>
        <w:tabs>
          <w:tab w:leader="none" w:pos="1787" w:val="left"/>
        </w:tabs>
        <w:numPr>
          <w:ilvl w:val="2"/>
          <w:numId w:val="47"/>
        </w:numPr>
        <w:rPr>
          <w:rFonts w:ascii="Arial" w:cs="Arial" w:eastAsia="Arial" w:hAnsi="Arial"/>
          <w:sz w:val="15"/>
          <w:szCs w:val="15"/>
          <w:color w:val="auto"/>
        </w:rPr>
      </w:pPr>
      <w:r>
        <w:rPr>
          <w:rFonts w:ascii="Arial" w:cs="Arial" w:eastAsia="Arial" w:hAnsi="Arial"/>
          <w:sz w:val="15"/>
          <w:szCs w:val="15"/>
          <w:color w:val="auto"/>
        </w:rPr>
        <w:t>This Agreement, and the performance of Employee’s obligations hereunder, do not conflict with, violate or give rise to any rights of other persons or entities under, any agreement, benefit plan or program, order, decree or judgment to which Employee is a party or by which Employee is bound.</w:t>
      </w:r>
    </w:p>
    <w:p>
      <w:pPr>
        <w:spacing w:after="0" w:line="62" w:lineRule="exact"/>
        <w:rPr>
          <w:rFonts w:ascii="Arial" w:cs="Arial" w:eastAsia="Arial" w:hAnsi="Arial"/>
          <w:sz w:val="15"/>
          <w:szCs w:val="15"/>
          <w:color w:val="auto"/>
        </w:rPr>
      </w:pPr>
    </w:p>
    <w:p>
      <w:pPr>
        <w:ind w:left="1160" w:hanging="239"/>
        <w:spacing w:after="0"/>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Company represents that:</w:t>
      </w:r>
    </w:p>
    <w:p>
      <w:pPr>
        <w:spacing w:after="0" w:line="171" w:lineRule="exact"/>
        <w:rPr>
          <w:rFonts w:ascii="Arial" w:cs="Arial" w:eastAsia="Arial" w:hAnsi="Arial"/>
          <w:sz w:val="18"/>
          <w:szCs w:val="18"/>
          <w:color w:val="auto"/>
        </w:rPr>
      </w:pPr>
    </w:p>
    <w:p>
      <w:pPr>
        <w:ind w:right="500" w:firstLine="1492"/>
        <w:spacing w:after="0" w:line="268" w:lineRule="auto"/>
        <w:tabs>
          <w:tab w:leader="none" w:pos="1693" w:val="left"/>
        </w:tabs>
        <w:numPr>
          <w:ilvl w:val="2"/>
          <w:numId w:val="47"/>
        </w:numPr>
        <w:rPr>
          <w:rFonts w:ascii="Arial" w:cs="Arial" w:eastAsia="Arial" w:hAnsi="Arial"/>
          <w:sz w:val="18"/>
          <w:szCs w:val="18"/>
          <w:color w:val="auto"/>
        </w:rPr>
      </w:pPr>
      <w:r>
        <w:rPr>
          <w:rFonts w:ascii="Arial" w:cs="Arial" w:eastAsia="Arial" w:hAnsi="Arial"/>
          <w:sz w:val="18"/>
          <w:szCs w:val="18"/>
          <w:color w:val="auto"/>
        </w:rPr>
        <w:t>Subject to bankruptcy and insolvency laws and general equitable principles, this Agreement is enforceable against the Company in accordance with its terms.</w:t>
      </w:r>
    </w:p>
    <w:p>
      <w:pPr>
        <w:spacing w:after="0" w:line="131" w:lineRule="exact"/>
        <w:rPr>
          <w:rFonts w:ascii="Arial" w:cs="Arial" w:eastAsia="Arial" w:hAnsi="Arial"/>
          <w:sz w:val="18"/>
          <w:szCs w:val="18"/>
          <w:color w:val="auto"/>
        </w:rPr>
      </w:pPr>
    </w:p>
    <w:p>
      <w:pPr>
        <w:ind w:right="140" w:firstLine="1492"/>
        <w:spacing w:after="0" w:line="332" w:lineRule="auto"/>
        <w:tabs>
          <w:tab w:leader="none" w:pos="1739" w:val="left"/>
        </w:tabs>
        <w:numPr>
          <w:ilvl w:val="2"/>
          <w:numId w:val="47"/>
        </w:numPr>
        <w:rPr>
          <w:rFonts w:ascii="Arial" w:cs="Arial" w:eastAsia="Arial" w:hAnsi="Arial"/>
          <w:sz w:val="16"/>
          <w:szCs w:val="16"/>
          <w:color w:val="auto"/>
        </w:rPr>
      </w:pPr>
      <w:r>
        <w:rPr>
          <w:rFonts w:ascii="Arial" w:cs="Arial" w:eastAsia="Arial" w:hAnsi="Arial"/>
          <w:sz w:val="16"/>
          <w:szCs w:val="16"/>
          <w:color w:val="auto"/>
        </w:rPr>
        <w:t>This Agreement, and the performance of the Company’s obligations hereunder, do not conflict with, violate or give rise to any rights to other persons or entities under, any agreement, order, decree or judgment to which the Company is a party or by which it is bound.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36" w:name="page37"/>
    <w:bookmarkEnd w:id="36"/>
    <w:p>
      <w:pPr>
        <w:ind w:left="-8" w:right="100" w:firstLine="464"/>
        <w:spacing w:after="0" w:line="259" w:lineRule="auto"/>
        <w:tabs>
          <w:tab w:leader="none" w:pos="71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Withholding/Deductions</w:t>
      </w:r>
      <w:r>
        <w:rPr>
          <w:rFonts w:ascii="Arial" w:cs="Arial" w:eastAsia="Arial" w:hAnsi="Arial"/>
          <w:sz w:val="18"/>
          <w:szCs w:val="18"/>
          <w:color w:val="auto"/>
        </w:rPr>
        <w:t>. All compensation under this Agreement is subject to applicable tax withholding requirements and other deductions required by law. Employee agrees that the Company is entitled to deduct from monies payable and reimbursable to Employee hereunder all sums that Employee may owe the Company at any time.</w:t>
      </w:r>
    </w:p>
    <w:p>
      <w:pPr>
        <w:spacing w:after="0" w:line="140" w:lineRule="exact"/>
        <w:rPr>
          <w:rFonts w:ascii="Arial" w:cs="Arial" w:eastAsia="Arial" w:hAnsi="Arial"/>
          <w:sz w:val="18"/>
          <w:szCs w:val="18"/>
          <w:color w:val="auto"/>
        </w:rPr>
      </w:pPr>
    </w:p>
    <w:p>
      <w:pPr>
        <w:ind w:left="712" w:hanging="256"/>
        <w:spacing w:after="0"/>
        <w:tabs>
          <w:tab w:leader="none" w:pos="71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8" w:right="340" w:firstLine="921"/>
        <w:spacing w:after="0" w:line="286" w:lineRule="auto"/>
        <w:tabs>
          <w:tab w:leader="none" w:pos="1144" w:val="left"/>
        </w:tabs>
        <w:numPr>
          <w:ilvl w:val="2"/>
          <w:numId w:val="48"/>
        </w:numPr>
        <w:rPr>
          <w:rFonts w:ascii="Arial" w:cs="Arial" w:eastAsia="Arial" w:hAnsi="Arial"/>
          <w:sz w:val="16"/>
          <w:szCs w:val="16"/>
          <w:color w:val="auto"/>
        </w:rPr>
      </w:pPr>
      <w:r>
        <w:rPr>
          <w:rFonts w:ascii="Arial" w:cs="Arial" w:eastAsia="Arial" w:hAnsi="Arial"/>
          <w:sz w:val="16"/>
          <w:szCs w:val="16"/>
          <w:color w:val="auto"/>
        </w:rPr>
        <w:t>Notwithstanding anything herein to the contrary or otherwise, except to the extent any expense, reimbursement or in-kind benefit provided to Employee does not constitute a “deferral of compensation” within the meaning of Section 409A of the Code, and its implementing regulations and guidance:</w:t>
      </w:r>
    </w:p>
    <w:p>
      <w:pPr>
        <w:ind w:left="-8" w:right="80" w:firstLine="8"/>
        <w:spacing w:after="0" w:line="300" w:lineRule="auto"/>
        <w:tabs>
          <w:tab w:leader="none" w:pos="202"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w:t>
      </w:r>
    </w:p>
    <w:p>
      <w:pPr>
        <w:spacing w:after="0" w:line="1" w:lineRule="exact"/>
        <w:rPr>
          <w:rFonts w:ascii="Arial" w:cs="Arial" w:eastAsia="Arial" w:hAnsi="Arial"/>
          <w:sz w:val="15"/>
          <w:szCs w:val="15"/>
          <w:color w:val="auto"/>
        </w:rPr>
      </w:pPr>
    </w:p>
    <w:p>
      <w:pPr>
        <w:ind w:left="312" w:hanging="312"/>
        <w:spacing w:after="0"/>
        <w:tabs>
          <w:tab w:leader="none" w:pos="31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right to payment or reimbursement or in-kind benefits hereunder may not be liquidated or exchanged for any other benefit.</w:t>
      </w:r>
    </w:p>
    <w:p>
      <w:pPr>
        <w:spacing w:after="0" w:line="164" w:lineRule="exact"/>
        <w:rPr>
          <w:rFonts w:ascii="Arial" w:cs="Arial" w:eastAsia="Arial" w:hAnsi="Arial"/>
          <w:sz w:val="18"/>
          <w:szCs w:val="18"/>
          <w:color w:val="auto"/>
        </w:rPr>
      </w:pPr>
    </w:p>
    <w:p>
      <w:pPr>
        <w:ind w:left="-8" w:right="320" w:firstLine="921"/>
        <w:spacing w:after="0" w:line="268" w:lineRule="auto"/>
        <w:tabs>
          <w:tab w:leader="none" w:pos="1154" w:val="left"/>
        </w:tabs>
        <w:numPr>
          <w:ilvl w:val="2"/>
          <w:numId w:val="50"/>
        </w:numPr>
        <w:rPr>
          <w:rFonts w:ascii="Arial" w:cs="Arial" w:eastAsia="Arial" w:hAnsi="Arial"/>
          <w:sz w:val="18"/>
          <w:szCs w:val="18"/>
          <w:color w:val="auto"/>
        </w:rPr>
      </w:pPr>
      <w:r>
        <w:rPr>
          <w:rFonts w:ascii="Arial" w:cs="Arial" w:eastAsia="Arial" w:hAnsi="Arial"/>
          <w:sz w:val="18"/>
          <w:szCs w:val="18"/>
          <w:color w:val="auto"/>
        </w:rPr>
        <w:t>For purposes of the application of Treas.Reg.§1.409A-1(b)(4) (or any successor provision), each payment in a series of payments provided to Employee pursuant to this Agreement will be deemed a separate payment.</w:t>
      </w:r>
    </w:p>
    <w:p>
      <w:pPr>
        <w:spacing w:after="0" w:line="131" w:lineRule="exact"/>
        <w:rPr>
          <w:rFonts w:ascii="Arial" w:cs="Arial" w:eastAsia="Arial" w:hAnsi="Arial"/>
          <w:sz w:val="18"/>
          <w:szCs w:val="18"/>
          <w:color w:val="auto"/>
        </w:rPr>
      </w:pPr>
    </w:p>
    <w:p>
      <w:pPr>
        <w:ind w:left="-8" w:firstLine="921"/>
        <w:spacing w:after="0" w:line="286" w:lineRule="auto"/>
        <w:tabs>
          <w:tab w:leader="none" w:pos="1144" w:val="left"/>
        </w:tabs>
        <w:numPr>
          <w:ilvl w:val="2"/>
          <w:numId w:val="50"/>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to the contrary, any payment or benefit described in Paragraph 7 that represents a “deferral of compensation” within the meaning of Section 409A of the Code shall only be paid or provided to Employee upon his “separation from service” within the meaning of Treas.Reg.§1.409A-1(h) (or any successor regulation). To the extent compliance with the requirements of Treas.Reg.§1.409A-3(i)(2) (or any successor provision) is necessary to avoid the application of an additional tax under Section 409A of the Code to payments due to Employee upon or following his “separation from service,” then notwithstanding any other provision of this Agreement (or any otherwise applicable plan, policy, agreement or arrangement), any such payments that are otherwise due within six months following Employee’s “separation from service” will be deferred (without interest) and paid to Employee in a lump sum immediately following that six month period. In the event Employee dies during that six month period, the amounts deferred on account of Treas.Reg.§1.409A-3(i)(2) (or any successor provision) shall be paid to the personal representatives of the Employee’s estate within sixty (60) days following Employee’s death. This provision shall not be construed as preventing payments pursuant to Paragraph 7 equal to an amount up to two (2) times the lesser of: (i) Employee’s annualized compensation for the year prior to the “separation from service;” and (ii) the maximum amount that may be taken into account under a qualified plan pursuant to section 401(a)(17) of the Code, being paid to Employee in the first six months following his “separation from service.”</w:t>
      </w:r>
    </w:p>
    <w:p>
      <w:pPr>
        <w:spacing w:after="0" w:line="127" w:lineRule="exact"/>
        <w:rPr>
          <w:rFonts w:ascii="Arial" w:cs="Arial" w:eastAsia="Arial" w:hAnsi="Arial"/>
          <w:sz w:val="16"/>
          <w:szCs w:val="16"/>
          <w:color w:val="auto"/>
        </w:rPr>
      </w:pPr>
    </w:p>
    <w:p>
      <w:pPr>
        <w:ind w:left="-8" w:right="520" w:firstLine="921"/>
        <w:spacing w:after="0" w:line="268" w:lineRule="auto"/>
        <w:tabs>
          <w:tab w:leader="none" w:pos="1144" w:val="left"/>
        </w:tabs>
        <w:numPr>
          <w:ilvl w:val="2"/>
          <w:numId w:val="50"/>
        </w:numPr>
        <w:rPr>
          <w:rFonts w:ascii="Arial" w:cs="Arial" w:eastAsia="Arial" w:hAnsi="Arial"/>
          <w:sz w:val="18"/>
          <w:szCs w:val="18"/>
          <w:color w:val="auto"/>
        </w:rPr>
      </w:pPr>
      <w:r>
        <w:rPr>
          <w:rFonts w:ascii="Arial" w:cs="Arial" w:eastAsia="Arial" w:hAnsi="Arial"/>
          <w:sz w:val="18"/>
          <w:szCs w:val="18"/>
          <w:color w:val="auto"/>
        </w:rPr>
        <w:t>Anything to the contrary herein notwithstanding, all benefits or payments provided by the Company to Employee that would be deemed to constitute “nonqualified deferred</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280" w:right="239" w:bottom="1440" w:gutter="0" w:footer="0" w:header="0"/>
        </w:sectPr>
      </w:pPr>
    </w:p>
    <w:bookmarkStart w:id="37" w:name="page38"/>
    <w:bookmarkEnd w:id="37"/>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within the meaning of Section 409A of the Code are intended to comply with Section 409A of the Code. Notwithstanding anything in this Agreement to the contrary, distributions may only be made under this Agreement upon an event and in a manner permitted by Section 409A of the Code or an applicable exemption.</w:t>
      </w:r>
    </w:p>
    <w:p>
      <w:pPr>
        <w:spacing w:after="0" w:line="140" w:lineRule="exact"/>
        <w:rPr>
          <w:sz w:val="20"/>
          <w:szCs w:val="20"/>
          <w:color w:val="auto"/>
        </w:rPr>
      </w:pPr>
    </w:p>
    <w:p>
      <w:pPr>
        <w:ind w:left="720" w:hanging="256"/>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80" w:firstLine="921"/>
        <w:spacing w:after="0" w:line="306" w:lineRule="auto"/>
        <w:tabs>
          <w:tab w:leader="none" w:pos="1152" w:val="left"/>
        </w:tabs>
        <w:numPr>
          <w:ilvl w:val="1"/>
          <w:numId w:val="51"/>
        </w:numPr>
        <w:rPr>
          <w:rFonts w:ascii="Arial" w:cs="Arial" w:eastAsia="Arial" w:hAnsi="Arial"/>
          <w:sz w:val="16"/>
          <w:szCs w:val="16"/>
          <w:color w:val="auto"/>
        </w:rPr>
      </w:pPr>
      <w:r>
        <w:rPr>
          <w:rFonts w:ascii="Arial" w:cs="Arial" w:eastAsia="Arial" w:hAnsi="Arial"/>
          <w:sz w:val="16"/>
          <w:szCs w:val="16"/>
          <w:color w:val="auto"/>
        </w:rPr>
        <w:t>If the Company merges into, or transfers all or substantially all of its assets to, or as part of a reorganization, restructuring or other transaction becomes a subsidiary of, another entity, such other entity shall be deemed to be the successor to the Company hereunder, and the term “Company” as used herein shall mean such other entity as is appropriate, and this Agreement shall continue in full force and effect.</w:t>
      </w:r>
    </w:p>
    <w:p>
      <w:pPr>
        <w:spacing w:after="0" w:line="106" w:lineRule="exact"/>
        <w:rPr>
          <w:rFonts w:ascii="Arial" w:cs="Arial" w:eastAsia="Arial" w:hAnsi="Arial"/>
          <w:sz w:val="16"/>
          <w:szCs w:val="16"/>
          <w:color w:val="auto"/>
        </w:rPr>
      </w:pPr>
    </w:p>
    <w:p>
      <w:pPr>
        <w:ind w:right="120" w:firstLine="921"/>
        <w:spacing w:after="0" w:line="298" w:lineRule="auto"/>
        <w:tabs>
          <w:tab w:leader="none" w:pos="1162" w:val="left"/>
        </w:tabs>
        <w:numPr>
          <w:ilvl w:val="1"/>
          <w:numId w:val="51"/>
        </w:numPr>
        <w:rPr>
          <w:rFonts w:ascii="Arial" w:cs="Arial" w:eastAsia="Arial" w:hAnsi="Arial"/>
          <w:sz w:val="16"/>
          <w:szCs w:val="16"/>
          <w:color w:val="auto"/>
        </w:rPr>
      </w:pPr>
      <w:r>
        <w:rPr>
          <w:rFonts w:ascii="Arial" w:cs="Arial" w:eastAsia="Arial" w:hAnsi="Arial"/>
          <w:sz w:val="16"/>
          <w:szCs w:val="16"/>
          <w:color w:val="auto"/>
        </w:rPr>
        <w:t>If the Company transfers part of its assets to another entity owned directly or indirectly by the shareholders of the Company (or any substantial portion of them), or transfers stock or other interests in a subsidiary of the Company directly or indirectly to the shareholders of the Company (or any substantial portion of them), and Employee works for the portion of the Company or the entity so transferred, then such other entity shall be deemed the successor to the Company hereunder, the term “Company” as used herein shall mean such other entity, and this Agreement shall continue in full force and effect.</w:t>
      </w:r>
    </w:p>
    <w:p>
      <w:pPr>
        <w:spacing w:after="0" w:line="106" w:lineRule="exact"/>
        <w:rPr>
          <w:rFonts w:ascii="Arial" w:cs="Arial" w:eastAsia="Arial" w:hAnsi="Arial"/>
          <w:sz w:val="16"/>
          <w:szCs w:val="16"/>
          <w:color w:val="auto"/>
        </w:rPr>
      </w:pPr>
    </w:p>
    <w:p>
      <w:pPr>
        <w:ind w:right="20" w:firstLine="464"/>
        <w:spacing w:after="0" w:line="255"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RIGHT TO TRIAL BY JURY</w:t>
      </w:r>
      <w:r>
        <w:rPr>
          <w:rFonts w:ascii="Arial" w:cs="Arial" w:eastAsia="Arial" w:hAnsi="Arial"/>
          <w:sz w:val="18"/>
          <w:szCs w:val="18"/>
          <w:b w:val="1"/>
          <w:bCs w:val="1"/>
          <w:color w:val="auto"/>
        </w:rPr>
        <w:t>. TO THE EXTENT PERMITTED BY APPLICABLE LAW, THE COMPANY AND EMPLOYEE HEREBY KNOWINGLY, VOLUNTARILY AND INTENTIONALLY WAIVE ANY RIGHT EITHER THEY OR THEIR HEIRS, EXECUTORS, ADMINISTRATORS, PERSONAL REPRESENTATIVES, SUCCESSORS OR ASSIGNS MAY HAVE TO A TRIAL BY JURY IN ANY LITIGATION BASED ON OR RELATING TO THIS AGREEMENT. BY WAIVING THE RIGHT TO A JURY TRIAL, NEITHER PARTY IS WAIVING A RIGHT TO SUE THE OTHER; RATHER, THE PARTIES ARE SIMPLY WAIVING THE RIGHT TO HAVE A JURY DECIDE THE CASE.</w:t>
      </w:r>
    </w:p>
    <w:p>
      <w:pPr>
        <w:spacing w:after="0" w:line="139" w:lineRule="exact"/>
        <w:rPr>
          <w:rFonts w:ascii="Arial" w:cs="Arial" w:eastAsia="Arial" w:hAnsi="Arial"/>
          <w:sz w:val="18"/>
          <w:szCs w:val="18"/>
          <w:color w:val="auto"/>
        </w:rPr>
      </w:pPr>
    </w:p>
    <w:p>
      <w:pPr>
        <w:ind w:firstLine="464"/>
        <w:spacing w:after="0" w:line="255"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ON DAMAGES</w:t>
      </w:r>
      <w:r>
        <w:rPr>
          <w:rFonts w:ascii="Arial" w:cs="Arial" w:eastAsia="Arial" w:hAnsi="Arial"/>
          <w:sz w:val="18"/>
          <w:szCs w:val="18"/>
          <w:b w:val="1"/>
          <w:bCs w:val="1"/>
          <w:color w:val="auto"/>
        </w:rPr>
        <w:t>. EMPLOYEE AGREES THAT, UNLESS PROHIBITED BY APPLICABLE LAW, AND EXCEPT AS EXPRESSLY AVAILABLE IN AN APPLICABLE FEDERAL, STATE OR LOCAL STATUTE OR ORDINANCE, EMPLOYEE’S REMEDY FOR BREACH OF THIS AGREEMENT OR ANY OTHER CLAIM OR CAUSE OF ACTION ARISING OUT OF EMPLOYEE’S EMPLOYMENT SHALL BE LIMITED TO ACTUAL ECONOMIC DAMAGES, AND EMPLOYEE SHALL NOT BE PERMITTED TO MAKE ANY CLAIM FOR OR RECOVER PUNITIVE, EXEMPLARY, COMPENSATORY (OTHER THAN BASED ON ACTUAL ECONOMIC LOSS), EMOTIONAL DISTRESS, OR SPECIAL DAMAGES.</w:t>
      </w:r>
    </w:p>
    <w:p>
      <w:pPr>
        <w:spacing w:after="0" w:line="145" w:lineRule="exact"/>
        <w:rPr>
          <w:rFonts w:ascii="Arial" w:cs="Arial" w:eastAsia="Arial" w:hAnsi="Arial"/>
          <w:sz w:val="18"/>
          <w:szCs w:val="18"/>
          <w:color w:val="auto"/>
        </w:rPr>
      </w:pPr>
    </w:p>
    <w:p>
      <w:pPr>
        <w:ind w:right="520" w:firstLine="464"/>
        <w:spacing w:after="0" w:line="268"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Litigation concerning this Agreement, if initiated by or on behalf of Employee, shall be brought only in a state court in Philadelphia County, Pennsylvania or federal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38" w:name="page39"/>
    <w:bookmarkEnd w:id="38"/>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court in the Eastern District of Pennsylvania, or, if initiated by the Company, in either such jurisdiction or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Employee or the Company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 In any such litigation, the prevailing party shall be entitled to reimbursement from the other party for all costs of defending or maintaining such action, including reasonable attorneys’ fees.</w:t>
      </w:r>
    </w:p>
    <w:p>
      <w:pPr>
        <w:spacing w:after="0" w:line="147" w:lineRule="exact"/>
        <w:rPr>
          <w:sz w:val="20"/>
          <w:szCs w:val="20"/>
          <w:color w:val="auto"/>
        </w:rPr>
      </w:pPr>
    </w:p>
    <w:p>
      <w:pPr>
        <w:ind w:right="320" w:firstLine="464"/>
        <w:spacing w:after="0" w:line="268"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interpreted and enforced in accordance with the substantive law of the Commonwealth of Pennsylvania, without regard to any choice-of-law doctrines.</w:t>
      </w:r>
    </w:p>
    <w:p>
      <w:pPr>
        <w:spacing w:after="0" w:line="131" w:lineRule="exact"/>
        <w:rPr>
          <w:rFonts w:ascii="Arial" w:cs="Arial" w:eastAsia="Arial" w:hAnsi="Arial"/>
          <w:sz w:val="18"/>
          <w:szCs w:val="18"/>
          <w:color w:val="auto"/>
        </w:rPr>
      </w:pPr>
    </w:p>
    <w:p>
      <w:pPr>
        <w:ind w:firstLine="464"/>
        <w:spacing w:after="0" w:line="259"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referred to in this Agreement shall be given in writing and shall be effective: (a) if given by fax, when transmitted to the number below (with an appropriate confirmation received); or (b) if given by registered or certified mail, when received at the address below (with an appropriate receipt received):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Company: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Comcast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(215) 286-7794; and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Employee: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Employee’s address and fax number (if any) as most recently indicated in the Company’s records.</w:t>
      </w:r>
    </w:p>
    <w:p>
      <w:pPr>
        <w:spacing w:after="0" w:line="171" w:lineRule="exact"/>
        <w:rPr>
          <w:sz w:val="20"/>
          <w:szCs w:val="20"/>
          <w:color w:val="auto"/>
        </w:rPr>
      </w:pPr>
    </w:p>
    <w:p>
      <w:pPr>
        <w:ind w:right="120" w:firstLine="464"/>
        <w:spacing w:after="0" w:line="255"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Schedules 1, 2 and 3 hereto) constitutes the entire agreement of the parties with respect to the subject matter hereof, and supersedes and replaces in its entirety the Employment Agreement dated as of December 16, 2009 between the parties,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280" w:right="339" w:bottom="1440" w:gutter="0" w:footer="0" w:header="0"/>
        </w:sectPr>
      </w:pPr>
    </w:p>
    <w:bookmarkStart w:id="39" w:name="page40"/>
    <w:bookmarkEnd w:id="39"/>
    <w:p>
      <w:pPr>
        <w:ind w:left="-140" w:right="60" w:firstLine="464"/>
        <w:spacing w:after="0" w:line="259"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Invalidity or Unenforceability</w:t>
      </w:r>
      <w:r>
        <w:rPr>
          <w:rFonts w:ascii="Arial" w:cs="Arial" w:eastAsia="Arial" w:hAnsi="Arial"/>
          <w:sz w:val="18"/>
          <w:szCs w:val="18"/>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140" w:lineRule="exact"/>
        <w:rPr>
          <w:rFonts w:ascii="Arial" w:cs="Arial" w:eastAsia="Arial" w:hAnsi="Arial"/>
          <w:sz w:val="18"/>
          <w:szCs w:val="18"/>
          <w:color w:val="auto"/>
        </w:rPr>
      </w:pPr>
    </w:p>
    <w:p>
      <w:pPr>
        <w:ind w:left="-140" w:right="20" w:firstLine="464"/>
        <w:spacing w:after="0" w:line="256"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143" w:lineRule="exact"/>
        <w:rPr>
          <w:rFonts w:ascii="Arial" w:cs="Arial" w:eastAsia="Arial" w:hAnsi="Arial"/>
          <w:sz w:val="18"/>
          <w:szCs w:val="18"/>
          <w:color w:val="auto"/>
        </w:rPr>
      </w:pPr>
    </w:p>
    <w:p>
      <w:pPr>
        <w:ind w:left="-140" w:firstLine="464"/>
        <w:spacing w:after="0" w:line="259"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Binding Effect; No Assignment</w:t>
      </w:r>
      <w:r>
        <w:rPr>
          <w:rFonts w:ascii="Arial" w:cs="Arial" w:eastAsia="Arial" w:hAnsi="Arial"/>
          <w:sz w:val="18"/>
          <w:szCs w:val="18"/>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first-above written.</w:t>
      </w:r>
    </w:p>
    <w:p>
      <w:pPr>
        <w:spacing w:after="0" w:line="21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72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4530090</wp:posOffset>
            </wp:positionH>
            <wp:positionV relativeFrom="paragraph">
              <wp:posOffset>10795</wp:posOffset>
            </wp:positionV>
            <wp:extent cx="26327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3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Date: November 22, 2011</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Michael J. Angelakis</w:t>
      </w:r>
    </w:p>
    <w:p>
      <w:pPr>
        <w:spacing w:after="0" w:line="2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Date: November 22,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80" w:top="280" w:right="379" w:bottom="1440" w:gutter="0" w:footer="0" w:header="0"/>
        </w:sectPr>
      </w:pPr>
    </w:p>
    <w:bookmarkStart w:id="40" w:name="page41"/>
    <w:bookmarkEnd w:id="40"/>
    <w:p>
      <w:pPr>
        <w:jc w:val="center"/>
        <w:ind w:right="-31"/>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 TO EMPLOYMENT AGREEMENT WITH MICHAEL J. ANGELAKIS</w:t>
      </w:r>
    </w:p>
    <w:p>
      <w:pPr>
        <w:spacing w:after="0" w:line="212" w:lineRule="exact"/>
        <w:rPr>
          <w:sz w:val="20"/>
          <w:szCs w:val="20"/>
          <w:color w:val="auto"/>
        </w:rPr>
      </w:pPr>
    </w:p>
    <w:p>
      <w:pPr>
        <w:ind w:left="452" w:hanging="452"/>
        <w:spacing w:after="0"/>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Position: Vice Chairman and Chief Financial Officer, Comcast Corporation.</w:t>
      </w:r>
    </w:p>
    <w:p>
      <w:pPr>
        <w:spacing w:after="0" w:line="90" w:lineRule="exact"/>
        <w:rPr>
          <w:rFonts w:ascii="Arial" w:cs="Arial" w:eastAsia="Arial" w:hAnsi="Arial"/>
          <w:sz w:val="18"/>
          <w:szCs w:val="18"/>
          <w:color w:val="auto"/>
        </w:rPr>
      </w:pPr>
    </w:p>
    <w:p>
      <w:pPr>
        <w:ind w:left="452" w:right="420" w:hanging="452"/>
        <w:spacing w:after="0" w:line="332" w:lineRule="auto"/>
        <w:tabs>
          <w:tab w:leader="none" w:pos="452" w:val="left"/>
        </w:tabs>
        <w:numPr>
          <w:ilvl w:val="0"/>
          <w:numId w:val="55"/>
        </w:numPr>
        <w:rPr>
          <w:rFonts w:ascii="Arial" w:cs="Arial" w:eastAsia="Arial" w:hAnsi="Arial"/>
          <w:sz w:val="16"/>
          <w:szCs w:val="16"/>
          <w:color w:val="auto"/>
        </w:rPr>
      </w:pPr>
      <w:r>
        <w:rPr>
          <w:rFonts w:ascii="Arial" w:cs="Arial" w:eastAsia="Arial" w:hAnsi="Arial"/>
          <w:sz w:val="16"/>
          <w:szCs w:val="16"/>
          <w:color w:val="auto"/>
        </w:rPr>
        <w:t>Signing Bonus Amount and Terms: $2,125,000; provided that Employee shall be required to reimburse the Company for 100% of the amount of each signing bonus in the event a Termination With Cause or Termination Without Good Reason occurs within twelve months of the date thereof.</w:t>
      </w:r>
    </w:p>
    <w:p>
      <w:pPr>
        <w:spacing w:after="0" w:line="4" w:lineRule="exact"/>
        <w:rPr>
          <w:rFonts w:ascii="Arial" w:cs="Arial" w:eastAsia="Arial" w:hAnsi="Arial"/>
          <w:sz w:val="16"/>
          <w:szCs w:val="16"/>
          <w:color w:val="auto"/>
        </w:rPr>
      </w:pPr>
    </w:p>
    <w:p>
      <w:pPr>
        <w:ind w:left="452" w:right="300" w:hanging="452"/>
        <w:spacing w:after="0" w:line="268" w:lineRule="auto"/>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Cash Bonus. Target bonus potential under the Cash Bonus Plan: 300% of eligible earnings (</w:t>
      </w:r>
      <w:r>
        <w:rPr>
          <w:rFonts w:ascii="Arial" w:cs="Arial" w:eastAsia="Arial" w:hAnsi="Arial"/>
          <w:sz w:val="18"/>
          <w:szCs w:val="18"/>
          <w:u w:val="single" w:color="auto"/>
          <w:color w:val="auto"/>
        </w:rPr>
        <w:t>i.e.</w:t>
      </w:r>
      <w:r>
        <w:rPr>
          <w:rFonts w:ascii="Arial" w:cs="Arial" w:eastAsia="Arial" w:hAnsi="Arial"/>
          <w:sz w:val="18"/>
          <w:szCs w:val="18"/>
          <w:color w:val="auto"/>
        </w:rPr>
        <w:t>, the amount of Base Salary actually paid in the calendar year).</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 Salary and Health and Welfare Benefits Continuation Period following Termination Without Cause or Termination With Good Reason: Twenty-four</w:t>
      </w:r>
    </w:p>
    <w:p>
      <w:pPr>
        <w:spacing w:after="0" w:line="38" w:lineRule="exact"/>
        <w:rPr>
          <w:rFonts w:ascii="Arial" w:cs="Arial" w:eastAsia="Arial" w:hAnsi="Arial"/>
          <w:sz w:val="16"/>
          <w:szCs w:val="16"/>
          <w:color w:val="auto"/>
        </w:rPr>
      </w:pPr>
    </w:p>
    <w:p>
      <w:pPr>
        <w:ind w:left="792" w:hanging="346"/>
        <w:spacing w:after="0"/>
        <w:tabs>
          <w:tab w:leader="none" w:pos="792" w:val="left"/>
        </w:tabs>
        <w:numPr>
          <w:ilvl w:val="1"/>
          <w:numId w:val="55"/>
        </w:numPr>
        <w:rPr>
          <w:rFonts w:ascii="Arial" w:cs="Arial" w:eastAsia="Arial" w:hAnsi="Arial"/>
          <w:sz w:val="18"/>
          <w:szCs w:val="18"/>
          <w:color w:val="auto"/>
        </w:rPr>
      </w:pPr>
      <w:r>
        <w:rPr>
          <w:rFonts w:ascii="Arial" w:cs="Arial" w:eastAsia="Arial" w:hAnsi="Arial"/>
          <w:sz w:val="18"/>
          <w:szCs w:val="18"/>
          <w:color w:val="auto"/>
        </w:rPr>
        <w:t>months.</w:t>
      </w:r>
    </w:p>
    <w:p>
      <w:pPr>
        <w:spacing w:after="0" w:line="83" w:lineRule="exact"/>
        <w:rPr>
          <w:rFonts w:ascii="Arial" w:cs="Arial" w:eastAsia="Arial" w:hAnsi="Arial"/>
          <w:sz w:val="18"/>
          <w:szCs w:val="18"/>
          <w:color w:val="auto"/>
        </w:rPr>
      </w:pPr>
    </w:p>
    <w:p>
      <w:pPr>
        <w:ind w:left="452" w:hanging="452"/>
        <w:spacing w:after="0"/>
        <w:tabs>
          <w:tab w:leader="none" w:pos="452"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Restricted Stock and Stock Option Plan Grants Continued Vesting Period following Termination Without Cause or Termination With Good Reason: Twelve</w:t>
      </w:r>
    </w:p>
    <w:p>
      <w:pPr>
        <w:spacing w:after="0" w:line="38" w:lineRule="exact"/>
        <w:rPr>
          <w:rFonts w:ascii="Arial" w:cs="Arial" w:eastAsia="Arial" w:hAnsi="Arial"/>
          <w:sz w:val="16"/>
          <w:szCs w:val="16"/>
          <w:color w:val="auto"/>
        </w:rPr>
      </w:pPr>
    </w:p>
    <w:p>
      <w:pPr>
        <w:ind w:left="452" w:right="400" w:hanging="6"/>
        <w:spacing w:after="0" w:line="261" w:lineRule="auto"/>
        <w:tabs>
          <w:tab w:leader="none" w:pos="788" w:val="left"/>
        </w:tabs>
        <w:numPr>
          <w:ilvl w:val="1"/>
          <w:numId w:val="56"/>
        </w:numPr>
        <w:rPr>
          <w:rFonts w:ascii="Arial" w:cs="Arial" w:eastAsia="Arial" w:hAnsi="Arial"/>
          <w:sz w:val="18"/>
          <w:szCs w:val="18"/>
          <w:color w:val="auto"/>
        </w:rPr>
      </w:pPr>
      <w:r>
        <w:rPr>
          <w:rFonts w:ascii="Arial" w:cs="Arial" w:eastAsia="Arial" w:hAnsi="Arial"/>
          <w:sz w:val="18"/>
          <w:szCs w:val="18"/>
          <w:color w:val="auto"/>
        </w:rPr>
        <w:t>months. Stock Option Plan Grants Continued Exercisability Period following Termination Without Cause or Termination With Good Reason: the lesser of fifteen (15) months or the end of the stock option’s term.</w:t>
      </w:r>
    </w:p>
    <w:p>
      <w:pPr>
        <w:spacing w:after="0" w:line="12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72"/>
          </w:cols>
          <w:pgMar w:left="248" w:top="280" w:right="279" w:bottom="1440" w:gutter="0" w:footer="0" w:header="0"/>
        </w:sectPr>
      </w:pPr>
    </w:p>
    <w:bookmarkStart w:id="41" w:name="page42"/>
    <w:bookmarkEnd w:id="41"/>
    <w:p>
      <w:pPr>
        <w:jc w:val="center"/>
        <w:ind w:right="-31"/>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COMPETITIVE BUSINESS ACTIVITIES</w:t>
      </w:r>
    </w:p>
    <w:p>
      <w:pPr>
        <w:spacing w:after="0" w:line="212" w:lineRule="exact"/>
        <w:rPr>
          <w:sz w:val="20"/>
          <w:szCs w:val="20"/>
          <w:color w:val="auto"/>
        </w:rPr>
      </w:pPr>
    </w:p>
    <w:p>
      <w:pPr>
        <w:ind w:left="452" w:hanging="452"/>
        <w:spacing w:after="0" w:line="287" w:lineRule="auto"/>
        <w:tabs>
          <w:tab w:leader="none" w:pos="45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distribution of video programming to consumer or commercial customers or users, whether by analog or digital technology, to any type of end-user equipment (television, computer, phone, personal digital assistant, tablet, console or other), and by any distribution platform (including broadcast, coaxial cable, fiber optic cable, digital subscriber line, power line, satellite, wireless and Internet), method (streaming, application or other) or protocol (IP or other). Employee agrees that the following companies (or their parents, subsidiaries or controlled affiliates), and their successors and assigns, are among those engaged in competitive video programming distribution as of the date hereof: Amazon.com, Inc.; Apple Inc.; AT&amp;T Inc.; Bamboom Labs; Boxee, Inc.; Bright House Networks; Cablevision Systems Corporation; CBS Corporation; CenturyLink, Inc.; Charter Communications, Inc.; Clicker.com; Cox Communications, Inc.; DIRECTV; DISH Network Corporation; EchoStar Holding Corporation (including Sling Media); Everest; Facebook, Inc.; Flixster, Inc; Google, Inc. (including YouTube); Hulu, LLC; Joost Operations S.A.; Knology Holdings, Inc.; Microsoft Corporation (including XBox); Netflix, Inc.; NeuLion, Inc. (including Jumptv); News Corp. (including Fox); RCN Corporation; Roku, Inc.; Sony Corporation of America (including PlayStation); Time Warner Cable, Inc.; TiVo Inc.; Verizon Communications, Inc.; VUDU, Inc.; The Walt Disney Company (including ABC); and Wide Open West.</w:t>
      </w:r>
    </w:p>
    <w:p>
      <w:pPr>
        <w:spacing w:after="0" w:line="41" w:lineRule="exact"/>
        <w:rPr>
          <w:rFonts w:ascii="Arial" w:cs="Arial" w:eastAsia="Arial" w:hAnsi="Arial"/>
          <w:sz w:val="16"/>
          <w:szCs w:val="16"/>
          <w:color w:val="auto"/>
        </w:rPr>
      </w:pPr>
    </w:p>
    <w:p>
      <w:pPr>
        <w:ind w:left="452" w:hanging="452"/>
        <w:spacing w:after="0" w:line="289" w:lineRule="auto"/>
        <w:tabs>
          <w:tab w:leader="none" w:pos="45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provision of Internet access or portal service (including related applications and services) to consumer or commercial customers or users, whether by analog or digital technology, to any type of end-user equipment (television, computer, phone, personal digital assistant, tablet, console or other), and by any distribution platform (including dial-up,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high-speed Internet access and/or portal service as of the date hereof: AOL Inc.; AT&amp;T Inc.; Bright House Networks; Cablevision Systems Corporation; CenturyLink, Inc.; Charter Communications Inc.; Clearwire Corporation; Cox Communications, Inc.; DIRECTV; DISH Network Corporation; EchoStar Holding Corporation (including Sling Media); Google, Inc.; Knology Holdings, Inc.; Microsoft Corporation (including MSN); RCN Corporation; Sprint Nextel Corporation; Time Warner Cable, Inc.; Verizon Communications, Inc.; and Yahoo, Inc.</w:t>
      </w:r>
    </w:p>
    <w:p>
      <w:pPr>
        <w:spacing w:after="0" w:line="37" w:lineRule="exact"/>
        <w:rPr>
          <w:rFonts w:ascii="Arial" w:cs="Arial" w:eastAsia="Arial" w:hAnsi="Arial"/>
          <w:sz w:val="16"/>
          <w:szCs w:val="16"/>
          <w:color w:val="auto"/>
        </w:rPr>
      </w:pPr>
    </w:p>
    <w:p>
      <w:pPr>
        <w:ind w:left="452" w:right="340" w:hanging="452"/>
        <w:spacing w:after="0" w:line="268" w:lineRule="auto"/>
        <w:tabs>
          <w:tab w:leader="none" w:pos="4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provision of voice and/or data service to consumer or commercial customers or users, whether by analog or digital technology, by any distribution platform (including coaxial cable, fiber optic cable, digital subscriber line, power line, satellite, wireless</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72"/>
          </w:cols>
          <w:pgMar w:left="248" w:top="280" w:right="279" w:bottom="1440" w:gutter="0" w:footer="0" w:header="0"/>
        </w:sectPr>
      </w:pPr>
    </w:p>
    <w:bookmarkStart w:id="42" w:name="page43"/>
    <w:bookmarkEnd w:id="42"/>
    <w:p>
      <w:pPr>
        <w:ind w:left="452"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Internet) or protocol (IP or other). Employee agrees that the following companies (or their parents, subsidiaries or controlled affiliates), and their successors and assigns, are among those engaged in competitive voice and/or data service as of the date hereof: AT&amp;T Inc.; Bright House Networks; Cablevision Systems Corporation; Cbeyond, Inc.; CenturyLink, Inc.; Charter Communications, Inc.; Clearwire Corporation; Cox Communications, Inc.; DIRECTV; DISH Network Corporation; EchoStar Holding Corporation (including Sling Media); Google, Inc.; Integra Telecom; Knology Holdings, Inc.; Paetec Communications Inc.; RCN Corporation; Sprint Nextel Corporation; Skype Limited; TelePacific Communications; Time Warner Cable, Inc.; Vonage Holdings Corp.; Verizon Communications, Inc.; and Wide Open West.</w:t>
      </w:r>
    </w:p>
    <w:p>
      <w:pPr>
        <w:spacing w:after="0" w:line="39" w:lineRule="exact"/>
        <w:rPr>
          <w:sz w:val="20"/>
          <w:szCs w:val="20"/>
          <w:color w:val="auto"/>
        </w:rPr>
      </w:pPr>
    </w:p>
    <w:p>
      <w:pPr>
        <w:ind w:left="452" w:right="80" w:hanging="452"/>
        <w:spacing w:after="0" w:line="291" w:lineRule="auto"/>
        <w:tabs>
          <w:tab w:leader="none" w:pos="4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provision of wireless communications services to consumer or commercial customers or users, whether by analog or digital technology, to any type of end-user equipment (television, computer, phone, personal digital assistant, tablet, console or other) and by any technology or protocol (IP or other). Employee agrees that the following companies (or their parents, subsidiaries or controlled affiliates), and their successor and assigns, are among those engaged in the provision of competitive wireless service as of the date hereof: AT&amp;T Inc.; Boingo Wireless, Inc.; Bright House Networks; Clearwire Corporation; Leap Wireless International, Inc.; LightSquared Company; MediaFLO USA, Inc.; MetroPCS Communications, Inc.; Sprint Nextel Corporation; T-Mobile USA, Inc.; and Verizon Communications, Inc.</w:t>
      </w:r>
    </w:p>
    <w:p>
      <w:pPr>
        <w:spacing w:after="0" w:line="39" w:lineRule="exact"/>
        <w:rPr>
          <w:rFonts w:ascii="Arial" w:cs="Arial" w:eastAsia="Arial" w:hAnsi="Arial"/>
          <w:sz w:val="16"/>
          <w:szCs w:val="16"/>
          <w:color w:val="auto"/>
        </w:rPr>
      </w:pPr>
    </w:p>
    <w:p>
      <w:pPr>
        <w:ind w:left="452" w:hanging="452"/>
        <w:spacing w:after="0" w:line="289" w:lineRule="auto"/>
        <w:tabs>
          <w:tab w:leader="none" w:pos="4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 creation, (ii) production and/or (iii) sale, license or other provision, of audio and/or video program content, whether for broadcast, satellite, cable or other program networks; distributors of program content; or providers of high-speed Internet portal or other Internet-based services or websites. Employee agrees that the following companies (or their parents, subsidiaries or controlled affiliates), and their successors and assigns, are among those engaged in the competitive creation, production or provision of audio and/or video program content as of the date hereof: A&amp;E Television Networks; AMC Networks Inc.; AOL Inc.; CBS Corporation; Cox Communications, Inc.; Discovery Communications, Inc.; Epix Joint Venture; EW Scripps Co.; Google, Inc. (including YouTube); Hulu, LLC; IAC/InterActive Corp; Liberty Media Corp.; Metro-Goldwyn-Mayer Inc.; MySpace; News Corp. (including Fox); Sony Corporation of America; The CW Television Network; The Walt Disney Company, Inc. (including ABC); Time Warner Inc. (including Turner and Warner Bros.); and Viacom Inc. (including Dreamworks and Paramount).</w:t>
      </w:r>
    </w:p>
    <w:p>
      <w:pPr>
        <w:spacing w:after="0" w:line="37" w:lineRule="exact"/>
        <w:rPr>
          <w:rFonts w:ascii="Arial" w:cs="Arial" w:eastAsia="Arial" w:hAnsi="Arial"/>
          <w:sz w:val="16"/>
          <w:szCs w:val="16"/>
          <w:color w:val="auto"/>
        </w:rPr>
      </w:pPr>
    </w:p>
    <w:p>
      <w:pPr>
        <w:ind w:left="452" w:right="260" w:hanging="452"/>
        <w:spacing w:after="0" w:line="256" w:lineRule="auto"/>
        <w:tabs>
          <w:tab w:leader="none" w:pos="4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 creation, (ii) production and/or (iii) sale, license or other provision, of motion pictures, whether for theaters or other venues; broadcast, satellite, cable or other program networks; distributors of program content; or providers of high speed Internet portal or other Internet-based services or websites. Employee agrees that the following companies (or their parents, subsidiaries or controlled affiliates), and their successors and assigns, are among those engaged in the competitive creation, production or</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92"/>
          </w:cols>
          <w:pgMar w:left="248" w:top="280" w:right="259" w:bottom="1440" w:gutter="0" w:footer="0" w:header="0"/>
        </w:sectPr>
      </w:pPr>
    </w:p>
    <w:bookmarkStart w:id="43" w:name="page44"/>
    <w:bookmarkEnd w:id="43"/>
    <w:p>
      <w:pPr>
        <w:ind w:left="452" w:right="4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 of motion pictures as of the date hereof: Metro-Goldwyn Mayer Inc.; News Corp. (including Fox); Sony Corporation of America; The Walt Disney Company, Inc.; Time Warner Inc. (including Warner Bros.); and Viacom Inc. (including Dreamworks and Paramount).</w:t>
      </w:r>
    </w:p>
    <w:p>
      <w:pPr>
        <w:spacing w:after="0" w:line="4" w:lineRule="exact"/>
        <w:rPr>
          <w:sz w:val="20"/>
          <w:szCs w:val="20"/>
          <w:color w:val="auto"/>
        </w:rPr>
      </w:pPr>
    </w:p>
    <w:p>
      <w:pPr>
        <w:ind w:left="452" w:hanging="452"/>
        <w:spacing w:after="0" w:line="290" w:lineRule="auto"/>
        <w:tabs>
          <w:tab w:leader="none" w:pos="4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provision of Internet-based products or services to consumer or commercial users. Employee agrees that the following companies (or their parents, subsidiaries or controlled affiliates), and their successors and assigns, are among those engaged in providing competitive Internet-based products and services as of the date hereof: Amazon.com, Inc.; Apple Inc.; AT&amp;T Inc.; Bamboom Labs; BitTorrent, Inc.; Boxee, Inc.; Bright Cove, Inc.; CBS Interactive Inc. (including CNET); Clicker.com; Facebook, Inc.; Flixster, Inc.; Friendfeed Inc.; Google, Inc. (including YouTube); Joost Operations S.A.; LinkedIn Corporation; Microsoft Corporation (including MSN and XBox); MySpace; NeuLion, Inc. (including Jumptv); RealNetworks, Inc.; Sony Corporation of America (including PlayStation); The Walt Disney Company, Inc.; Time Warner Inc. (including AOL); TiVo Inc.; Verizon Communications, Inc.; XING AG; Xobni Corporation; and Yahoo, Inc.</w:t>
      </w:r>
    </w:p>
    <w:p>
      <w:pPr>
        <w:spacing w:after="0" w:line="37" w:lineRule="exact"/>
        <w:rPr>
          <w:rFonts w:ascii="Arial" w:cs="Arial" w:eastAsia="Arial" w:hAnsi="Arial"/>
          <w:sz w:val="16"/>
          <w:szCs w:val="16"/>
          <w:color w:val="auto"/>
        </w:rPr>
      </w:pPr>
    </w:p>
    <w:p>
      <w:pPr>
        <w:ind w:left="452" w:right="200" w:hanging="452"/>
        <w:spacing w:after="0" w:line="268" w:lineRule="auto"/>
        <w:tabs>
          <w:tab w:leader="none" w:pos="4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operation and/or management of theme parks, includes the licensing of Intellectual Property in connection herewith. Employee agrees that The Walt Disney Company, Inc. is among those engaged in the competitive theme park business as of the date hereof.</w:t>
      </w:r>
    </w:p>
    <w:p>
      <w:pPr>
        <w:spacing w:after="0" w:line="51" w:lineRule="exact"/>
        <w:rPr>
          <w:sz w:val="20"/>
          <w:szCs w:val="20"/>
          <w:color w:val="auto"/>
        </w:rPr>
      </w:pPr>
    </w:p>
    <w:p>
      <w:pPr>
        <w:ind w:left="452" w:right="380" w:hanging="452"/>
        <w:spacing w:after="0" w:line="268" w:lineRule="auto"/>
        <w:tabs>
          <w:tab w:leader="none" w:pos="4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creation, development, enhancement, testing, deployment, operation, licensing or sale of firmware, hardware, Intellectual Property, software, user interface or other technology used in any of the products or services described in A to H above.</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72"/>
          </w:cols>
          <w:pgMar w:left="248" w:top="280" w:right="279" w:bottom="1440" w:gutter="0" w:footer="0" w:header="0"/>
        </w:sectPr>
      </w:pPr>
    </w:p>
    <w:bookmarkStart w:id="44" w:name="page45"/>
    <w:bookmarkEnd w:id="44"/>
    <w:p>
      <w:pPr>
        <w:jc w:val="center"/>
        <w:ind w:right="-1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LIMITED EXCLUSION NOTIFICATION</w:t>
      </w:r>
    </w:p>
    <w:p>
      <w:pPr>
        <w:spacing w:after="0" w:line="165"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auto"/>
        </w:rPr>
        <w:t xml:space="preserve">THIS IS TO NOTIFY </w:t>
      </w:r>
      <w:r>
        <w:rPr>
          <w:rFonts w:ascii="Arial" w:cs="Arial" w:eastAsia="Arial" w:hAnsi="Arial"/>
          <w:sz w:val="18"/>
          <w:szCs w:val="18"/>
          <w:color w:val="auto"/>
        </w:rPr>
        <w:t>Employee in accordance with Section 2872 of the California Labor Code that this Agreement</w:t>
      </w:r>
      <w:r>
        <w:rPr>
          <w:rFonts w:ascii="Arial" w:cs="Arial" w:eastAsia="Arial" w:hAnsi="Arial"/>
          <w:sz w:val="18"/>
          <w:szCs w:val="18"/>
          <w:b w:val="1"/>
          <w:bCs w:val="1"/>
          <w:color w:val="auto"/>
        </w:rPr>
        <w:t xml:space="preserve"> does not </w:t>
      </w:r>
      <w:r>
        <w:rPr>
          <w:rFonts w:ascii="Arial" w:cs="Arial" w:eastAsia="Arial" w:hAnsi="Arial"/>
          <w:sz w:val="18"/>
          <w:szCs w:val="18"/>
          <w:color w:val="auto"/>
        </w:rPr>
        <w:t>require Employee to assign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offer to assign to the Company any invention that Employee developed entirely on Employee’s own time </w:t>
      </w:r>
      <w:r>
        <w:rPr>
          <w:rFonts w:ascii="Arial" w:cs="Arial" w:eastAsia="Arial" w:hAnsi="Arial"/>
          <w:sz w:val="18"/>
          <w:szCs w:val="18"/>
          <w:b w:val="1"/>
          <w:bCs w:val="1"/>
          <w:color w:val="auto"/>
        </w:rPr>
        <w:t>without using</w:t>
      </w:r>
      <w:r>
        <w:rPr>
          <w:rFonts w:ascii="Arial" w:cs="Arial" w:eastAsia="Arial" w:hAnsi="Arial"/>
          <w:sz w:val="18"/>
          <w:szCs w:val="18"/>
          <w:color w:val="auto"/>
        </w:rPr>
        <w:t xml:space="preserve"> the Company’s equipment, supplies, facilities or trade secret information </w:t>
      </w:r>
      <w:r>
        <w:rPr>
          <w:rFonts w:ascii="Arial" w:cs="Arial" w:eastAsia="Arial" w:hAnsi="Arial"/>
          <w:sz w:val="18"/>
          <w:szCs w:val="18"/>
          <w:b w:val="1"/>
          <w:bCs w:val="1"/>
          <w:color w:val="auto"/>
        </w:rPr>
        <w:t>except for</w:t>
      </w:r>
      <w:r>
        <w:rPr>
          <w:rFonts w:ascii="Arial" w:cs="Arial" w:eastAsia="Arial" w:hAnsi="Arial"/>
          <w:sz w:val="18"/>
          <w:szCs w:val="18"/>
          <w:color w:val="auto"/>
        </w:rPr>
        <w:t xml:space="preserve"> those inventions that </w:t>
      </w:r>
      <w:r>
        <w:rPr>
          <w:rFonts w:ascii="Arial" w:cs="Arial" w:eastAsia="Arial" w:hAnsi="Arial"/>
          <w:sz w:val="18"/>
          <w:szCs w:val="18"/>
          <w:b w:val="1"/>
          <w:bCs w:val="1"/>
          <w:color w:val="auto"/>
        </w:rPr>
        <w:t>either:</w:t>
      </w:r>
    </w:p>
    <w:p>
      <w:pPr>
        <w:spacing w:after="0" w:line="57" w:lineRule="exact"/>
        <w:rPr>
          <w:sz w:val="20"/>
          <w:szCs w:val="20"/>
          <w:color w:val="auto"/>
        </w:rPr>
      </w:pPr>
    </w:p>
    <w:p>
      <w:pPr>
        <w:ind w:left="900" w:right="6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Company’s business, or actual demonstrably anticipated research or development of the Company;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Result from any work performed by you for the Company.</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the extent a provision in this Agreement purports to require Employee to assign an invention otherwise excluded by the preceding paragraph, the provision is against the public policy of the State of California and is unenforceable therein.</w:t>
      </w:r>
    </w:p>
    <w:p>
      <w:pPr>
        <w:spacing w:after="0" w:line="13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sectPr>
      <w:pgSz w:w="11900" w:h="16838" w:orient="portrait"/>
      <w:cols w:equalWidth="0" w:num="1">
        <w:col w:w="11280"/>
      </w:cols>
      <w:pgMar w:left="240" w:top="2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lowerLetter"/>
      <w:start w:val="1"/>
    </w:lvl>
  </w:abstractNum>
  <w:abstractNum w:abstractNumId="2">
    <w:nsid w:val="6CEAF087"/>
    <w:multiLevelType w:val="hybridMultilevel"/>
    <w:lvl w:ilvl="0">
      <w:lvlJc w:val="left"/>
      <w:lvlText w:val="(%1)"/>
      <w:numFmt w:val="lowerLetter"/>
      <w:start w:val="1"/>
    </w:lvl>
  </w:abstractNum>
  <w:abstractNum w:abstractNumId="3">
    <w:nsid w:val="22221A70"/>
    <w:multiLevelType w:val="hybridMultilevel"/>
    <w:lvl w:ilvl="0">
      <w:lvlJc w:val="left"/>
      <w:lvlText w:val="(%1)"/>
      <w:numFmt w:val="lowerLetter"/>
      <w:start w:val="2"/>
    </w:lvl>
  </w:abstractNum>
  <w:abstractNum w:abstractNumId="4">
    <w:nsid w:val="4516DDE9"/>
    <w:multiLevelType w:val="hybridMultilevel"/>
    <w:lvl w:ilvl="0">
      <w:lvlJc w:val="left"/>
      <w:lvlText w:val="(%1)"/>
      <w:numFmt w:val="lowerLetter"/>
      <w:start w:val="1"/>
    </w:lvl>
  </w:abstractNum>
  <w:abstractNum w:abstractNumId="5">
    <w:nsid w:val="3006C83E"/>
    <w:multiLevelType w:val="hybridMultilevel"/>
    <w:lvl w:ilvl="0">
      <w:lvlJc w:val="left"/>
      <w:lvlText w:val="(%1)"/>
      <w:numFmt w:val="lowerLetter"/>
      <w:start w:val="3"/>
    </w:lvl>
  </w:abstractNum>
  <w:abstractNum w:abstractNumId="6">
    <w:nsid w:val="614FD4A1"/>
    <w:multiLevelType w:val="hybridMultilevel"/>
    <w:lvl w:ilvl="0">
      <w:lvlJc w:val="left"/>
      <w:lvlText w:val="(%1)"/>
      <w:numFmt w:val="lowerLetter"/>
      <w:start w:val="1"/>
    </w:lvl>
  </w:abstractNum>
  <w:abstractNum w:abstractNumId="7">
    <w:nsid w:val="419AC241"/>
    <w:multiLevelType w:val="hybridMultilevel"/>
    <w:lvl w:ilvl="0">
      <w:lvlJc w:val="left"/>
      <w:lvlText w:val="(%1)"/>
      <w:numFmt w:val="lowerLetter"/>
      <w:start w:val="4"/>
    </w:lvl>
  </w:abstractNum>
  <w:abstractNum w:abstractNumId="8">
    <w:nsid w:val="5577F8E1"/>
    <w:multiLevelType w:val="hybridMultilevel"/>
    <w:lvl w:ilvl="0">
      <w:lvlJc w:val="left"/>
      <w:lvlText w:val="(%1)"/>
      <w:numFmt w:val="lowerRoman"/>
      <w:start w:val="1"/>
    </w:lvl>
  </w:abstractNum>
  <w:abstractNum w:abstractNumId="9">
    <w:nsid w:val="440BADFC"/>
    <w:multiLevelType w:val="hybridMultilevel"/>
    <w:lvl w:ilvl="0">
      <w:lvlJc w:val="left"/>
      <w:lvlText w:val="%1"/>
      <w:numFmt w:val="upperLetter"/>
      <w:start w:val="1"/>
    </w:lvl>
    <w:lvl w:ilvl="1">
      <w:lvlJc w:val="left"/>
      <w:lvlText w:val="(%2)"/>
      <w:numFmt w:val="lowerRoman"/>
      <w:start w:val="2"/>
    </w:lvl>
  </w:abstractNum>
  <w:abstractNum w:abstractNumId="10">
    <w:nsid w:val="5072367"/>
    <w:multiLevelType w:val="hybridMultilevel"/>
    <w:lvl w:ilvl="0">
      <w:lvlJc w:val="left"/>
      <w:lvlText w:val="(%1)"/>
      <w:numFmt w:val="upperLetter"/>
      <w:start w:val="2"/>
    </w:lvl>
    <w:lvl w:ilvl="1">
      <w:lvlJc w:val="left"/>
      <w:lvlText w:val="%2"/>
      <w:numFmt w:val="lowerRoman"/>
      <w:start w:val="1"/>
    </w:lvl>
  </w:abstractNum>
  <w:abstractNum w:abstractNumId="11">
    <w:nsid w:val="3804823E"/>
    <w:multiLevelType w:val="hybridMultilevel"/>
    <w:lvl w:ilvl="0">
      <w:lvlJc w:val="left"/>
      <w:lvlText w:val="(%1)"/>
      <w:numFmt w:val="lowerLetter"/>
      <w:start w:val="1"/>
    </w:lvl>
  </w:abstractNum>
  <w:abstractNum w:abstractNumId="12">
    <w:nsid w:val="77465F01"/>
    <w:multiLevelType w:val="hybridMultilevel"/>
    <w:lvl w:ilvl="0">
      <w:lvlJc w:val="left"/>
      <w:lvlText w:val="(%1)"/>
      <w:numFmt w:val="lowerLetter"/>
      <w:start w:val="1"/>
    </w:lvl>
  </w:abstractNum>
  <w:abstractNum w:abstractNumId="13">
    <w:nsid w:val="7724C67E"/>
    <w:multiLevelType w:val="hybridMultilevel"/>
    <w:lvl w:ilvl="0">
      <w:lvlJc w:val="left"/>
      <w:lvlText w:val="(%1)"/>
      <w:numFmt w:val="lowerLetter"/>
      <w:start w:val="1"/>
    </w:lvl>
  </w:abstractNum>
  <w:abstractNum w:abstractNumId="14">
    <w:nsid w:val="5C482A97"/>
    <w:multiLevelType w:val="hybridMultilevel"/>
    <w:lvl w:ilvl="0">
      <w:lvlJc w:val="left"/>
      <w:lvlText w:val="(%1)"/>
      <w:numFmt w:val="lowerLetter"/>
      <w:start w:val="1"/>
    </w:lvl>
    <w:lvl w:ilvl="1">
      <w:lvlJc w:val="left"/>
      <w:lvlText w:val="(%2)"/>
      <w:numFmt w:val="lowerRoman"/>
      <w:start w:val="1"/>
    </w:lvl>
  </w:abstractNum>
  <w:abstractNum w:abstractNumId="15">
    <w:nsid w:val="2463B9EA"/>
    <w:multiLevelType w:val="hybridMultilevel"/>
    <w:lvl w:ilvl="0">
      <w:lvlJc w:val="left"/>
      <w:lvlText w:val="(%1)"/>
      <w:numFmt w:val="lowerRoman"/>
      <w:start w:val="3"/>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1)"/>
      <w:numFmt w:val="lowerLetter"/>
      <w:start w:val="2"/>
    </w:lvl>
  </w:abstractNum>
  <w:abstractNum w:abstractNumId="18">
    <w:nsid w:val="2D517796"/>
    <w:multiLevelType w:val="hybridMultilevel"/>
    <w:lvl w:ilvl="0">
      <w:lvlJc w:val="left"/>
      <w:lvlText w:val="(%1)"/>
      <w:numFmt w:val="lowerLetter"/>
      <w:start w:val="1"/>
    </w:lvl>
  </w:abstractNum>
  <w:abstractNum w:abstractNumId="19">
    <w:nsid w:val="580BD78F"/>
    <w:multiLevelType w:val="hybridMultilevel"/>
    <w:lvl w:ilvl="0">
      <w:lvlJc w:val="left"/>
      <w:lvlText w:val="(%1)"/>
      <w:numFmt w:val="lowerLetter"/>
      <w:start w:val="3"/>
    </w:lvl>
    <w:lvl w:ilvl="1">
      <w:lvlJc w:val="left"/>
      <w:lvlText w:val="(%2)"/>
      <w:numFmt w:val="lowerRoman"/>
      <w:start w:val="1"/>
    </w:lvl>
  </w:abstractNum>
  <w:abstractNum w:abstractNumId="20">
    <w:nsid w:val="153EA438"/>
    <w:multiLevelType w:val="hybridMultilevel"/>
    <w:lvl w:ilvl="0">
      <w:lvlJc w:val="left"/>
      <w:lvlText w:val="(%1)"/>
      <w:numFmt w:val="lowerLetter"/>
      <w:start w:val="1"/>
    </w:lvl>
  </w:abstractNum>
  <w:abstractNum w:abstractNumId="21">
    <w:nsid w:val="3855585C"/>
    <w:multiLevelType w:val="hybridMultilevel"/>
    <w:lvl w:ilvl="0">
      <w:lvlJc w:val="left"/>
      <w:lvlText w:val="(%1)"/>
      <w:numFmt w:val="lowerLetter"/>
      <w:start w:val="1"/>
    </w:lvl>
    <w:lvl w:ilvl="1">
      <w:lvlJc w:val="left"/>
      <w:lvlText w:val="(%2)"/>
      <w:numFmt w:val="lowerRoman"/>
      <w:start w:val="1"/>
    </w:lvl>
  </w:abstractNum>
  <w:abstractNum w:abstractNumId="22">
    <w:nsid w:val="70A64E2A"/>
    <w:multiLevelType w:val="hybridMultilevel"/>
    <w:lvl w:ilvl="0">
      <w:lvlJc w:val="left"/>
      <w:lvlText w:val="%1"/>
      <w:numFmt w:val="lowerLetter"/>
      <w:start w:val="1"/>
    </w:lvl>
    <w:lvl w:ilvl="1">
      <w:lvlJc w:val="left"/>
      <w:lvlText w:val="(%2)"/>
      <w:numFmt w:val="lowerRoman"/>
      <w:start w:val="4"/>
    </w:lvl>
  </w:abstractNum>
  <w:abstractNum w:abstractNumId="23">
    <w:nsid w:val="6A2342EC"/>
    <w:multiLevelType w:val="hybridMultilevel"/>
    <w:lvl w:ilvl="0">
      <w:lvlJc w:val="left"/>
      <w:lvlText w:val="(%1)"/>
      <w:numFmt w:val="lowerLetter"/>
      <w:start w:val="2"/>
    </w:lvl>
    <w:lvl w:ilvl="1">
      <w:lvlJc w:val="left"/>
      <w:lvlText w:val="%2"/>
      <w:numFmt w:val="lowerRoman"/>
      <w:start w:val="1"/>
    </w:lvl>
  </w:abstractNum>
  <w:abstractNum w:abstractNumId="24">
    <w:nsid w:val="2A487CB0"/>
    <w:multiLevelType w:val="hybridMultilevel"/>
    <w:lvl w:ilvl="0">
      <w:lvlJc w:val="left"/>
      <w:lvlText w:val="(%1)"/>
      <w:numFmt w:val="lowerLetter"/>
      <w:start w:val="5"/>
    </w:lvl>
  </w:abstractNum>
  <w:abstractNum w:abstractNumId="25">
    <w:nsid w:val="1D4ED43B"/>
    <w:multiLevelType w:val="hybridMultilevel"/>
    <w:lvl w:ilvl="0">
      <w:lvlJc w:val="left"/>
      <w:lvlText w:val="(%1)"/>
      <w:numFmt w:val="lowerLetter"/>
      <w:start w:val="1"/>
    </w:lvl>
  </w:abstractNum>
  <w:abstractNum w:abstractNumId="26">
    <w:nsid w:val="725A06FB"/>
    <w:multiLevelType w:val="hybridMultilevel"/>
    <w:lvl w:ilvl="0">
      <w:lvlJc w:val="left"/>
      <w:lvlText w:val="(%1)"/>
      <w:numFmt w:val="lowerLetter"/>
      <w:start w:val="1"/>
    </w:lvl>
  </w:abstractNum>
  <w:abstractNum w:abstractNumId="27">
    <w:nsid w:val="2CD89A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8">
    <w:nsid w:val="57E4CC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9">
    <w:nsid w:val="7A6D8D3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0">
    <w:nsid w:val="4B588F54"/>
    <w:multiLevelType w:val="hybridMultilevel"/>
    <w:lvl w:ilvl="0">
      <w:lvlJc w:val="left"/>
      <w:lvlText w:val="(%1)"/>
      <w:numFmt w:val="lowerLetter"/>
      <w:start w:val="5"/>
    </w:lvl>
    <w:lvl w:ilvl="1">
      <w:lvlJc w:val="left"/>
      <w:lvlText w:val="(%2)"/>
      <w:numFmt w:val="lowerRoman"/>
      <w:start w:val="1"/>
    </w:lvl>
  </w:abstractNum>
  <w:abstractNum w:abstractNumId="31">
    <w:nsid w:val="542289EC"/>
    <w:multiLevelType w:val="hybridMultilevel"/>
    <w:lvl w:ilvl="0">
      <w:lvlJc w:val="left"/>
      <w:lvlText w:val="%1."/>
      <w:numFmt w:val="decimal"/>
      <w:start w:val="4"/>
    </w:lvl>
  </w:abstractNum>
  <w:abstractNum w:abstractNumId="32">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
    <w:nsid w:val="38437FDB"/>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34">
    <w:nsid w:val="7644A45C"/>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35">
    <w:nsid w:val="32FFF90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6">
    <w:nsid w:val="684A481A"/>
    <w:multiLevelType w:val="hybridMultilevel"/>
    <w:lvl w:ilvl="0">
      <w:lvlJc w:val="left"/>
      <w:lvlText w:val="(%1)"/>
      <w:numFmt w:val="lowerRoman"/>
      <w:start w:val="1"/>
    </w:lvl>
  </w:abstractNum>
  <w:abstractNum w:abstractNumId="37">
    <w:nsid w:val="579478F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35"/>
    </w:lvl>
  </w:abstractNum>
  <w:abstractNum w:abstractNumId="38">
    <w:nsid w:val="749ABB43"/>
    <w:multiLevelType w:val="hybridMultilevel"/>
    <w:lvl w:ilvl="0">
      <w:lvlJc w:val="left"/>
      <w:lvlText w:val="%1"/>
      <w:numFmt w:val="lowerLetter"/>
      <w:start w:val="1"/>
    </w:lvl>
    <w:lvl w:ilvl="1">
      <w:lvlJc w:val="left"/>
      <w:lvlText w:val="(%2)"/>
      <w:numFmt w:val="lowerRoman"/>
      <w:start w:val="3"/>
    </w:lvl>
  </w:abstractNum>
  <w:abstractNum w:abstractNumId="39">
    <w:nsid w:val="3DC240FB"/>
    <w:multiLevelType w:val="hybridMultilevel"/>
    <w:lvl w:ilvl="0">
      <w:lvlJc w:val="left"/>
      <w:lvlText w:val="(%1)"/>
      <w:numFmt w:val="lowerLetter"/>
      <w:start w:val="3"/>
    </w:lvl>
    <w:lvl w:ilvl="1">
      <w:lvlJc w:val="left"/>
      <w:lvlText w:val="%2"/>
      <w:numFmt w:val="lowerRoman"/>
      <w:start w:val="1"/>
    </w:lvl>
  </w:abstractNum>
  <w:abstractNum w:abstractNumId="40">
    <w:nsid w:val="1BA026FA"/>
    <w:multiLevelType w:val="hybridMultilevel"/>
    <w:lvl w:ilvl="0">
      <w:lvlJc w:val="left"/>
      <w:lvlText w:val="(%1)"/>
      <w:numFmt w:val="lowerLetter"/>
      <w:start w:val="4"/>
    </w:lvl>
  </w:abstractNum>
  <w:abstractNum w:abstractNumId="41">
    <w:nsid w:val="79A1DEA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42">
    <w:nsid w:val="75C6C33A"/>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43">
    <w:nsid w:val="12E685FB"/>
    <w:multiLevelType w:val="hybridMultilevel"/>
    <w:lvl w:ilvl="0">
      <w:lvlJc w:val="left"/>
      <w:lvlText w:val="(%1)"/>
      <w:numFmt w:val="lowerLetter"/>
      <w:start w:val="61"/>
    </w:lvl>
    <w:lvl w:ilvl="1">
      <w:lvlJc w:val="left"/>
      <w:lvlText w:val="%2."/>
      <w:numFmt w:val="decimal"/>
      <w:start w:val="10"/>
    </w:lvl>
    <w:lvl w:ilvl="2">
      <w:lvlJc w:val="left"/>
      <w:lvlText w:val="(%3)"/>
      <w:numFmt w:val="lowerLetter"/>
      <w:start w:val="1"/>
    </w:lvl>
  </w:abstractNum>
  <w:abstractNum w:abstractNumId="44">
    <w:nsid w:val="70C6A529"/>
    <w:multiLevelType w:val="hybridMultilevel"/>
    <w:lvl w:ilvl="0">
      <w:lvlJc w:val="left"/>
      <w:lvlText w:val="(%1)"/>
      <w:numFmt w:val="lowerLetter"/>
      <w:start w:val="2"/>
    </w:lvl>
  </w:abstractNum>
  <w:abstractNum w:abstractNumId="45">
    <w:nsid w:val="520EEDD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6">
    <w:nsid w:val="374A3FE6"/>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7">
    <w:nsid w:val="4F4EF005"/>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48">
    <w:nsid w:val="23F9C13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49">
    <w:nsid w:val="649BB77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50">
    <w:nsid w:val="275AC794"/>
    <w:multiLevelType w:val="hybridMultilevel"/>
    <w:lvl w:ilvl="0">
      <w:lvlJc w:val="left"/>
      <w:lvlText w:val="%1."/>
      <w:numFmt w:val="decimal"/>
      <w:start w:val="14"/>
    </w:lvl>
    <w:lvl w:ilvl="1">
      <w:lvlJc w:val="left"/>
      <w:lvlText w:val="(%2)"/>
      <w:numFmt w:val="lowerLetter"/>
      <w:start w:val="1"/>
    </w:lvl>
  </w:abstractNum>
  <w:abstractNum w:abstractNumId="51">
    <w:nsid w:val="39386575"/>
    <w:multiLevelType w:val="hybridMultilevel"/>
    <w:lvl w:ilvl="0">
      <w:lvlJc w:val="left"/>
      <w:lvlText w:val="%1."/>
      <w:numFmt w:val="decimal"/>
      <w:start w:val="18"/>
    </w:lvl>
  </w:abstractNum>
  <w:abstractNum w:abstractNumId="52">
    <w:nsid w:val="1CF10FD8"/>
    <w:multiLevelType w:val="hybridMultilevel"/>
    <w:lvl w:ilvl="0">
      <w:lvlJc w:val="left"/>
      <w:lvlText w:val="%1."/>
      <w:numFmt w:val="decimal"/>
      <w:start w:val="20"/>
    </w:lvl>
  </w:abstractNum>
  <w:abstractNum w:abstractNumId="53">
    <w:nsid w:val="180115BE"/>
    <w:multiLevelType w:val="hybridMultilevel"/>
    <w:lvl w:ilvl="0">
      <w:lvlJc w:val="left"/>
      <w:lvlText w:val="%1."/>
      <w:numFmt w:val="decimal"/>
      <w:start w:val="21"/>
    </w:lvl>
  </w:abstractNum>
  <w:abstractNum w:abstractNumId="54">
    <w:nsid w:val="235BA861"/>
    <w:multiLevelType w:val="hybridMultilevel"/>
    <w:lvl w:ilvl="0">
      <w:lvlJc w:val="left"/>
      <w:lvlText w:val="%1."/>
      <w:numFmt w:val="decimal"/>
      <w:start w:val="1"/>
    </w:lvl>
    <w:lvl w:ilvl="1">
      <w:lvlJc w:val="left"/>
      <w:lvlText w:val="(%2)"/>
      <w:numFmt w:val="decimal"/>
      <w:start w:val="24"/>
    </w:lvl>
  </w:abstractNum>
  <w:abstractNum w:abstractNumId="55">
    <w:nsid w:val="47398C89"/>
    <w:multiLevelType w:val="hybridMultilevel"/>
    <w:lvl w:ilvl="0">
      <w:lvlJc w:val="left"/>
      <w:lvlText w:val="%1"/>
      <w:numFmt w:val="decimal"/>
      <w:start w:val="1"/>
    </w:lvl>
    <w:lvl w:ilvl="1">
      <w:lvlJc w:val="left"/>
      <w:lvlText w:val="(%2)"/>
      <w:numFmt w:val="decimal"/>
      <w:start w:val="12"/>
    </w:lvl>
  </w:abstractNum>
  <w:abstractNum w:abstractNumId="56">
    <w:nsid w:val="354FE9F9"/>
    <w:multiLevelType w:val="hybridMultilevel"/>
    <w:lvl w:ilvl="0">
      <w:lvlJc w:val="left"/>
      <w:lvlText w:val="%1."/>
      <w:numFmt w:val="upperLetter"/>
      <w:start w:val="1"/>
    </w:lvl>
  </w:abstractNum>
  <w:abstractNum w:abstractNumId="57">
    <w:nsid w:val="15B5AF5C"/>
    <w:multiLevelType w:val="hybridMultilevel"/>
    <w:lvl w:ilvl="0">
      <w:lvlJc w:val="left"/>
      <w:lvlText w:val="%1."/>
      <w:numFmt w:val="upperLetter"/>
      <w:start w:val="4"/>
    </w:lvl>
  </w:abstractNum>
  <w:abstractNum w:abstractNumId="58">
    <w:nsid w:val="741226BB"/>
    <w:multiLevelType w:val="hybridMultilevel"/>
    <w:lvl w:ilvl="0">
      <w:lvlJc w:val="left"/>
      <w:lvlText w:val="%1."/>
      <w:numFmt w:val="upperLetter"/>
      <w:start w:val="7"/>
    </w:lvl>
  </w:abstractNum>
  <w:abstractNum w:abstractNumId="59">
    <w:nsid w:val="D34B6A8"/>
    <w:multiLevelType w:val="hybridMultilevel"/>
    <w:lvl w:ilvl="0">
      <w:lvlJc w:val="left"/>
      <w:lvlText w:val="%1."/>
      <w:numFmt w:val="upperLetter"/>
      <w:start w:val="8"/>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2019-12-10T22:07:26Z</dcterms:created>
  <dcterms:modified xsi:type="dcterms:W3CDTF">2019-12-10T22:07:26Z</dcterms:modified>
</cp:coreProperties>
</file>