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42.52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68,900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55,316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the grant was March 2, 2020, and the shares vest as follows: 40% vest on the 2nd anniversary of the date of the grant, and an additional 20% vests on each of the 3rd, 4th and 5th anniversaries of the date of the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2, 2020), respectively.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2020-03-04T14:39:01Z</dcterms:created>
  <dcterms:modified xsi:type="dcterms:W3CDTF">2020-03-04T14:39:01Z</dcterms:modified>
</cp:coreProperties>
</file>