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333-212719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January 5, 2017</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$1,250,000,000 3.00% NOTES DUE 2024</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$1,250,000,000 3.30% NOTES DUE 2027</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Final Term Sheet</w:t>
      </w:r>
    </w:p>
    <w:p>
      <w:pPr>
        <w:sectPr>
          <w:pgSz w:w="11900" w:h="16838" w:orient="portrait"/>
          <w:cols w:equalWidth="0" w:num="1">
            <w:col w:w="11420"/>
          </w:cols>
          <w:pgMar w:left="240" w:top="229" w:right="239" w:bottom="1440" w:gutter="0" w:footer="0" w:header="0"/>
        </w:sectPr>
      </w:pP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Issuer:</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jc w:val="center"/>
        <w:ind w:right="4200"/>
        <w:spacing w:after="0"/>
        <w:rPr>
          <w:sz w:val="20"/>
          <w:szCs w:val="20"/>
          <w:color w:val="auto"/>
        </w:rPr>
      </w:pPr>
      <w:r>
        <w:rPr>
          <w:rFonts w:ascii="Arial" w:cs="Arial" w:eastAsia="Arial" w:hAnsi="Arial"/>
          <w:sz w:val="16"/>
          <w:szCs w:val="16"/>
          <w:color w:val="auto"/>
        </w:rPr>
        <w:t>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200" w:lineRule="exact"/>
        <w:rPr>
          <w:sz w:val="24"/>
          <w:szCs w:val="24"/>
          <w:color w:val="auto"/>
        </w:rPr>
      </w:pPr>
    </w:p>
    <w:p>
      <w:pPr>
        <w:sectPr>
          <w:pgSz w:w="11900" w:h="16838" w:orient="portrait"/>
          <w:cols w:equalWidth="0" w:num="2">
            <w:col w:w="3620" w:space="720"/>
            <w:col w:w="7080"/>
          </w:cols>
          <w:pgMar w:left="240" w:top="229" w:right="239" w:bottom="1440" w:gutter="0" w:footer="0" w:header="0"/>
          <w:type w:val="continuous"/>
        </w:sectPr>
      </w:pPr>
    </w:p>
    <w:p>
      <w:pPr>
        <w:spacing w:after="0" w:line="8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Guarantors:</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Comcast Cable Communications, LLC</w:t>
      </w:r>
    </w:p>
    <w:p>
      <w:pPr>
        <w:spacing w:after="0" w:line="59" w:lineRule="exact"/>
        <w:rPr>
          <w:sz w:val="24"/>
          <w:szCs w:val="24"/>
          <w:color w:val="auto"/>
        </w:rPr>
      </w:pPr>
    </w:p>
    <w:p>
      <w:pPr>
        <w:sectPr>
          <w:pgSz w:w="11900" w:h="16838" w:orient="portrait"/>
          <w:cols w:equalWidth="0" w:num="2">
            <w:col w:w="3620" w:space="720"/>
            <w:col w:w="7080"/>
          </w:cols>
          <w:pgMar w:left="240" w:top="229" w:right="239" w:bottom="1440" w:gutter="0" w:footer="0" w:header="0"/>
          <w:type w:val="continuous"/>
        </w:sectPr>
      </w:pPr>
    </w:p>
    <w:p>
      <w:pPr>
        <w:ind w:left="4340"/>
        <w:spacing w:after="0"/>
        <w:rPr>
          <w:sz w:val="20"/>
          <w:szCs w:val="20"/>
          <w:color w:val="auto"/>
        </w:rPr>
      </w:pPr>
      <w:r>
        <w:rPr>
          <w:rFonts w:ascii="Arial" w:cs="Arial" w:eastAsia="Arial" w:hAnsi="Arial"/>
          <w:sz w:val="17"/>
          <w:szCs w:val="17"/>
          <w:color w:val="auto"/>
        </w:rPr>
        <w:t>NBCUniversal Media, LLC</w:t>
      </w:r>
    </w:p>
    <w:p>
      <w:pPr>
        <w:sectPr>
          <w:pgSz w:w="11900" w:h="16838" w:orient="portrait"/>
          <w:cols w:equalWidth="0" w:num="1">
            <w:col w:w="11420"/>
          </w:cols>
          <w:pgMar w:left="240" w:top="229" w:right="239" w:bottom="1440" w:gutter="0" w:footer="0" w:header="0"/>
          <w:type w:val="continuous"/>
        </w:sectPr>
      </w:pPr>
    </w:p>
    <w:p>
      <w:pPr>
        <w:spacing w:after="0" w:line="26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Issue of Securities:</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Arial" w:cs="Arial" w:eastAsia="Arial" w:hAnsi="Arial"/>
          <w:sz w:val="16"/>
          <w:szCs w:val="16"/>
          <w:color w:val="auto"/>
        </w:rPr>
        <w:t>3.00% Notes due 2024</w:t>
      </w:r>
    </w:p>
    <w:p>
      <w:pPr>
        <w:spacing w:after="0" w:line="59" w:lineRule="exact"/>
        <w:rPr>
          <w:sz w:val="24"/>
          <w:szCs w:val="24"/>
          <w:color w:val="auto"/>
        </w:rPr>
      </w:pPr>
    </w:p>
    <w:p>
      <w:pPr>
        <w:sectPr>
          <w:pgSz w:w="11900" w:h="16838" w:orient="portrait"/>
          <w:cols w:equalWidth="0" w:num="2">
            <w:col w:w="3620" w:space="720"/>
            <w:col w:w="7080"/>
          </w:cols>
          <w:pgMar w:left="240" w:top="22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3.30% Notes due 2027</w:t>
      </w:r>
    </w:p>
    <w:p>
      <w:pPr>
        <w:sectPr>
          <w:pgSz w:w="11900" w:h="16838" w:orient="portrait"/>
          <w:cols w:equalWidth="0" w:num="1">
            <w:col w:w="11420"/>
          </w:cols>
          <w:pgMar w:left="240" w:top="229" w:right="239" w:bottom="1440" w:gutter="0" w:footer="0" w:header="0"/>
          <w:type w:val="continuous"/>
        </w:sectPr>
      </w:pPr>
    </w:p>
    <w:p>
      <w:pPr>
        <w:spacing w:after="0" w:line="27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Denominations:</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color w:val="auto"/>
        </w:rPr>
        <w:t>$2,000 and multiples of $1,000 in excess thereof</w:t>
      </w:r>
    </w:p>
    <w:p>
      <w:pPr>
        <w:spacing w:after="0" w:line="200" w:lineRule="exact"/>
        <w:rPr>
          <w:sz w:val="24"/>
          <w:szCs w:val="24"/>
          <w:color w:val="auto"/>
        </w:rPr>
      </w:pPr>
    </w:p>
    <w:p>
      <w:pPr>
        <w:sectPr>
          <w:pgSz w:w="11900" w:h="16838" w:orient="portrait"/>
          <w:cols w:equalWidth="0" w:num="2">
            <w:col w:w="3620" w:space="720"/>
            <w:col w:w="7080"/>
          </w:cols>
          <w:pgMar w:left="240" w:top="229" w:right="239" w:bottom="1440" w:gutter="0" w:footer="0" w:header="0"/>
          <w:type w:val="continuous"/>
        </w:sectPr>
      </w:pPr>
    </w:p>
    <w:p>
      <w:pPr>
        <w:spacing w:after="0" w:line="8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ind w:right="140"/>
        <w:spacing w:after="0" w:line="293" w:lineRule="auto"/>
        <w:rPr>
          <w:sz w:val="20"/>
          <w:szCs w:val="20"/>
          <w:color w:val="auto"/>
        </w:rPr>
      </w:pPr>
      <w:r>
        <w:rPr>
          <w:rFonts w:ascii="Arial" w:cs="Arial" w:eastAsia="Arial" w:hAnsi="Arial"/>
          <w:sz w:val="16"/>
          <w:szCs w:val="16"/>
          <w:color w:val="auto"/>
        </w:rPr>
        <w:t>We intend to use the net proceeds from the offering, after deducting underwriters’ discount and expenses, for working capital and general corporate purposes, which may include redemption or repayment of our 6.500% notes due January 15, 2017 ($1 billion principal amount outstanding) and repayment of a portion of our outstanding commercial paper. As of January 5, 2017, our commercial paper had a weighted average annual interest rate of approximately 1.020% and a weighted average remaining maturity of approximately 17 days.</w:t>
      </w:r>
    </w:p>
    <w:p>
      <w:pPr>
        <w:spacing w:after="0" w:line="188" w:lineRule="exact"/>
        <w:rPr>
          <w:sz w:val="24"/>
          <w:szCs w:val="24"/>
          <w:color w:val="auto"/>
        </w:rPr>
      </w:pPr>
    </w:p>
    <w:p>
      <w:pPr>
        <w:sectPr>
          <w:pgSz w:w="11900" w:h="16838" w:orient="portrait"/>
          <w:cols w:equalWidth="0" w:num="2">
            <w:col w:w="3620" w:space="720"/>
            <w:col w:w="708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Indenture:</w:t>
      </w:r>
    </w:p>
    <w:p>
      <w:pPr>
        <w:spacing w:after="0" w:line="20" w:lineRule="exact"/>
        <w:rPr>
          <w:sz w:val="24"/>
          <w:szCs w:val="24"/>
          <w:color w:val="auto"/>
        </w:rPr>
      </w:pPr>
      <w:r>
        <w:rPr>
          <w:sz w:val="24"/>
          <w:szCs w:val="24"/>
          <w:color w:val="auto"/>
        </w:rPr>
        <w:br w:type="column"/>
      </w:r>
    </w:p>
    <w:p>
      <w:pPr>
        <w:ind w:right="260"/>
        <w:spacing w:after="0" w:line="279" w:lineRule="auto"/>
        <w:rPr>
          <w:sz w:val="20"/>
          <w:szCs w:val="20"/>
          <w:color w:val="auto"/>
        </w:rPr>
      </w:pPr>
      <w:r>
        <w:rPr>
          <w:rFonts w:ascii="Arial" w:cs="Arial" w:eastAsia="Arial" w:hAnsi="Arial"/>
          <w:sz w:val="17"/>
          <w:szCs w:val="17"/>
          <w:color w:val="auto"/>
        </w:rPr>
        <w:t>Indenture dated as of September 18, 2013 by and among the Company, the guarantors named therein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amended by the First Supplemental Indenture dated as of November 17, 2015 by and among the Company, the guarantors named therein and the Trustee.</w:t>
      </w:r>
    </w:p>
    <w:p>
      <w:pPr>
        <w:sectPr>
          <w:pgSz w:w="11900" w:h="16838" w:orient="portrait"/>
          <w:cols w:equalWidth="0" w:num="2">
            <w:col w:w="3620" w:space="720"/>
            <w:col w:w="7080"/>
          </w:cols>
          <w:pgMar w:left="240" w:top="2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Trustee:</w:t>
      </w:r>
    </w:p>
    <w:p>
      <w:pPr>
        <w:spacing w:after="0" w:line="20" w:lineRule="exact"/>
        <w:rPr>
          <w:sz w:val="20"/>
          <w:szCs w:val="20"/>
          <w:color w:val="auto"/>
        </w:rPr>
      </w:pPr>
      <w:r>
        <w:rPr>
          <w:sz w:val="20"/>
          <w:szCs w:val="20"/>
          <w:color w:val="auto"/>
        </w:rPr>
        <w:br w:type="column"/>
      </w:r>
    </w:p>
    <w:p>
      <w:pPr>
        <w:jc w:val="center"/>
        <w:ind w:right="3639"/>
        <w:spacing w:after="0"/>
        <w:rPr>
          <w:sz w:val="20"/>
          <w:szCs w:val="20"/>
          <w:color w:val="auto"/>
        </w:rPr>
      </w:pPr>
      <w:r>
        <w:rPr>
          <w:rFonts w:ascii="Arial" w:cs="Arial" w:eastAsia="Arial" w:hAnsi="Arial"/>
          <w:sz w:val="16"/>
          <w:szCs w:val="16"/>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-201295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720"/>
            <w:col w:w="5879"/>
          </w:cols>
          <w:pgMar w:left="240" w:top="270" w:right="1440" w:bottom="1440" w:gutter="0" w:footer="0" w:header="0"/>
        </w:sectPr>
      </w:pP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Expected Ratings: </w:t>
      </w:r>
      <w:r>
        <w:rPr>
          <w:rFonts w:ascii="Arial" w:cs="Arial" w:eastAsia="Arial" w:hAnsi="Arial"/>
          <w:sz w:val="13"/>
          <w:szCs w:val="13"/>
          <w:b w:val="1"/>
          <w:bCs w:val="1"/>
          <w:color w:val="auto"/>
        </w:rPr>
        <w:t>1</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Moody’s: A3; S&amp;P: A-; Fitch: A-</w:t>
      </w:r>
    </w:p>
    <w:p>
      <w:pPr>
        <w:spacing w:after="0" w:line="200" w:lineRule="exact"/>
        <w:rPr>
          <w:sz w:val="20"/>
          <w:szCs w:val="20"/>
          <w:color w:val="auto"/>
        </w:rPr>
      </w:pPr>
    </w:p>
    <w:p>
      <w:pPr>
        <w:sectPr>
          <w:pgSz w:w="11900" w:h="16838" w:orient="portrait"/>
          <w:cols w:equalWidth="0" w:num="2">
            <w:col w:w="3620" w:space="720"/>
            <w:col w:w="5879"/>
          </w:cols>
          <w:pgMar w:left="240" w:top="270" w:right="1440"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Credit Suisse Securities (USA)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200" w:lineRule="exact"/>
        <w:rPr>
          <w:sz w:val="20"/>
          <w:szCs w:val="20"/>
          <w:color w:val="auto"/>
        </w:rPr>
      </w:pPr>
    </w:p>
    <w:p>
      <w:pPr>
        <w:sectPr>
          <w:pgSz w:w="11900" w:h="16838" w:orient="portrait"/>
          <w:cols w:equalWidth="0" w:num="2">
            <w:col w:w="3620" w:space="720"/>
            <w:col w:w="5879"/>
          </w:cols>
          <w:pgMar w:left="240" w:top="270" w:right="1440"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Commerz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DNB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ICBC Standard Bank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SG Americas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Allen &amp;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Evercore Group L.L.C.</w:t>
      </w:r>
    </w:p>
    <w:p>
      <w:pPr>
        <w:spacing w:after="0" w:line="200" w:lineRule="exact"/>
        <w:rPr>
          <w:sz w:val="20"/>
          <w:szCs w:val="20"/>
          <w:color w:val="auto"/>
        </w:rPr>
      </w:pPr>
    </w:p>
    <w:p>
      <w:pPr>
        <w:sectPr>
          <w:pgSz w:w="11900" w:h="16838" w:orient="portrait"/>
          <w:cols w:equalWidth="0" w:num="2">
            <w:col w:w="3620" w:space="720"/>
            <w:col w:w="5879"/>
          </w:cols>
          <w:pgMar w:left="240" w:top="270" w:right="1440"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Junior Co-Managers: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Academy Securities,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CastleOak Securities,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 King &amp; Associates,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Loop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MFR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Mischler Financial Group,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Samuel A. Ramirez &amp; Company,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Williams Capital Group, L.P.</w:t>
      </w:r>
    </w:p>
    <w:p>
      <w:pPr>
        <w:spacing w:after="0" w:line="200" w:lineRule="exact"/>
        <w:rPr>
          <w:sz w:val="20"/>
          <w:szCs w:val="20"/>
          <w:color w:val="auto"/>
        </w:rPr>
      </w:pPr>
    </w:p>
    <w:p>
      <w:pPr>
        <w:sectPr>
          <w:pgSz w:w="11900" w:h="16838" w:orient="portrait"/>
          <w:cols w:equalWidth="0" w:num="2">
            <w:col w:w="3620" w:space="720"/>
            <w:col w:w="5879"/>
          </w:cols>
          <w:pgMar w:left="240" w:top="270" w:right="1440"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 Date:</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January 5, 2017</w:t>
      </w:r>
    </w:p>
    <w:p>
      <w:pPr>
        <w:spacing w:after="0" w:line="218" w:lineRule="exact"/>
        <w:rPr>
          <w:sz w:val="20"/>
          <w:szCs w:val="20"/>
          <w:color w:val="auto"/>
        </w:rPr>
      </w:pPr>
    </w:p>
    <w:p>
      <w:pPr>
        <w:sectPr>
          <w:pgSz w:w="11900" w:h="16838" w:orient="portrait"/>
          <w:cols w:equalWidth="0" w:num="2">
            <w:col w:w="3620" w:space="720"/>
            <w:col w:w="5879"/>
          </w:cols>
          <w:pgMar w:left="240" w:top="270" w:right="1440"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January 10, 2017 (T+3)</w:t>
      </w:r>
    </w:p>
    <w:p>
      <w:pPr>
        <w:spacing w:after="0" w:line="200" w:lineRule="exact"/>
        <w:rPr>
          <w:sz w:val="20"/>
          <w:szCs w:val="20"/>
          <w:color w:val="auto"/>
        </w:rPr>
      </w:pPr>
    </w:p>
    <w:p>
      <w:pPr>
        <w:sectPr>
          <w:pgSz w:w="11900" w:h="16838" w:orient="portrait"/>
          <w:cols w:equalWidth="0" w:num="2">
            <w:col w:w="3620" w:space="720"/>
            <w:col w:w="5879"/>
          </w:cols>
          <w:pgMar w:left="240" w:top="270" w:right="1440"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4"/>
          <w:szCs w:val="14"/>
          <w:color w:val="auto"/>
        </w:rPr>
      </w:pPr>
      <w:r>
        <w:rPr>
          <w:rFonts w:ascii="Arial" w:cs="Arial" w:eastAsia="Arial" w:hAnsi="Arial"/>
          <w:sz w:val="16"/>
          <w:szCs w:val="16"/>
          <w:color w:val="auto"/>
        </w:rPr>
        <w:t>A securities rating is not a recommendation to buy, sell or hold securities and may be subject to revision or withdrawal at any time.</w:t>
      </w:r>
    </w:p>
    <w:p>
      <w:pPr>
        <w:sectPr>
          <w:pgSz w:w="11900" w:h="16838" w:orient="portrait"/>
          <w:cols w:equalWidth="0" w:num="1">
            <w:col w:w="10219"/>
          </w:cols>
          <w:pgMar w:left="240" w:top="270" w:right="1440" w:bottom="1440" w:gutter="0" w:footer="0" w:header="0"/>
          <w:type w:val="continuous"/>
        </w:sectPr>
      </w:pPr>
    </w:p>
    <w:bookmarkStart w:id="2" w:name="page3"/>
    <w:bookmarkEnd w:id="2"/>
    <w:p>
      <w:pPr>
        <w:ind w:left="20"/>
        <w:spacing w:after="0"/>
        <w:rPr>
          <w:sz w:val="20"/>
          <w:szCs w:val="20"/>
          <w:color w:val="auto"/>
        </w:rPr>
      </w:pPr>
      <w:r>
        <w:rPr>
          <w:rFonts w:ascii="Arial" w:cs="Arial" w:eastAsia="Arial" w:hAnsi="Arial"/>
          <w:sz w:val="18"/>
          <w:szCs w:val="18"/>
          <w:b w:val="1"/>
          <w:bCs w:val="1"/>
          <w:u w:val="single" w:color="auto"/>
          <w:color w:val="auto"/>
        </w:rPr>
        <w:t>3.00% Notes Due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 Price/Yield: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Discount:</w:t>
      </w: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$1,250,000,000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-507365</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February 1, 2024</w:t>
      </w:r>
    </w:p>
    <w:p>
      <w:pPr>
        <w:spacing w:after="0" w:line="26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3.00% per annum, accruing from January 10, 2017 (calculated on the basis of a 360-day year consisting of twelve 30-day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February 1 and August 1, commencing August 1, 2017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UST 2.25% due December 31, 2023</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100-14+ / 2.180%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+85 bps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3.030%</w:t>
      </w:r>
    </w:p>
    <w:p>
      <w:pPr>
        <w:spacing w:after="0" w:line="26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3.00% Notes due 2024 are redeemable at the option of the Company at any time, in whole or in part, at the “Redemption Price.” Prior to January 1, 2024 (one month prior to the maturity of the 3.00% Notes due 2024) (the “Par Call Date”), the Redemption Price is the greater of (i) 100% of the principal amount of such notes, and (ii) the sum of the present values of the principal amount of such notes and the scheduled payments of interest thereon (exclusive of interest accrued to the date of redemption) from the redemption date to the Par Call Date, in each case discounted to the redemption date on a semiannual basis at the Treasury Rate plus 15 basis points. On and after the Par Call Date, the Redemption Price will equal 100% of the principal amount of such notes. In each case described in this paragraph, the Redemption Price will include accrued and unpaid interest thereon to the date of redemption</w:t>
      </w:r>
    </w:p>
    <w:p>
      <w:pPr>
        <w:spacing w:after="0" w:line="19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An unlimited amount of additional 3.00% Notes due 2024 may be issued. The 3.00% Notes due 2024 and any additional 3.00% Notes due 2024 that may be issued may be treated as a single series for all purposes under the indenture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20030N BX8 / US20030NBX84</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99.809% plus accrued interest, if any, from January 10, 2017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0.350%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99.459% per $1,000 principal amount of 3.00% Notes due 2024; $1,243,237,500 total</w:t>
      </w:r>
    </w:p>
    <w:p>
      <w:pPr>
        <w:sectPr>
          <w:pgSz w:w="11900" w:h="16838" w:orient="portrait"/>
          <w:cols w:equalWidth="0" w:num="2">
            <w:col w:w="3620" w:space="720"/>
            <w:col w:w="7060"/>
          </w:cols>
          <w:pgMar w:left="240" w:top="27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3.30% Notes Due 2027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 Price/Yield: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Discount:</w:t>
      </w: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$1,250,000,000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-507365</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February 1, 2027</w:t>
      </w:r>
    </w:p>
    <w:p>
      <w:pPr>
        <w:spacing w:after="0" w:line="2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3.30% per annum, accruing from January 10, 2017 (calculated on the basis of a 360-day year consisting of twelve 30-day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February 1 and August 1, commencing August 1, 2017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UST 2.00% due November 15, 2026</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96-23+ / 2.373%</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+95 bps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3.323%</w:t>
      </w:r>
    </w:p>
    <w:p>
      <w:pPr>
        <w:spacing w:after="0" w:line="266"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 3.30% Notes due 2027 are redeemable at the option of the Company at any time, in whole or in part, at the “Redemption Price.” Prior to November 1, 2026 (three months prior to the maturity of the 3.30% Notes due 2027) (the “Par Call Date”), the Redemption Price is the greater of</w:t>
      </w:r>
    </w:p>
    <w:p>
      <w:pPr>
        <w:ind w:firstLine="3"/>
        <w:spacing w:after="0" w:line="269" w:lineRule="auto"/>
        <w:tabs>
          <w:tab w:leader="none" w:pos="215" w:val="left"/>
        </w:tabs>
        <w:numPr>
          <w:ilvl w:val="0"/>
          <w:numId w:val="2"/>
        </w:numPr>
        <w:rPr>
          <w:rFonts w:ascii="Arial" w:cs="Arial" w:eastAsia="Arial" w:hAnsi="Arial"/>
          <w:sz w:val="17"/>
          <w:szCs w:val="17"/>
          <w:color w:val="auto"/>
        </w:rPr>
      </w:pPr>
      <w:r>
        <w:rPr>
          <w:rFonts w:ascii="Arial" w:cs="Arial" w:eastAsia="Arial" w:hAnsi="Arial"/>
          <w:sz w:val="17"/>
          <w:szCs w:val="17"/>
          <w:color w:val="auto"/>
        </w:rPr>
        <w:t>100% of the principal amount of such notes, and (ii) the sum of the present values of the principal amount of such notes and the scheduled payments of interest thereon (exclusive of interest accrued to the date of redemption) from the redemption date to the Par Call Date, in each case discounted to the redemption date on a semiannual basis at the Treasury Rate plus 15 basis points. On and after the Par Call Date, the Redemption Price will equal 100% of the principal amount of such notes. In each case described in this paragraph, the Redemption Price will include accrued and unpaid interest thereon to the date of redemption</w:t>
      </w:r>
    </w:p>
    <w:p>
      <w:pPr>
        <w:spacing w:after="0" w:line="20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 unlimited amount of additional 3.30% Notes due 2027 may be issued. The 3.30% Notes due 2027 and any additional 3.30% Notes due 2027 that may be issued may be treated as a single series for all purposes under the indenture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20030N BY6 / US20030NBY67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99.803% plus accrued interest, if any, from January 10, 2017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0.450%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99.353% per $1,000 principal amount of 3.30% Notes due 2027; $1,241,912,500 total</w:t>
      </w:r>
    </w:p>
    <w:p>
      <w:pPr>
        <w:sectPr>
          <w:pgSz w:w="11900" w:h="16838" w:orient="portrait"/>
          <w:cols w:equalWidth="0" w:num="2">
            <w:col w:w="3620" w:space="720"/>
            <w:col w:w="7040"/>
          </w:cols>
          <w:pgMar w:left="240" w:top="270" w:right="279" w:bottom="1440" w:gutter="0" w:footer="0" w:header="0"/>
        </w:sectPr>
      </w:pPr>
    </w:p>
    <w:bookmarkStart w:id="4" w:name="page5"/>
    <w:bookmarkEnd w:id="4"/>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BNP Paribas Securities Corp. at 1-800-854-5674, Credit Suisse Securities (USA) LLC at 1-800-221-1037 or Wells Fargo Securities, LLC at 1-800-645-3751.</w:t>
      </w:r>
    </w:p>
    <w:sectPr>
      <w:pgSz w:w="11900" w:h="16838" w:orient="portrait"/>
      <w:cols w:equalWidth="0" w:num="1">
        <w:col w:w="11260"/>
      </w:cols>
      <w:pgMar w:left="240" w:top="27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2019-12-06T17:09:44Z</dcterms:created>
  <dcterms:modified xsi:type="dcterms:W3CDTF">2019-12-06T17:09:44Z</dcterms:modified>
</cp:coreProperties>
</file>