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448310</wp:posOffset>
            </wp:positionV>
            <wp:extent cx="142367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440" w:hanging="432"/>
        <w:spacing w:after="0"/>
        <w:tabs>
          <w:tab w:leader="none" w:pos="4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1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440" w:hanging="432"/>
        <w:spacing w:after="0"/>
        <w:tabs>
          <w:tab w:leader="none" w:pos="4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540"/>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SPECTACOR 401(k) PLAN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SPECTACOR 401(k) PLAN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gridSpan w:val="7"/>
            <w:vMerge w:val="restart"/>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REPORT OF INDEPENDENT REGISTERED PUBLIC ACCOUNTING FIRM</w:t>
              </w:r>
            </w:hyperlink>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780" w:type="dxa"/>
            <w:vAlign w:val="bottom"/>
            <w:gridSpan w:val="7"/>
            <w:vMerge w:val="continue"/>
          </w:tcPr>
          <w:p>
            <w:pPr>
              <w:spacing w:after="0"/>
              <w:rPr>
                <w:sz w:val="13"/>
                <w:szCs w:val="13"/>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9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1060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Statements of Net Assets Available for Benefits as of December 31, 2013 and 2012</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600" w:type="dxa"/>
            <w:vAlign w:val="bottom"/>
            <w:gridSpan w:val="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Statement of Changes in Net Assets Available for Benefits for the Year Ended December 31, 2013</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Notes to Financial Statements</w:t>
              </w:r>
            </w:hyperlink>
          </w:p>
        </w:tc>
        <w:tc>
          <w:tcPr>
            <w:tcW w:w="352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SCHEDULES -</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0600" w:type="dxa"/>
            <w:vAlign w:val="bottom"/>
            <w:gridSpan w:val="6"/>
          </w:tcPr>
          <w:p>
            <w:pPr>
              <w:spacing w:after="0" w:line="194"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Form 5500, Schedule H—Part IV, Line 4i—Schedule of Assets (Held at End of Year) as of December 31, 2013</w:t>
              </w:r>
            </w:hyperlink>
          </w:p>
        </w:tc>
        <w:tc>
          <w:tcPr>
            <w:tcW w:w="6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Form 5500, Schedule H—Part IV, Line 4a—Schedule of Delinquent Participant Contributions for years ended December 31, 2013, 2012, 2011,</w:t>
              </w:r>
            </w:hyperlink>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2010 and 2009</w:t>
              </w:r>
            </w:hyperlink>
          </w:p>
        </w:tc>
        <w:tc>
          <w:tcPr>
            <w:tcW w:w="944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412"/>
        </w:trPr>
        <w:tc>
          <w:tcPr>
            <w:tcW w:w="5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CONSENT OF INDEPENDENT REGISTERED PUBLIC ACCOUNTING FIRM</w:t>
              </w:r>
            </w:hyperlink>
          </w:p>
        </w:tc>
        <w:tc>
          <w:tcPr>
            <w:tcW w:w="492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10880" w:type="dxa"/>
            <w:vAlign w:val="bottom"/>
            <w:gridSpan w:val="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SIGNATURE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440" w:right="500"/>
        <w:spacing w:after="0" w:line="282" w:lineRule="auto"/>
        <w:rPr>
          <w:sz w:val="20"/>
          <w:szCs w:val="20"/>
          <w:color w:val="auto"/>
        </w:rPr>
      </w:pPr>
      <w:r>
        <w:rPr>
          <w:rFonts w:ascii="Times New Roman" w:cs="Times New Roman" w:eastAsia="Times New Roman" w:hAnsi="Times New Roman"/>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 and Participants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Comcast Spectacor 401(k) Plan (the “Plan”) as of December 31, 2013 and 2012, and the related statement of changes in net assets available for benefits for the year ended December 31, 2013.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our opinion, such financial statements present fairly, in all material respects, the net assets available for benefits of the Plan as of December 31, 2013 and 2012, and the changes in net assets available for benefits for the year ended December 31, 2013 in conformity with accounting principles generally accepted in the United States of America.</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audits were conducted for the purpose of forming an opinion on the basic financial statements taken as a whole. The supplemental schedules of (1) assets (held at end of year) as of December 31, 2013 and (2) delinquent participant contributions for the years ended December 31, 2013, 2012, 2011, 2010, and 2009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schedules are the responsibility of the Plan’s management. Such schedules have been subjected to the auditing procedures applied in our audit of the basic 2013 financial statements and, in our opinion, are fairly stated in all material respects when considered in relation to the basic financial statements taken as a whole.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2014</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SPECTACOR 401(k)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2013 AND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Participant-directed investments, at fair value</w:t>
            </w:r>
          </w:p>
        </w:tc>
        <w:tc>
          <w:tcPr>
            <w:tcW w:w="3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93,262,686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77,487,054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2,517,719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Contributions receivable from participants</w:t>
            </w: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117,092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Contributions receivable from employer</w:t>
            </w:r>
          </w:p>
        </w:tc>
        <w:tc>
          <w:tcPr>
            <w:tcW w:w="3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73,783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receivables</w:t>
            </w:r>
          </w:p>
        </w:tc>
        <w:tc>
          <w:tcPr>
            <w:tcW w:w="3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2,708,594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95,971,280</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79,726,081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6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SPECTACOR 401(k)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ADDITIONS:</w:t>
            </w:r>
          </w:p>
        </w:tc>
        <w:tc>
          <w:tcPr>
            <w:tcW w:w="4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5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13,503,573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2,497,985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investment income</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16,001,558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Participant</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6,231,175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4,056,578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Rollover</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contributions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10,421,528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additions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26,542,421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5,681,032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expenses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5,706,686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before transfers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20,835,735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out of Philadelphia 76ers, L.P.</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16,245,199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year</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79,726,081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5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95,971,280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4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gridSpan w:val="2"/>
            <w:vMerge w:val="continue"/>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78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2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SPECTACOR 401(k)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2013 AND 2012, YEAR ENDED DECEMBER 31, 2013</w:t>
      </w:r>
    </w:p>
    <w:p>
      <w:pPr>
        <w:spacing w:after="0" w:line="203" w:lineRule="exact"/>
        <w:rPr>
          <w:sz w:val="20"/>
          <w:szCs w:val="20"/>
          <w:color w:val="auto"/>
        </w:rPr>
      </w:pPr>
    </w:p>
    <w:p>
      <w:pPr>
        <w:ind w:left="440" w:right="9220" w:hanging="432"/>
        <w:spacing w:after="0" w:line="503" w:lineRule="auto"/>
        <w:tabs>
          <w:tab w:leader="none" w:pos="44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DESCRIPTION </w:t>
      </w:r>
      <w:r>
        <w:rPr>
          <w:rFonts w:ascii="Times New Roman" w:cs="Times New Roman" w:eastAsia="Times New Roman" w:hAnsi="Times New Roman"/>
          <w:sz w:val="18"/>
          <w:szCs w:val="18"/>
          <w:u w:val="single" w:color="auto"/>
          <w:color w:val="auto"/>
        </w:rPr>
        <w:t>General</w:t>
      </w:r>
    </w:p>
    <w:p>
      <w:pPr>
        <w:ind w:left="44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Comcast Spectacor 401(k) Plan (the “Plan”) provides only general information. Plan participants should refer to the Plan document for a complete description of the Plan’s provisions.</w:t>
      </w:r>
    </w:p>
    <w:p>
      <w:pPr>
        <w:spacing w:after="0" w:line="161" w:lineRule="exact"/>
        <w:rPr>
          <w:rFonts w:ascii="Times New Roman" w:cs="Times New Roman" w:eastAsia="Times New Roman" w:hAnsi="Times New Roman"/>
          <w:sz w:val="18"/>
          <w:szCs w:val="18"/>
          <w:b w:val="1"/>
          <w:bCs w:val="1"/>
          <w:color w:val="auto"/>
        </w:rPr>
      </w:pPr>
    </w:p>
    <w:p>
      <w:pPr>
        <w:jc w:val="both"/>
        <w:ind w:left="4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date of the Plan is January 1, 1992. The Plan is a defined contribution plan and is subject to the provisions of the Employee Retirement Income Security Act of 1974 (“ERISA”). The Plan covers “eligible employees,” who have completed the requisite hours of service, as defined in the Plan document, and have attained age 21. The following entities participate in the Plan, referred to collectively as “the Company”:</w:t>
      </w:r>
    </w:p>
    <w:p>
      <w:pPr>
        <w:spacing w:after="0" w:line="176" w:lineRule="exact"/>
        <w:rPr>
          <w:rFonts w:ascii="Times New Roman" w:cs="Times New Roman" w:eastAsia="Times New Roman" w:hAnsi="Times New Roman"/>
          <w:sz w:val="18"/>
          <w:szCs w:val="18"/>
          <w:b w:val="1"/>
          <w:bCs w:val="1"/>
          <w:color w:val="auto"/>
        </w:rPr>
      </w:pPr>
    </w:p>
    <w:p>
      <w:pPr>
        <w:ind w:left="840" w:hanging="281"/>
        <w:spacing w:after="0"/>
        <w:tabs>
          <w:tab w:leader="none" w:pos="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Spectacor, L.P. (Plan Sponsor or Plan Administrator)</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Arena Limited Partnership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Philadelphia Flyers, L.P.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Comcast-Spectacor Foundation</w:t>
      </w:r>
    </w:p>
    <w:p>
      <w:pPr>
        <w:sectPr>
          <w:pgSz w:w="11900" w:h="16838" w:orient="portrait"/>
          <w:cols w:equalWidth="0" w:num="1">
            <w:col w:w="11460"/>
          </w:cols>
          <w:pgMar w:left="240" w:top="364" w:right="199" w:bottom="0" w:gutter="0" w:footer="0" w:header="0"/>
        </w:sectPr>
      </w:pPr>
    </w:p>
    <w:bookmarkStart w:id="3" w:name="page4"/>
    <w:bookmarkEnd w:id="3"/>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Flyers Skate Zone, L.P.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Spectrum, L.P.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Spectacor, LLC</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Patron Solutions, L.P.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FPS Rinks, L.P.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Pilots II, Inc.</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Snider Youth Hockey Foundation</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Row Marketing Services, L.P.</w:t>
      </w:r>
    </w:p>
    <w:p>
      <w:pPr>
        <w:spacing w:after="0" w:line="225" w:lineRule="exact"/>
        <w:rPr>
          <w:rFonts w:ascii="Times New Roman" w:cs="Times New Roman" w:eastAsia="Times New Roman" w:hAnsi="Times New Roman"/>
          <w:sz w:val="18"/>
          <w:szCs w:val="18"/>
          <w:color w:val="auto"/>
        </w:rPr>
      </w:pPr>
    </w:p>
    <w:p>
      <w:pPr>
        <w:ind w:left="840" w:hanging="28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Paciolan, Inc.</w:t>
      </w:r>
    </w:p>
    <w:p>
      <w:pPr>
        <w:spacing w:after="0" w:line="225" w:lineRule="exact"/>
        <w:rPr>
          <w:sz w:val="20"/>
          <w:szCs w:val="20"/>
          <w:color w:val="auto"/>
        </w:rPr>
      </w:pPr>
    </w:p>
    <w:p>
      <w:pPr>
        <w:jc w:val="both"/>
        <w:ind w:left="440" w:right="80"/>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the service agreement between Philadelphia 76ers, L.P. and Comcast Spectacor, L.P., effective with the close of business on June 30, 2013, Philadelphia 76ers, L.P. ceased being a participating employer in the Plan. In 2013, $4.6 million in assets related to eligible Philadelphia 76ers L.P. employees were transferred out of the Plan to an unrelated tax-qualified plan.</w:t>
      </w:r>
    </w:p>
    <w:p>
      <w:pPr>
        <w:spacing w:after="0" w:line="176"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Each participant may make a pretax contribution deferring not less than 1% or more than 100% of eligible compensation (as defined in the Plan document), subject to applicable Internal Revenue Service (“IRS”) limitations. Effective January 1, 2012, a Roth contribution feature was added to the Plan.</w:t>
      </w:r>
    </w:p>
    <w:p>
      <w:pPr>
        <w:spacing w:after="0" w:line="176"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The safe-harbor matching contribution shall be determined on an annual basis and shall be adjusted to the extent necessary after the end of each Plan year.</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Plan also provides for discretionary profit sharing contributions. There were no such contributions for the 2013 Plan year.</w:t>
      </w:r>
    </w:p>
    <w:p>
      <w:pPr>
        <w:spacing w:after="0" w:line="225" w:lineRule="exact"/>
        <w:rPr>
          <w:sz w:val="20"/>
          <w:szCs w:val="20"/>
          <w:color w:val="auto"/>
        </w:rPr>
      </w:pPr>
    </w:p>
    <w:p>
      <w:pPr>
        <w:jc w:val="both"/>
        <w:ind w:left="440" w:right="60"/>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Upon enrollment, or as requested from the Plan Administrator, participants can receive a description of each investment fund in the Plan Enrollment Guide.</w:t>
      </w:r>
    </w:p>
    <w:p>
      <w:pPr>
        <w:spacing w:after="0" w:line="180"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Each participant has at all times a 100% non-forfeitable interest in the participant’s contributions and earnings attributable thereto. Company matching contributions for Plan years beginning on or after January 1, 2005 are fully and immediately vested. Company matching contributions for Plan years prior to January 1, 2005 vest according to years of service.</w:t>
      </w:r>
    </w:p>
    <w:p>
      <w:pPr>
        <w:spacing w:after="0" w:line="176"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Comcast Spectacor, L.P., in its sole discretion may from time to time designate additional investment fund options of the same or different types or modify, cease to offer or eliminate any existing investment fund options.</w:t>
      </w:r>
    </w:p>
    <w:p>
      <w:pPr>
        <w:spacing w:after="0" w:line="180"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Any participant who has a separation from service for any reason shall be entitled to receive his/her vested account balance. Upon death, disability or retirement as defined by the Plan, while an employee, a participant’s account becomes fully vested in all Company contributions. All benefits under the Plan are paid as lump-sum distributions. In-kind distributions are not provided for under the Plan.</w:t>
      </w:r>
    </w:p>
    <w:p>
      <w:pPr>
        <w:spacing w:after="0" w:line="176" w:lineRule="exact"/>
        <w:rPr>
          <w:sz w:val="20"/>
          <w:szCs w:val="20"/>
          <w:color w:val="auto"/>
        </w:rPr>
      </w:pPr>
    </w:p>
    <w:p>
      <w:pPr>
        <w:ind w:left="440" w:right="380"/>
        <w:spacing w:after="0" w:line="258" w:lineRule="auto"/>
        <w:rPr>
          <w:sz w:val="20"/>
          <w:szCs w:val="20"/>
          <w:color w:val="auto"/>
        </w:rPr>
      </w:pPr>
      <w:r>
        <w:rPr>
          <w:rFonts w:ascii="Times New Roman" w:cs="Times New Roman" w:eastAsia="Times New Roman" w:hAnsi="Times New Roman"/>
          <w:sz w:val="18"/>
          <w:szCs w:val="18"/>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 There were no forfeitures applied to reduce Plan administrative expenses for the year ended December 31, 2013. Outstanding forfeitures not yet applied as of December 31, 2013 and 2012 were $32,141 and $20,625, respectively.</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Trustee</w:t>
      </w:r>
    </w:p>
    <w:p>
      <w:pPr>
        <w:spacing w:after="0" w:line="225" w:lineRule="exact"/>
        <w:rPr>
          <w:sz w:val="20"/>
          <w:szCs w:val="20"/>
          <w:color w:val="auto"/>
        </w:rPr>
      </w:pPr>
    </w:p>
    <w:p>
      <w:pPr>
        <w:ind w:left="440" w:right="180"/>
        <w:spacing w:after="0" w:line="282" w:lineRule="auto"/>
        <w:rPr>
          <w:sz w:val="20"/>
          <w:szCs w:val="20"/>
          <w:color w:val="auto"/>
        </w:rPr>
      </w:pPr>
      <w:r>
        <w:rPr>
          <w:rFonts w:ascii="Times New Roman" w:cs="Times New Roman" w:eastAsia="Times New Roman" w:hAnsi="Times New Roman"/>
          <w:sz w:val="18"/>
          <w:szCs w:val="18"/>
          <w:color w:val="auto"/>
        </w:rPr>
        <w:t>The Trustee of the Plan is ING National Trust (the “Trustee”). The Record-keeper for the Plan is ING Institutional Plan Services, LLC. Generally, all costs associated with administering the Plan are paid by the Plan Administrator.</w:t>
      </w:r>
    </w:p>
    <w:p>
      <w:pPr>
        <w:spacing w:after="0" w:line="158" w:lineRule="exact"/>
        <w:rPr>
          <w:sz w:val="20"/>
          <w:szCs w:val="20"/>
          <w:color w:val="auto"/>
        </w:rPr>
      </w:pPr>
    </w:p>
    <w:p>
      <w:pPr>
        <w:ind w:left="440" w:right="6220" w:hanging="432"/>
        <w:spacing w:after="0" w:line="503" w:lineRule="auto"/>
        <w:tabs>
          <w:tab w:leader="none" w:pos="44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u w:val="single" w:color="auto"/>
          <w:color w:val="auto"/>
        </w:rPr>
        <w:t>Basis of Accounting and Presentation</w:t>
      </w:r>
    </w:p>
    <w:p>
      <w:pPr>
        <w:ind w:left="44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Plan are presented using the accrual basis of accounting in accordance with generally accepted accounting principles in the United States of America (“U.S. GAAP”).</w:t>
      </w:r>
    </w:p>
    <w:p>
      <w:pPr>
        <w:spacing w:after="0" w:line="16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 Valuation and Income Recognition</w:t>
      </w:r>
    </w:p>
    <w:p>
      <w:pPr>
        <w:sectPr>
          <w:pgSz w:w="11900" w:h="16838" w:orient="portrait"/>
          <w:cols w:equalWidth="0" w:num="1">
            <w:col w:w="11360"/>
          </w:cols>
          <w:pgMar w:left="240" w:top="121" w:right="299" w:bottom="0" w:gutter="0" w:footer="0" w:header="0"/>
        </w:sectPr>
      </w:pPr>
    </w:p>
    <w:bookmarkStart w:id="4" w:name="page5"/>
    <w:bookmarkEnd w:id="4"/>
    <w:p>
      <w:pPr>
        <w:ind w:left="440" w:right="120"/>
        <w:spacing w:after="0" w:line="258" w:lineRule="auto"/>
        <w:rPr>
          <w:sz w:val="20"/>
          <w:szCs w:val="20"/>
          <w:color w:val="auto"/>
        </w:rPr>
      </w:pPr>
      <w:r>
        <w:rPr>
          <w:rFonts w:ascii="Times New Roman" w:cs="Times New Roman" w:eastAsia="Times New Roman" w:hAnsi="Times New Roman"/>
          <w:sz w:val="18"/>
          <w:szCs w:val="18"/>
          <w:color w:val="auto"/>
        </w:rPr>
        <w:t>The Plan’s investments are stated at fair value. Fair value of a financial instrument is the price that would be received to sell an asset or paid to transfer a liability in an orderly transaction between market participants at the measurement date. Shares of mutual funds are valued at the net asset value of shares held by the Plan at year-end. The value of the Comcast Stock Fund, which includes shares of Comcast Corporation Class A common stock (CMCSA) and a mutual fund account, is based on the fair market value of the stock held in the fund as well as the market value of the mutual fund on the last trading day of the Plan year. The stable value fund is stated at contract value as described below.</w:t>
      </w:r>
    </w:p>
    <w:p>
      <w:pPr>
        <w:spacing w:after="0" w:line="184"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Investment contracts, such as those included in the ING Stable Value Fund, are reported at contract value as provided by the contract issuer. Contract value is the relevant measure of fully benefit-responsive investment contracts since that is the amount participants would receive if they were to initiate permitted transactions under the terms of the Plan. The adjustment of fully benefit-responsive investment contracts from fair value to contract value is not material and is excluded from the Statement of Net Assets Available for Benefits.</w:t>
      </w:r>
    </w:p>
    <w:p>
      <w:pPr>
        <w:spacing w:after="0" w:line="180" w:lineRule="exact"/>
        <w:rPr>
          <w:sz w:val="20"/>
          <w:szCs w:val="20"/>
          <w:color w:val="auto"/>
        </w:rPr>
      </w:pPr>
    </w:p>
    <w:p>
      <w:pPr>
        <w:ind w:left="440" w:right="160"/>
        <w:spacing w:after="0" w:line="266" w:lineRule="auto"/>
        <w:rPr>
          <w:sz w:val="20"/>
          <w:szCs w:val="20"/>
          <w:color w:val="auto"/>
        </w:rPr>
      </w:pPr>
      <w:r>
        <w:rPr>
          <w:rFonts w:ascii="Times New Roman" w:cs="Times New Roman" w:eastAsia="Times New Roman" w:hAnsi="Times New Roman"/>
          <w:sz w:val="18"/>
          <w:szCs w:val="18"/>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225"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440" w:right="3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w:t>
      </w:r>
    </w:p>
    <w:p>
      <w:pPr>
        <w:spacing w:after="0" w:line="172"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market value of investments, held by the Plan, representing 5% or more of the Plan’s assets are identified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Stock Fund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10,500,311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7,443,435</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EuroPacific Growth Fund—F Share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5,453,676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4,755,799</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 Mutual Investors Fund—F Share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9,159,002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7,995,718</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Baron Growth Fund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6,868,882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5,082,015</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Janus Balanced Fund</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7,086,107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6,061,368</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Wells Fargo Advantage Government Securities Fund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6,437,179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6,191,874</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Oppenheimer Developing Markets Fund</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7,491,312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7,042,185</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 Stay Large Cap Growth Fund — R2</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12,435,110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9,915,346</w:t>
            </w:r>
          </w:p>
        </w:tc>
      </w:tr>
    </w:tbl>
    <w:p>
      <w:pPr>
        <w:spacing w:after="0" w:line="198"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During 2013, the Plan’s investments, including investments purchased and sold, as well as held during the year, appreciated (depreciated) in fair value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Stock Fund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2,978,565</w:t>
            </w:r>
          </w:p>
        </w:tc>
        <w:tc>
          <w:tcPr>
            <w:tcW w:w="12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Stock Fund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483,313</w:t>
            </w:r>
          </w:p>
        </w:tc>
        <w:tc>
          <w:tcPr>
            <w:tcW w:w="120" w:type="dxa"/>
            <w:vAlign w:val="bottom"/>
            <w:shd w:val="clear" w:color="auto" w:fill="CCEEFF"/>
          </w:tcPr>
          <w:p>
            <w:pPr>
              <w:spacing w:after="0"/>
              <w:rPr>
                <w:sz w:val="18"/>
                <w:szCs w:val="18"/>
                <w:color w:val="auto"/>
              </w:rPr>
            </w:pPr>
          </w:p>
        </w:tc>
      </w:tr>
      <w:tr>
        <w:trPr>
          <w:trHeight w:val="216"/>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Balanced Funds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10,857,000</w:t>
            </w:r>
          </w:p>
        </w:tc>
        <w:tc>
          <w:tcPr>
            <w:tcW w:w="120" w:type="dxa"/>
            <w:vAlign w:val="bottom"/>
          </w:tcPr>
          <w:p>
            <w:pPr>
              <w:spacing w:after="0"/>
              <w:rPr>
                <w:sz w:val="18"/>
                <w:szCs w:val="18"/>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Bond Fund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(821,625)</w:t>
            </w:r>
          </w:p>
        </w:tc>
      </w:tr>
      <w:tr>
        <w:trPr>
          <w:trHeight w:val="216"/>
        </w:trPr>
        <w:tc>
          <w:tcPr>
            <w:tcW w:w="9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Stable Value Fund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20" w:type="dxa"/>
            <w:vAlign w:val="bottom"/>
            <w:tcBorders>
              <w:bottom w:val="single" w:sz="8" w:color="CCEEFF"/>
            </w:tcBorders>
          </w:tcPr>
          <w:p>
            <w:pPr>
              <w:spacing w:after="0"/>
              <w:rPr>
                <w:sz w:val="18"/>
                <w:szCs w:val="18"/>
                <w:color w:val="auto"/>
              </w:rPr>
            </w:pPr>
          </w:p>
        </w:tc>
      </w:tr>
      <w:tr>
        <w:trPr>
          <w:trHeight w:val="210"/>
        </w:trPr>
        <w:tc>
          <w:tcPr>
            <w:tcW w:w="9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13,503,573</w:t>
            </w:r>
          </w:p>
        </w:tc>
        <w:tc>
          <w:tcPr>
            <w:tcW w:w="12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As described in Note 2, included in the ING Stable Value Fund are fully benefit-responsive investment contracts, which are carried at contract value. Purchases and redemption of shares may only be effected with the investee fund at contract value. As a result, the Trustee considers contract value to be fair value.</w:t>
      </w:r>
    </w:p>
    <w:p>
      <w:pPr>
        <w:spacing w:after="0" w:line="172" w:lineRule="exact"/>
        <w:rPr>
          <w:sz w:val="20"/>
          <w:szCs w:val="20"/>
          <w:color w:val="auto"/>
        </w:rPr>
      </w:pPr>
    </w:p>
    <w:p>
      <w:pPr>
        <w:ind w:left="460" w:hanging="434"/>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left="440" w:right="120"/>
        <w:spacing w:after="0" w:line="284"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hierarchy that prioritizes fair value measurements based on the types of inputs used for the various valuation techniques. The levels of the hierarchy are described below:</w:t>
      </w:r>
    </w:p>
    <w:p>
      <w:pPr>
        <w:spacing w:after="0" w:line="16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Level 1</w:t>
        <w:tab/>
        <w:t>Consists of financial instruments whose values are based on quoted market prices for identical financial instruments in an active market.</w:t>
      </w:r>
    </w:p>
    <w:p>
      <w:pPr>
        <w:spacing w:after="0" w:line="225" w:lineRule="exact"/>
        <w:rPr>
          <w:sz w:val="20"/>
          <w:szCs w:val="20"/>
          <w:color w:val="auto"/>
        </w:rPr>
      </w:pPr>
    </w:p>
    <w:p>
      <w:pPr>
        <w:ind w:left="1240" w:right="20" w:hanging="777"/>
        <w:spacing w:after="0" w:line="282" w:lineRule="auto"/>
        <w:tabs>
          <w:tab w:leader="none" w:pos="1220" w:val="left"/>
        </w:tabs>
        <w:rPr>
          <w:sz w:val="20"/>
          <w:szCs w:val="20"/>
          <w:color w:val="auto"/>
        </w:rPr>
      </w:pPr>
      <w:r>
        <w:rPr>
          <w:rFonts w:ascii="Times New Roman" w:cs="Times New Roman" w:eastAsia="Times New Roman" w:hAnsi="Times New Roman"/>
          <w:sz w:val="18"/>
          <w:szCs w:val="18"/>
          <w:color w:val="auto"/>
        </w:rPr>
        <w:t>Level 2</w:t>
        <w:tab/>
        <w:t>Consists of financial instruments that are valued using models or other valuation methodologies. These models use inputs that are observable either directly or indirectly and include:</w:t>
      </w:r>
    </w:p>
    <w:p>
      <w:pPr>
        <w:spacing w:after="0" w:line="162" w:lineRule="exact"/>
        <w:rPr>
          <w:sz w:val="20"/>
          <w:szCs w:val="20"/>
          <w:color w:val="auto"/>
        </w:rPr>
      </w:pPr>
    </w:p>
    <w:p>
      <w:pPr>
        <w:ind w:left="1660" w:hanging="355"/>
        <w:spacing w:after="0"/>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ectPr>
          <w:pgSz w:w="11900" w:h="16838" w:orient="portrait"/>
          <w:cols w:equalWidth="0" w:num="1">
            <w:col w:w="11420"/>
          </w:cols>
          <w:pgMar w:left="240" w:top="121" w:right="239" w:bottom="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40" w:hanging="335"/>
        <w:spacing w:after="0"/>
        <w:tabs>
          <w:tab w:leader="none" w:pos="1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225" w:lineRule="exact"/>
        <w:rPr>
          <w:rFonts w:ascii="Times New Roman" w:cs="Times New Roman" w:eastAsia="Times New Roman" w:hAnsi="Times New Roman"/>
          <w:sz w:val="18"/>
          <w:szCs w:val="18"/>
          <w:b w:val="1"/>
          <w:bCs w:val="1"/>
          <w:color w:val="auto"/>
        </w:rPr>
      </w:pPr>
    </w:p>
    <w:p>
      <w:pPr>
        <w:ind w:left="1660" w:hanging="355"/>
        <w:spacing w:after="0"/>
        <w:tabs>
          <w:tab w:leader="none" w:pos="1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observable for substantially the full term of the financial instrument; and</w:t>
      </w:r>
    </w:p>
    <w:p>
      <w:pPr>
        <w:spacing w:after="0" w:line="225" w:lineRule="exact"/>
        <w:rPr>
          <w:rFonts w:ascii="Times New Roman" w:cs="Times New Roman" w:eastAsia="Times New Roman" w:hAnsi="Times New Roman"/>
          <w:sz w:val="18"/>
          <w:szCs w:val="18"/>
          <w:color w:val="auto"/>
        </w:rPr>
      </w:pPr>
    </w:p>
    <w:p>
      <w:pPr>
        <w:ind w:left="1700" w:right="520" w:hanging="395"/>
        <w:spacing w:after="0" w:line="282" w:lineRule="auto"/>
        <w:tabs>
          <w:tab w:leader="none" w:pos="16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62" w:lineRule="exact"/>
        <w:rPr>
          <w:sz w:val="20"/>
          <w:szCs w:val="20"/>
          <w:color w:val="auto"/>
        </w:rPr>
      </w:pPr>
    </w:p>
    <w:p>
      <w:pPr>
        <w:ind w:left="1240" w:right="280" w:hanging="777"/>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Level 3</w:t>
        <w:tab/>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valuation methodologies used for assets measured at fair value are as follows: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Mutual funds and stable value fund: Valued at the net asset value of shares held by the Plan at year end.</w:t>
      </w:r>
    </w:p>
    <w:p>
      <w:pPr>
        <w:spacing w:after="0" w:line="225" w:lineRule="exact"/>
        <w:rPr>
          <w:sz w:val="20"/>
          <w:szCs w:val="20"/>
          <w:color w:val="auto"/>
        </w:rPr>
      </w:pPr>
    </w:p>
    <w:p>
      <w:pPr>
        <w:ind w:left="880" w:right="140" w:firstLine="1"/>
        <w:spacing w:after="0" w:line="282" w:lineRule="auto"/>
        <w:rPr>
          <w:sz w:val="20"/>
          <w:szCs w:val="20"/>
          <w:color w:val="auto"/>
        </w:rPr>
      </w:pPr>
      <w:r>
        <w:rPr>
          <w:rFonts w:ascii="Times New Roman" w:cs="Times New Roman" w:eastAsia="Times New Roman" w:hAnsi="Times New Roman"/>
          <w:sz w:val="18"/>
          <w:szCs w:val="18"/>
          <w:color w:val="auto"/>
        </w:rPr>
        <w:t>Common stock fund: Valued at the market value of the CMCSA stock and the cost plus accrued interest of certain short-term investments, which approximates their fair value, at year end.</w:t>
      </w:r>
    </w:p>
    <w:p>
      <w:pPr>
        <w:spacing w:after="0" w:line="162" w:lineRule="exact"/>
        <w:rPr>
          <w:sz w:val="20"/>
          <w:szCs w:val="20"/>
          <w:color w:val="auto"/>
        </w:rPr>
      </w:pPr>
    </w:p>
    <w:p>
      <w:pPr>
        <w:ind w:left="440" w:right="22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2013 and 2012.</w:t>
      </w:r>
    </w:p>
    <w:p>
      <w:pPr>
        <w:spacing w:after="0" w:line="180" w:lineRule="exact"/>
        <w:rPr>
          <w:sz w:val="20"/>
          <w:szCs w:val="20"/>
          <w:color w:val="auto"/>
        </w:rPr>
      </w:pPr>
    </w:p>
    <w:p>
      <w:pPr>
        <w:ind w:left="440" w:right="120"/>
        <w:spacing w:after="0" w:line="261" w:lineRule="auto"/>
        <w:rPr>
          <w:sz w:val="20"/>
          <w:szCs w:val="20"/>
          <w:color w:val="auto"/>
        </w:rPr>
      </w:pPr>
      <w:r>
        <w:rPr>
          <w:rFonts w:ascii="Times New Roman" w:cs="Times New Roman" w:eastAsia="Times New Roman" w:hAnsi="Times New Roman"/>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2013 and 2012 there were no transfers between levels.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by level, within the fair value hierarchy, the Plan’s assets at fair value as of December 31, 2013 and 2012:</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2013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Mutual Funds:</w:t>
            </w:r>
          </w:p>
        </w:tc>
        <w:tc>
          <w:tcPr>
            <w:tcW w:w="1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Balanced Funds</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63,156,484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63,156,484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7,678,181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Bond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11,289,546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11,289,546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10,500,311</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Stable Value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638,164</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82,124,211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11,138,475</w:t>
            </w:r>
          </w:p>
        </w:tc>
        <w:tc>
          <w:tcPr>
            <w:tcW w:w="1500" w:type="dxa"/>
            <w:vAlign w:val="bottom"/>
            <w:gridSpan w:val="2"/>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93,262,686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8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2012</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Mutual Funds:</w:t>
            </w:r>
          </w:p>
        </w:tc>
        <w:tc>
          <w:tcPr>
            <w:tcW w:w="1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Balanced Funds</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51,488,046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51,488,046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7,042,185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7,042,185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Bond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11,134,027</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11,134,027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7,443,435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Stable Value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379,361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69,664,258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7,822,796</w:t>
            </w:r>
          </w:p>
        </w:tc>
        <w:tc>
          <w:tcPr>
            <w:tcW w:w="140" w:type="dxa"/>
            <w:vAlign w:val="bottom"/>
          </w:tcPr>
          <w:p>
            <w:pPr>
              <w:spacing w:after="0"/>
              <w:rPr>
                <w:sz w:val="18"/>
                <w:szCs w:val="18"/>
                <w:color w:val="auto"/>
              </w:rPr>
            </w:pPr>
          </w:p>
        </w:tc>
        <w:tc>
          <w:tcPr>
            <w:tcW w:w="1500" w:type="dxa"/>
            <w:vAlign w:val="bottom"/>
            <w:gridSpan w:val="2"/>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77,487,054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720" w:hanging="712"/>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A participant may borrow from his/her Plan account subject to the approval of the Plan Administrator in accordance with applicable regulations issued by the IRS and the Department of Labor (“DOL”). In general, a participant may borrow a minimum of $1,000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are permissible for the purchase of a primary residence or may exist under the Plan as a result of rollovers from merged plans).</w:t>
      </w:r>
    </w:p>
    <w:p>
      <w:pPr>
        <w:sectPr>
          <w:pgSz w:w="11900" w:h="16838" w:orient="portrait"/>
          <w:cols w:equalWidth="0" w:num="1">
            <w:col w:w="11460"/>
          </w:cols>
          <w:pgMar w:left="240" w:top="121" w:right="199" w:bottom="22" w:gutter="0" w:footer="0" w:header="0"/>
        </w:sectPr>
      </w:pPr>
    </w:p>
    <w:bookmarkStart w:id="6" w:name="page7"/>
    <w:bookmarkEnd w:id="6"/>
    <w:p>
      <w:pPr>
        <w:ind w:left="440" w:right="80"/>
        <w:spacing w:after="0" w:line="266" w:lineRule="auto"/>
        <w:rPr>
          <w:sz w:val="20"/>
          <w:szCs w:val="20"/>
          <w:color w:val="auto"/>
        </w:rPr>
      </w:pPr>
      <w:r>
        <w:rPr>
          <w:rFonts w:ascii="Times New Roman" w:cs="Times New Roman" w:eastAsia="Times New Roman" w:hAnsi="Times New Roman"/>
          <w:sz w:val="18"/>
          <w:szCs w:val="18"/>
          <w:color w:val="auto"/>
        </w:rPr>
        <w:t>Interest accrues at the rate of prime plus 2% as of the month the loan application is approved. Principal and interest are paid through payroll deductions or participant initiated payments. Interest rates ranged from 4.25% to 9.75% as of December 31, 2013. Maturities on outstanding loans ranged from 2014 to 2043 as of December 31, 2013. Loan transactions are treated as a transfer between the investment fund and notes receivable from participants.</w:t>
      </w:r>
    </w:p>
    <w:p>
      <w:pPr>
        <w:spacing w:after="0" w:line="176" w:lineRule="exact"/>
        <w:rPr>
          <w:sz w:val="20"/>
          <w:szCs w:val="20"/>
          <w:color w:val="auto"/>
        </w:rPr>
      </w:pPr>
    </w:p>
    <w:p>
      <w:pPr>
        <w:jc w:val="both"/>
        <w:ind w:left="440" w:right="300"/>
        <w:spacing w:after="0" w:line="266" w:lineRule="auto"/>
        <w:rPr>
          <w:sz w:val="20"/>
          <w:szCs w:val="20"/>
          <w:color w:val="auto"/>
        </w:rPr>
      </w:pPr>
      <w:r>
        <w:rPr>
          <w:rFonts w:ascii="Times New Roman" w:cs="Times New Roman" w:eastAsia="Times New Roman" w:hAnsi="Times New Roman"/>
          <w:sz w:val="18"/>
          <w:szCs w:val="18"/>
          <w:color w:val="auto"/>
        </w:rPr>
        <w:t>A loan is considered to be in default if payment is not received by the end of the calendar quarter following the calendar quarter in which the missed payment was due. Defaulted loans are treated as distributions for tax purposes and become taxable income to the participant in the year in which the default occurs.</w:t>
      </w:r>
    </w:p>
    <w:p>
      <w:pPr>
        <w:spacing w:after="0" w:line="17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w:t>
      </w:r>
    </w:p>
    <w:p>
      <w:pPr>
        <w:spacing w:after="0" w:line="229" w:lineRule="exact"/>
        <w:rPr>
          <w:rFonts w:ascii="Times New Roman" w:cs="Times New Roman" w:eastAsia="Times New Roman" w:hAnsi="Times New Roman"/>
          <w:sz w:val="18"/>
          <w:szCs w:val="18"/>
          <w:b w:val="1"/>
          <w:bCs w:val="1"/>
          <w:color w:val="auto"/>
        </w:rPr>
      </w:pPr>
    </w:p>
    <w:p>
      <w:pPr>
        <w:ind w:left="44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net assets available for benefits per the financial statements to the total net assets per the Form 5500 as of December 31, 2013 and the increase in net assets available for benefits per the financial statements to the net income per the Form 5500 for the year ended December 31, 2013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95,971,280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accrual basis to cash basis for participant and employer contributions receivable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notes receivable from participants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per the Form 5500</w:t>
            </w:r>
          </w:p>
        </w:tc>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95,796,984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available for benefits per the financial statements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accrual basis to cash basis for participant and employer contributions receivable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notes receivable from participants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Form 5500</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16,070,903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29" w:lineRule="exact"/>
        <w:rPr>
          <w:rFonts w:ascii="Times New Roman" w:cs="Times New Roman" w:eastAsia="Times New Roman" w:hAnsi="Times New Roman"/>
          <w:sz w:val="18"/>
          <w:szCs w:val="18"/>
          <w:b w:val="1"/>
          <w:bCs w:val="1"/>
          <w:color w:val="auto"/>
        </w:rPr>
      </w:pPr>
    </w:p>
    <w:p>
      <w:pPr>
        <w:ind w:left="4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Comcast Spectacor, L.P.,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57"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EXEMPT PARTY-IN-INTEREST TRANSACTIONS</w:t>
      </w:r>
    </w:p>
    <w:p>
      <w:pPr>
        <w:spacing w:after="0" w:line="229" w:lineRule="exact"/>
        <w:rPr>
          <w:rFonts w:ascii="Times New Roman" w:cs="Times New Roman" w:eastAsia="Times New Roman" w:hAnsi="Times New Roman"/>
          <w:sz w:val="18"/>
          <w:szCs w:val="18"/>
          <w:b w:val="1"/>
          <w:bCs w:val="1"/>
          <w:color w:val="auto"/>
        </w:rPr>
      </w:pPr>
    </w:p>
    <w:p>
      <w:pPr>
        <w:ind w:left="44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shares of registered investment companies managed by ING National Trust, the Trustee and a party-in-interest to the Plan. The Plan issues loans to participants, which are secured by the vested balances in the participants’ accounts. Fees paid by the Plan for investment management services are included as a reduction of the return earned on each fund.</w:t>
      </w:r>
    </w:p>
    <w:p>
      <w:pPr>
        <w:spacing w:after="0" w:line="17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29" w:lineRule="exact"/>
        <w:rPr>
          <w:rFonts w:ascii="Times New Roman" w:cs="Times New Roman" w:eastAsia="Times New Roman" w:hAnsi="Times New Roman"/>
          <w:sz w:val="18"/>
          <w:szCs w:val="18"/>
          <w:b w:val="1"/>
          <w:bCs w:val="1"/>
          <w:color w:val="auto"/>
        </w:rPr>
      </w:pPr>
    </w:p>
    <w:p>
      <w:pPr>
        <w:ind w:left="4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no participating employer has expressed any intent to do so, each participating employer has the right under the Plan to discontinue its contributions and to terminate the Plan, with respect to its eligible employees, subject to the provisions of ERISA. Additionally, Comcast Spectacor, L.P. has the right to terminate the Plan. In the event of Plan termination, participants will become 100% vested in their accounts.</w:t>
      </w:r>
    </w:p>
    <w:p>
      <w:pPr>
        <w:spacing w:after="0" w:line="172"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TAX CONSIDERATIONS</w:t>
      </w:r>
    </w:p>
    <w:p>
      <w:pPr>
        <w:spacing w:after="0" w:line="225" w:lineRule="exact"/>
        <w:rPr>
          <w:rFonts w:ascii="Times New Roman" w:cs="Times New Roman" w:eastAsia="Times New Roman" w:hAnsi="Times New Roman"/>
          <w:sz w:val="18"/>
          <w:szCs w:val="18"/>
          <w:b w:val="1"/>
          <w:bCs w:val="1"/>
          <w:color w:val="auto"/>
        </w:rPr>
      </w:pPr>
    </w:p>
    <w:p>
      <w:pPr>
        <w:ind w:left="1440" w:right="20" w:hanging="441"/>
        <w:spacing w:after="0" w:line="257" w:lineRule="auto"/>
        <w:tabs>
          <w:tab w:leader="none" w:pos="143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 Status of the Plan</w:t>
      </w:r>
      <w:r>
        <w:rPr>
          <w:rFonts w:ascii="Times New Roman" w:cs="Times New Roman" w:eastAsia="Times New Roman" w:hAnsi="Times New Roman"/>
          <w:sz w:val="18"/>
          <w:szCs w:val="18"/>
          <w:color w:val="auto"/>
        </w:rPr>
        <w:t>— The IRS made a favorable determination on the Plan through a letter dated July 8, 2013 stating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is qualified under Section 401(a) of the Internal Revenue Code (the “Code”) subject to the adoption of an amendment which was adopted on July 18, 2013 and was effective on various dates, the earliest being January 1, 2002. As a result, the Plan remains exempt from taxation. The Plan is required to operate in conformity with the Code to maintain its qualified status. The Plan Administrator believes the Plan is being operated in compliance with the applicable requirements of the Code and no provision for income taxes has been included in the Plan’s financial statements.</w:t>
      </w:r>
    </w:p>
    <w:p>
      <w:pPr>
        <w:spacing w:after="0" w:line="182" w:lineRule="exact"/>
        <w:rPr>
          <w:rFonts w:ascii="Times New Roman" w:cs="Times New Roman" w:eastAsia="Times New Roman" w:hAnsi="Times New Roman"/>
          <w:sz w:val="18"/>
          <w:szCs w:val="18"/>
          <w:color w:val="auto"/>
        </w:rPr>
      </w:pPr>
    </w:p>
    <w:p>
      <w:pPr>
        <w:jc w:val="both"/>
        <w:ind w:left="1440" w:right="700" w:hanging="441"/>
        <w:spacing w:after="0" w:line="268" w:lineRule="auto"/>
        <w:tabs>
          <w:tab w:leader="none" w:pos="14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Impact on Plan Participants</w:t>
      </w:r>
      <w:r>
        <w:rPr>
          <w:rFonts w:ascii="Times New Roman" w:cs="Times New Roman" w:eastAsia="Times New Roman" w:hAnsi="Times New Roman"/>
          <w:sz w:val="18"/>
          <w:szCs w:val="18"/>
          <w:color w:val="auto"/>
        </w:rPr>
        <w:t>—Matching contributions and salary reduction contributions, as well as earnings on Plan assets,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not subject to federal income tax until distributed from a qualified plan that meets the requirements of Sections 401(a), 401(k) and 401(m) of the Code.</w:t>
      </w:r>
    </w:p>
    <w:p>
      <w:pPr>
        <w:spacing w:after="0" w:line="170" w:lineRule="exact"/>
        <w:rPr>
          <w:rFonts w:ascii="Times New Roman" w:cs="Times New Roman" w:eastAsia="Times New Roman" w:hAnsi="Times New Roman"/>
          <w:sz w:val="18"/>
          <w:szCs w:val="18"/>
          <w:color w:val="auto"/>
        </w:rPr>
      </w:pPr>
    </w:p>
    <w:p>
      <w:pPr>
        <w:ind w:left="1440" w:right="120" w:hanging="441"/>
        <w:spacing w:after="0" w:line="286" w:lineRule="auto"/>
        <w:tabs>
          <w:tab w:leader="none" w:pos="14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Evaluation of Tax Positions</w:t>
      </w:r>
      <w:r>
        <w:rPr>
          <w:rFonts w:ascii="Times New Roman" w:cs="Times New Roman" w:eastAsia="Times New Roman" w:hAnsi="Times New Roman"/>
          <w:sz w:val="18"/>
          <w:szCs w:val="18"/>
          <w:color w:val="auto"/>
        </w:rPr>
        <w:t>—The Plan is subject to routine audits by taxing jurisdictions; however, there are currently no audits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periods in progress. The Plan Administrator believes it is no longer subject to income tax examinations for years prior to 2010.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EXEMPT PARTY-IN-INTEREST TRANSACTIONS</w:t>
      </w:r>
    </w:p>
    <w:p>
      <w:pPr>
        <w:spacing w:after="0" w:line="229" w:lineRule="exact"/>
        <w:rPr>
          <w:rFonts w:ascii="Times New Roman" w:cs="Times New Roman" w:eastAsia="Times New Roman" w:hAnsi="Times New Roman"/>
          <w:sz w:val="18"/>
          <w:szCs w:val="18"/>
          <w:b w:val="1"/>
          <w:bCs w:val="1"/>
          <w:color w:val="auto"/>
        </w:rPr>
      </w:pPr>
    </w:p>
    <w:p>
      <w:pPr>
        <w:ind w:left="4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Plan years 2013, 2012, 2011, 2010 and 2009, the Company has not remitted certain participant contributions and loan repayments to the Trustee in a timely manner based on when the participant contributions and loan repayments were withheld from participant paychecks as required under Department of Labor Regulation §2510.3-102.</w:t>
      </w:r>
    </w:p>
    <w:p>
      <w:pPr>
        <w:spacing w:after="0" w:line="176" w:lineRule="exact"/>
        <w:rPr>
          <w:rFonts w:ascii="Times New Roman" w:cs="Times New Roman" w:eastAsia="Times New Roman" w:hAnsi="Times New Roman"/>
          <w:sz w:val="18"/>
          <w:szCs w:val="18"/>
          <w:b w:val="1"/>
          <w:bCs w:val="1"/>
          <w:color w:val="auto"/>
        </w:rPr>
      </w:pPr>
    </w:p>
    <w:p>
      <w:pPr>
        <w:ind w:left="44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2012, the Company filed IRS Form 5330 to report and pay an excise tax with respect to the 2010 and 2009 late remittances as required pursuant to Section 4975 of the Code. In addition, the Company submitted an application under the Voluntary Fiduciary Correction Program (VFCP) with the DOL and participant accounts were credited with the amount of investment income that would have been earned had the participant</w:t>
      </w:r>
    </w:p>
    <w:p>
      <w:pPr>
        <w:sectPr>
          <w:pgSz w:w="11900" w:h="16838" w:orient="portrait"/>
          <w:cols w:equalWidth="0" w:num="1">
            <w:col w:w="11420"/>
          </w:cols>
          <w:pgMar w:left="240" w:top="121" w:right="239" w:bottom="0" w:gutter="0" w:footer="0" w:header="0"/>
        </w:sectPr>
      </w:pPr>
    </w:p>
    <w:bookmarkStart w:id="7" w:name="page8"/>
    <w:bookmarkEnd w:id="7"/>
    <w:p>
      <w:pPr>
        <w:ind w:left="440" w:right="200"/>
        <w:spacing w:after="0" w:line="282" w:lineRule="auto"/>
        <w:rPr>
          <w:sz w:val="20"/>
          <w:szCs w:val="20"/>
          <w:color w:val="auto"/>
        </w:rPr>
      </w:pPr>
      <w:r>
        <w:rPr>
          <w:rFonts w:ascii="Times New Roman" w:cs="Times New Roman" w:eastAsia="Times New Roman" w:hAnsi="Times New Roman"/>
          <w:sz w:val="18"/>
          <w:szCs w:val="18"/>
          <w:color w:val="auto"/>
        </w:rPr>
        <w:t>contributions been remitted on a timely basis. The Company has received confirmation that the IRS has accepted the Form 5330 filings and the DOL has approved the Company’s correction for 401k late contributions in 2010 and 2009.</w:t>
      </w:r>
    </w:p>
    <w:p>
      <w:pPr>
        <w:spacing w:after="0" w:line="162"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filing IRS Form 5330 to report and pay an excise tax with respect to the 2013, 2012 and 2011 late remittances, and participant accounts will be credited with the amount of investment income that would have been earned had the participant contributions been remitted on a timely basis. Such amounts are not material to the Plan’s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SPECTACOR 401(k)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H—PART IV—LINE 4i-SCHEDULE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EIN 23-2303756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PLAN #004</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 Description of</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Including Maturity Date,</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Rate of Interest, Collateral,</w:t>
            </w:r>
          </w:p>
        </w:tc>
        <w:tc>
          <w:tcPr>
            <w:tcW w:w="280" w:type="dxa"/>
            <w:vAlign w:val="bottom"/>
          </w:tcPr>
          <w:p>
            <w:pPr>
              <w:spacing w:after="0"/>
              <w:rPr>
                <w:sz w:val="12"/>
                <w:szCs w:val="12"/>
                <w:color w:val="auto"/>
              </w:rPr>
            </w:pPr>
          </w:p>
        </w:tc>
        <w:tc>
          <w:tcPr>
            <w:tcW w:w="14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 Current</w:t>
            </w:r>
          </w:p>
        </w:tc>
        <w:tc>
          <w:tcPr>
            <w:tcW w:w="0" w:type="dxa"/>
            <w:vAlign w:val="bottom"/>
          </w:tcPr>
          <w:p>
            <w:pPr>
              <w:spacing w:after="0"/>
              <w:rPr>
                <w:sz w:val="1"/>
                <w:szCs w:val="1"/>
                <w:color w:val="auto"/>
              </w:rPr>
            </w:pPr>
          </w:p>
        </w:tc>
      </w:tr>
      <w:tr>
        <w:trPr>
          <w:trHeight w:val="149"/>
        </w:trPr>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52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 Similar Party</w:t>
            </w:r>
          </w:p>
        </w:tc>
        <w:tc>
          <w:tcPr>
            <w:tcW w:w="3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 or</w:t>
            </w:r>
          </w:p>
        </w:tc>
        <w:tc>
          <w:tcPr>
            <w:tcW w:w="2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80" w:type="dxa"/>
            <w:vAlign w:val="bottom"/>
            <w:gridSpan w:val="3"/>
            <w:vMerge w:val="continue"/>
          </w:tcPr>
          <w:p>
            <w:pPr>
              <w:spacing w:after="0"/>
              <w:rPr>
                <w:sz w:val="15"/>
                <w:szCs w:val="15"/>
                <w:color w:val="auto"/>
              </w:rPr>
            </w:pPr>
          </w:p>
        </w:tc>
        <w:tc>
          <w:tcPr>
            <w:tcW w:w="5220" w:type="dxa"/>
            <w:vAlign w:val="bottom"/>
            <w:gridSpan w:val="2"/>
            <w:vMerge w:val="continue"/>
          </w:tcPr>
          <w:p>
            <w:pPr>
              <w:spacing w:after="0"/>
              <w:rPr>
                <w:sz w:val="15"/>
                <w:szCs w:val="15"/>
                <w:color w:val="auto"/>
              </w:rPr>
            </w:pP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Maturity Value</w:t>
            </w:r>
          </w:p>
        </w:tc>
        <w:tc>
          <w:tcPr>
            <w:tcW w:w="280" w:type="dxa"/>
            <w:vAlign w:val="bottom"/>
          </w:tcPr>
          <w:p>
            <w:pPr>
              <w:spacing w:after="0"/>
              <w:rPr>
                <w:sz w:val="15"/>
                <w:szCs w:val="15"/>
                <w:color w:val="auto"/>
              </w:rPr>
            </w:pPr>
          </w:p>
        </w:tc>
        <w:tc>
          <w:tcPr>
            <w:tcW w:w="14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(at fair value)</w:t>
            </w:r>
          </w:p>
        </w:tc>
        <w:tc>
          <w:tcPr>
            <w:tcW w:w="3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EuroPacific Growth Fund - F Share</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5,453,676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Washington Mutual Investors Fund - F Share</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9,159,002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Baron Growth Fund</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6,868,882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Cohen and Steers Realty Shares</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2,137,345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Dreyfus US Treasury Long Term Fund</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Janus Balanced Fund</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7,086,107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Wells Fargo Advantage Government Securities Fund</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Royce Total Return Fund</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4,762,482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Western Asset Gov’t Money Market Exchange Class A</w:t>
            </w:r>
          </w:p>
        </w:tc>
        <w:tc>
          <w:tcPr>
            <w:tcW w:w="3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Money Market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 Rowe Price International Bond Advisor</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1,909,225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Pru, Jenn Resources</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Pimco Real Return</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851,724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 Rowe Price Retirement Target Funds</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3,140,126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Oppenheimer Developing Markets Fund</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7,491,312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Jennison Mid Cap Growth Fund</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 Stay Large Cap Growth Fund</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 Rowe Price Retirement Income Fund Advisor</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Total Intl Stock Index Fund Signal</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647,783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Vanguard Emerging Mkts Stock Index Fund Signal</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Small-Capital Index Signal</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Vanguard Growth Index Fund Ins</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500 Index Fund-Signal</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3,119,367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Vanguard Value Index Fund Ins</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Balanced Index Fund-Admiral shares</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Vanguard Intermediate-Term Bond Index Fund</w:t>
            </w:r>
          </w:p>
        </w:tc>
        <w:tc>
          <w:tcPr>
            <w:tcW w:w="3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Intermediate-Term Govt Bond Index</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Mutual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394,487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BlackRock Liquidity TempFund CM</w:t>
            </w:r>
          </w:p>
        </w:tc>
        <w:tc>
          <w:tcPr>
            <w:tcW w:w="3180" w:type="dxa"/>
            <w:vAlign w:val="bottom"/>
            <w:tcBorders>
              <w:bottom w:val="single" w:sz="8" w:color="CCEEFF"/>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Money Market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82,124,211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Stable Value Fund (at fair value)</w:t>
            </w: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ING Stable Value Fund</w:t>
            </w:r>
          </w:p>
        </w:tc>
        <w:tc>
          <w:tcPr>
            <w:tcW w:w="31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Stable Value fund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638,164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Stock Fund</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Unitized stock fund</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5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receivable from participants</w:t>
            </w:r>
          </w:p>
        </w:tc>
        <w:tc>
          <w:tcPr>
            <w:tcW w:w="318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Interest rates from 4.25%-9.75%;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plus accrued but unpaid interest)</w:t>
            </w:r>
          </w:p>
        </w:tc>
        <w:tc>
          <w:tcPr>
            <w:tcW w:w="31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maturities from 2014-2043</w:t>
            </w: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2,517,719</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95,780,405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party-in-interest to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 (d) omitted as all investments are participant directed.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COMCAST SPECTACOR 401(k) PLAN</w:t>
      </w:r>
    </w:p>
    <w:p>
      <w:pPr>
        <w:spacing w:after="0" w:line="3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b w:val="1"/>
          <w:bCs w:val="1"/>
          <w:color w:val="auto"/>
        </w:rPr>
        <w:t>FORM 5500, SCHEDULE H—PART IV—LINE 4a—SCHEDULE OF DELINQUENT PARTICIPANT CONTRIBUTIONS FOR THE YEARS ENDED DECEMBER 31, 2013, 2012, 2011, 2010 AND 2009</w:t>
      </w:r>
    </w:p>
    <w:p>
      <w:pPr>
        <w:sectPr>
          <w:pgSz w:w="11900" w:h="16838" w:orient="portrait"/>
          <w:cols w:equalWidth="0" w:num="1">
            <w:col w:w="11420"/>
          </w:cols>
          <w:pgMar w:left="240" w:top="12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EIN 23-2303756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PLAN #004</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 that Constitute Nonexempt Prohibited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Fully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0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Corrected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Corrected</w:t>
            </w:r>
          </w:p>
        </w:tc>
        <w:tc>
          <w:tcPr>
            <w:tcW w:w="30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Correction</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VFCP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 Corrected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Outside VFCP</w:t>
            </w:r>
          </w:p>
        </w:tc>
        <w:tc>
          <w:tcPr>
            <w:tcW w:w="3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VFCP</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PTE 2002-51*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Participant Contributions Transferred Late to Plan for year</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12/31/2013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782,925</w:t>
            </w:r>
          </w:p>
        </w:tc>
        <w:tc>
          <w:tcPr>
            <w:tcW w:w="148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30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Participant Contributions Transferred Late to Plan for year</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12/31/2012</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160,323</w:t>
            </w:r>
          </w:p>
        </w:tc>
        <w:tc>
          <w:tcPr>
            <w:tcW w:w="148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30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Participant Contributions Transferred Late to Plan for year</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12/31/2011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256,821</w:t>
            </w:r>
          </w:p>
        </w:tc>
        <w:tc>
          <w:tcPr>
            <w:tcW w:w="148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30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Participant Contributions Transferred Late to Plan for year</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12/31/2010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30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Participant Contributions Transferred Late to Plan for year</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12/31/2009</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30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Prohibited Transaction Exemption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333-101295 of Comcast Corporation on Form S-8 of our report dated June 26, 2014, relating to the financial statements and supplemental schedules of the Comcast Spectacor 401(k) Plan, appearing in this Annual Report on Form 11-K of the Comcast Spectacor 401(k) Plan for the year ended December 31,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COMCAST SPECTACOR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ind w:left="5080"/>
        <w:spacing w:after="0"/>
        <w:tabs>
          <w:tab w:leader="none" w:pos="5560" w:val="left"/>
        </w:tabs>
        <w:rPr>
          <w:sz w:val="20"/>
          <w:szCs w:val="20"/>
          <w:color w:val="auto"/>
        </w:rPr>
      </w:pPr>
      <w:r>
        <w:rPr>
          <w:rFonts w:ascii="Times New Roman" w:cs="Times New Roman" w:eastAsia="Times New Roman" w:hAnsi="Times New Roman"/>
          <w:sz w:val="18"/>
          <w:szCs w:val="18"/>
          <w:color w:val="auto"/>
        </w:rPr>
        <w:t>By:</w:t>
        <w:tab/>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2014</w:t>
      </w:r>
    </w:p>
    <w:p>
      <w:pPr>
        <w:spacing w:after="0" w:line="9" w:lineRule="exact"/>
        <w:rPr>
          <w:sz w:val="20"/>
          <w:szCs w:val="20"/>
          <w:color w:val="auto"/>
        </w:rPr>
      </w:pPr>
    </w:p>
    <w:p>
      <w:pPr>
        <w:ind w:left="5080"/>
        <w:spacing w:after="0"/>
        <w:tabs>
          <w:tab w:leader="none" w:pos="5560" w:val="left"/>
        </w:tabs>
        <w:rPr>
          <w:sz w:val="20"/>
          <w:szCs w:val="20"/>
          <w:color w:val="auto"/>
        </w:rPr>
      </w:pPr>
      <w:r>
        <w:rPr>
          <w:rFonts w:ascii="Times New Roman" w:cs="Times New Roman" w:eastAsia="Times New Roman" w:hAnsi="Times New Roman"/>
          <w:sz w:val="18"/>
          <w:szCs w:val="18"/>
          <w:color w:val="auto"/>
        </w:rPr>
        <w:t>By:</w:t>
        <w:tab/>
        <w:t>/s/ Lawrence J. Salva</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and Controller</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1."/>
      <w:numFmt w:val="decimal"/>
      <w:start w:val="7"/>
    </w:lvl>
    <w:lvl w:ilvl="1">
      <w:lvlJc w:val="left"/>
      <w:lvlText w:val="%2."/>
      <w:numFmt w:val="lowerLetter"/>
      <w:start w:val="1"/>
    </w:lvl>
  </w:abstractNum>
  <w:abstractNum w:abstractNumId="12">
    <w:nsid w:val="3352255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2019-12-07T03:21:07Z</dcterms:created>
  <dcterms:modified xsi:type="dcterms:W3CDTF">2019-12-07T03:21:07Z</dcterms:modified>
</cp:coreProperties>
</file>