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956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Transition Report pursuant to Section 13 or 15(d) of the Securities Exchange Act of 1934 for the Transition Period from</w:t>
            </w:r>
          </w:p>
        </w:tc>
        <w:tc>
          <w:tcPr>
            <w:tcW w:w="620" w:type="dxa"/>
            <w:vAlign w:val="bottom"/>
          </w:tcPr>
          <w:p>
            <w:pPr>
              <w:ind w:left="460"/>
              <w:spacing w:after="0"/>
              <w:rPr>
                <w:sz w:val="20"/>
                <w:szCs w:val="20"/>
                <w:color w:val="auto"/>
              </w:rPr>
            </w:pPr>
            <w:r>
              <w:rPr>
                <w:rFonts w:ascii="Arial" w:cs="Arial" w:eastAsia="Arial" w:hAnsi="Arial"/>
                <w:sz w:val="18"/>
                <w:szCs w:val="18"/>
                <w:b w:val="1"/>
                <w:bCs w:val="1"/>
                <w:color w:val="auto"/>
                <w:w w:val="82"/>
              </w:rPr>
              <w:t>to</w:t>
            </w:r>
          </w:p>
        </w:tc>
      </w:tr>
      <w:tr>
        <w:trPr>
          <w:trHeight w:val="228"/>
        </w:trPr>
        <w:tc>
          <w:tcPr>
            <w:tcW w:w="300" w:type="dxa"/>
            <w:vAlign w:val="bottom"/>
          </w:tcPr>
          <w:p>
            <w:pPr>
              <w:spacing w:after="0"/>
              <w:rPr>
                <w:sz w:val="19"/>
                <w:szCs w:val="19"/>
                <w:color w:val="auto"/>
              </w:rPr>
            </w:pPr>
          </w:p>
        </w:tc>
        <w:tc>
          <w:tcPr>
            <w:tcW w:w="4220" w:type="dxa"/>
            <w:vAlign w:val="bottom"/>
          </w:tcPr>
          <w:p>
            <w:pPr>
              <w:jc w:val="right"/>
              <w:ind w:right="3052"/>
              <w:spacing w:after="0"/>
              <w:rPr>
                <w:sz w:val="20"/>
                <w:szCs w:val="20"/>
                <w:color w:val="auto"/>
              </w:rPr>
            </w:pPr>
            <w:r>
              <w:rPr>
                <w:rFonts w:ascii="Arial" w:cs="Arial" w:eastAsia="Arial" w:hAnsi="Arial"/>
                <w:sz w:val="18"/>
                <w:szCs w:val="18"/>
                <w:b w:val="1"/>
                <w:bCs w:val="1"/>
                <w:color w:val="auto"/>
              </w:rPr>
              <w:t>.</w:t>
            </w:r>
          </w:p>
        </w:tc>
        <w:tc>
          <w:tcPr>
            <w:tcW w:w="23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84"/>
        </w:trPr>
        <w:tc>
          <w:tcPr>
            <w:tcW w:w="300" w:type="dxa"/>
            <w:vAlign w:val="bottom"/>
          </w:tcPr>
          <w:p>
            <w:pPr>
              <w:spacing w:after="0"/>
              <w:rPr>
                <w:sz w:val="24"/>
                <w:szCs w:val="24"/>
                <w:color w:val="auto"/>
              </w:rPr>
            </w:pPr>
          </w:p>
        </w:tc>
        <w:tc>
          <w:tcPr>
            <w:tcW w:w="9560" w:type="dxa"/>
            <w:vAlign w:val="bottom"/>
            <w:gridSpan w:val="3"/>
          </w:tcPr>
          <w:p>
            <w:pPr>
              <w:ind w:left="4060"/>
              <w:spacing w:after="0"/>
              <w:rPr>
                <w:sz w:val="20"/>
                <w:szCs w:val="20"/>
                <w:color w:val="auto"/>
              </w:rPr>
            </w:pPr>
            <w:r>
              <w:rPr>
                <w:rFonts w:ascii="Arial" w:cs="Arial" w:eastAsia="Arial" w:hAnsi="Arial"/>
                <w:sz w:val="18"/>
                <w:szCs w:val="18"/>
                <w:b w:val="1"/>
                <w:bCs w:val="1"/>
                <w:color w:val="auto"/>
              </w:rPr>
              <w:t>Commission File Number 001-32871</w:t>
            </w:r>
          </w:p>
        </w:tc>
        <w:tc>
          <w:tcPr>
            <w:tcW w:w="620" w:type="dxa"/>
            <w:vAlign w:val="bottom"/>
          </w:tcPr>
          <w:p>
            <w:pPr>
              <w:spacing w:after="0"/>
              <w:rPr>
                <w:sz w:val="24"/>
                <w:szCs w:val="24"/>
                <w:color w:val="auto"/>
              </w:rPr>
            </w:pPr>
          </w:p>
        </w:tc>
      </w:tr>
      <w:tr>
        <w:trPr>
          <w:trHeight w:val="164"/>
        </w:trPr>
        <w:tc>
          <w:tcPr>
            <w:tcW w:w="3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43180</wp:posOffset>
            </wp:positionV>
            <wp:extent cx="2933065" cy="763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306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360" w:type="dxa"/>
        <w:tblCellMar>
          <w:top w:w="0" w:type="dxa"/>
          <w:left w:w="0" w:type="dxa"/>
          <w:bottom w:w="0" w:type="dxa"/>
          <w:right w:w="0" w:type="dxa"/>
        </w:tblCellMar>
      </w:tblP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94"/>
              </w:rPr>
              <w:t>PENNSYLVANIA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(State or other jurisdiction of</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0"/>
              </w:rPr>
              <w:t>(I.R.S. Employer</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incorporation or organization)</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88"/>
              </w:rPr>
              <w:t>One Comcast Center, Philadelphia, PA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19103-2838</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5" w:lineRule="exact"/>
        <w:rPr>
          <w:sz w:val="24"/>
          <w:szCs w:val="24"/>
          <w:color w:val="auto"/>
        </w:rPr>
      </w:pPr>
    </w:p>
    <w:p>
      <w:pPr>
        <w:ind w:left="20" w:right="4100"/>
        <w:spacing w:after="0" w:line="27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March 31, 2008, there were 2,036,114,846 shares of our Class A Common Stock, 915,367,810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1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500" w:type="dxa"/>
            <w:vAlign w:val="bottom"/>
            <w:gridSpan w:val="15"/>
          </w:tcPr>
          <w:p>
            <w:pPr>
              <w:spacing w:after="0" w:line="195" w:lineRule="exact"/>
              <w:rPr>
                <w:sz w:val="20"/>
                <w:szCs w:val="20"/>
                <w:color w:val="auto"/>
              </w:rPr>
            </w:pPr>
            <w:r>
              <w:rPr>
                <w:rFonts w:ascii="Arial" w:cs="Arial" w:eastAsia="Arial" w:hAnsi="Arial"/>
                <w:sz w:val="18"/>
                <w:szCs w:val="18"/>
                <w:b w:val="1"/>
                <w:bCs w:val="1"/>
                <w:color w:val="auto"/>
              </w:rPr>
              <w:t>PART I. FINANCIAL INFORMATION</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40" w:type="dxa"/>
            <w:vAlign w:val="bottom"/>
            <w:gridSpan w:val="2"/>
          </w:tcPr>
          <w:p>
            <w:pPr>
              <w:ind w:left="740"/>
              <w:spacing w:after="0" w:line="190" w:lineRule="exact"/>
              <w:rPr>
                <w:sz w:val="20"/>
                <w:szCs w:val="20"/>
                <w:color w:val="auto"/>
              </w:rPr>
            </w:pPr>
            <w:r>
              <w:rPr>
                <w:rFonts w:ascii="Arial" w:cs="Arial" w:eastAsia="Arial" w:hAnsi="Arial"/>
                <w:sz w:val="18"/>
                <w:szCs w:val="18"/>
                <w:b w:val="1"/>
                <w:bCs w:val="1"/>
                <w:color w:val="auto"/>
              </w:rPr>
              <w:t>Item 1.</w:t>
            </w:r>
          </w:p>
        </w:tc>
        <w:tc>
          <w:tcPr>
            <w:tcW w:w="1460" w:type="dxa"/>
            <w:vAlign w:val="bottom"/>
            <w:tcBorders>
              <w:bottom w:val="single" w:sz="8" w:color="0000EE"/>
            </w:tcBorders>
            <w:gridSpan w:val="4"/>
          </w:tcPr>
          <w:p>
            <w:pPr>
              <w:spacing w:after="0" w:line="190"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Financial Statements</w:t>
              </w:r>
            </w:hyperlink>
          </w:p>
        </w:tc>
        <w:tc>
          <w:tcPr>
            <w:tcW w:w="7300" w:type="dxa"/>
            <w:vAlign w:val="bottom"/>
            <w:gridSpan w:val="9"/>
          </w:tcPr>
          <w:p>
            <w:pPr>
              <w:spacing w:after="0"/>
              <w:rPr>
                <w:sz w:val="16"/>
                <w:szCs w:val="16"/>
                <w:color w:val="auto"/>
              </w:rPr>
            </w:pP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94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 as of March 31, 2008 and December 31, 2007 (Unaudited)</w:t>
              </w:r>
            </w:hyperlink>
          </w:p>
        </w:tc>
        <w:tc>
          <w:tcPr>
            <w:tcW w:w="182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 of Operations for the Three Months Ended March 31, 2008 and 2007 (Unaudited)</w:t>
              </w:r>
            </w:hyperlink>
          </w:p>
        </w:tc>
        <w:tc>
          <w:tcPr>
            <w:tcW w:w="48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60" w:type="dxa"/>
            <w:vAlign w:val="bottom"/>
            <w:gridSpan w:val="13"/>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 of Cash Flows for the Three Months Ended March 31, 2008 and 2007 (Unaudited)</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Item 2.</w:t>
            </w:r>
          </w:p>
        </w:tc>
        <w:tc>
          <w:tcPr>
            <w:tcW w:w="4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3540" w:type="dxa"/>
            <w:vAlign w:val="bottom"/>
            <w:tcBorders>
              <w:top w:val="single" w:sz="8" w:color="0000EE"/>
            </w:tcBorders>
            <w:gridSpan w:val="4"/>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63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Management’s Discussion and Analysis of Financial Condition and Results of Operations</w:t>
              </w:r>
            </w:hyperlink>
          </w:p>
        </w:tc>
        <w:tc>
          <w:tcPr>
            <w:tcW w:w="246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3.</w:t>
            </w:r>
          </w:p>
        </w:tc>
        <w:tc>
          <w:tcPr>
            <w:tcW w:w="42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Quantitative and Qualitative Disclosures About Market Risk</w:t>
              </w:r>
            </w:hyperlink>
          </w:p>
        </w:tc>
        <w:tc>
          <w:tcPr>
            <w:tcW w:w="4500" w:type="dxa"/>
            <w:vAlign w:val="bottom"/>
            <w:gridSpan w:val="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4.</w:t>
            </w:r>
          </w:p>
        </w:tc>
        <w:tc>
          <w:tcPr>
            <w:tcW w:w="172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Controls and Procedures</w:t>
              </w:r>
            </w:hyperlink>
          </w:p>
        </w:tc>
        <w:tc>
          <w:tcPr>
            <w:tcW w:w="7040" w:type="dxa"/>
            <w:vAlign w:val="bottom"/>
            <w:gridSpan w:val="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10520" w:type="dxa"/>
            <w:vAlign w:val="bottom"/>
            <w:gridSpan w:val="16"/>
          </w:tcPr>
          <w:p>
            <w:pPr>
              <w:spacing w:after="0"/>
              <w:rPr>
                <w:sz w:val="20"/>
                <w:szCs w:val="20"/>
                <w:color w:val="auto"/>
              </w:rPr>
            </w:pPr>
            <w:r>
              <w:rPr>
                <w:rFonts w:ascii="Arial" w:cs="Arial" w:eastAsia="Arial" w:hAnsi="Arial"/>
                <w:sz w:val="18"/>
                <w:szCs w:val="18"/>
                <w:b w:val="1"/>
                <w:bCs w:val="1"/>
                <w:color w:val="auto"/>
              </w:rPr>
              <w:t>PART II. OTHER INFORMATION</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40" w:type="dxa"/>
            <w:vAlign w:val="bottom"/>
            <w:gridSpan w:val="2"/>
          </w:tcPr>
          <w:p>
            <w:pPr>
              <w:ind w:left="740"/>
              <w:spacing w:after="0" w:line="190" w:lineRule="exact"/>
              <w:rPr>
                <w:sz w:val="20"/>
                <w:szCs w:val="20"/>
                <w:color w:val="auto"/>
              </w:rPr>
            </w:pPr>
            <w:r>
              <w:rPr>
                <w:rFonts w:ascii="Arial" w:cs="Arial" w:eastAsia="Arial" w:hAnsi="Arial"/>
                <w:sz w:val="18"/>
                <w:szCs w:val="18"/>
                <w:b w:val="1"/>
                <w:bCs w:val="1"/>
                <w:color w:val="auto"/>
              </w:rPr>
              <w:t>Item 1.</w:t>
            </w:r>
          </w:p>
        </w:tc>
        <w:tc>
          <w:tcPr>
            <w:tcW w:w="1300" w:type="dxa"/>
            <w:vAlign w:val="bottom"/>
            <w:tcBorders>
              <w:bottom w:val="single" w:sz="8" w:color="0000EE"/>
            </w:tcBorders>
            <w:gridSpan w:val="3"/>
          </w:tcPr>
          <w:p>
            <w:pPr>
              <w:spacing w:after="0" w:line="190"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Legal Proceedings</w:t>
              </w:r>
            </w:hyperlink>
          </w:p>
        </w:tc>
        <w:tc>
          <w:tcPr>
            <w:tcW w:w="7460" w:type="dxa"/>
            <w:vAlign w:val="bottom"/>
            <w:gridSpan w:val="10"/>
          </w:tcPr>
          <w:p>
            <w:pPr>
              <w:spacing w:after="0"/>
              <w:rPr>
                <w:sz w:val="16"/>
                <w:szCs w:val="16"/>
                <w:color w:val="auto"/>
              </w:rPr>
            </w:pP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1A.</w:t>
            </w: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Risk Factors</w:t>
              </w:r>
            </w:hyperlink>
          </w:p>
        </w:tc>
        <w:tc>
          <w:tcPr>
            <w:tcW w:w="7880" w:type="dxa"/>
            <w:vAlign w:val="bottom"/>
            <w:gridSpan w:val="1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2.</w:t>
            </w:r>
          </w:p>
        </w:tc>
        <w:tc>
          <w:tcPr>
            <w:tcW w:w="42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27">
              <w:r>
                <w:rPr>
                  <w:rFonts w:ascii="Arial" w:cs="Arial" w:eastAsia="Arial" w:hAnsi="Arial"/>
                  <w:sz w:val="18"/>
                  <w:szCs w:val="18"/>
                  <w:color w:val="0000EE"/>
                  <w:w w:val="86"/>
                </w:rPr>
                <w:t>Unregistered Sales of Equity Securities and Use of Proceeds</w:t>
              </w:r>
            </w:hyperlink>
          </w:p>
        </w:tc>
        <w:tc>
          <w:tcPr>
            <w:tcW w:w="4520" w:type="dxa"/>
            <w:vAlign w:val="bottom"/>
            <w:gridSpan w:val="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40" w:type="dxa"/>
            <w:vAlign w:val="bottom"/>
            <w:gridSpan w:val="2"/>
          </w:tcPr>
          <w:p>
            <w:pPr>
              <w:ind w:left="740"/>
              <w:spacing w:after="0" w:line="196" w:lineRule="exact"/>
              <w:rPr>
                <w:sz w:val="20"/>
                <w:szCs w:val="20"/>
                <w:color w:val="auto"/>
              </w:rPr>
            </w:pPr>
            <w:r>
              <w:rPr>
                <w:rFonts w:ascii="Arial" w:cs="Arial" w:eastAsia="Arial" w:hAnsi="Arial"/>
                <w:sz w:val="18"/>
                <w:szCs w:val="18"/>
                <w:b w:val="1"/>
                <w:bCs w:val="1"/>
                <w:color w:val="auto"/>
              </w:rPr>
              <w:t>Item 6.</w:t>
            </w:r>
          </w:p>
        </w:tc>
        <w:tc>
          <w:tcPr>
            <w:tcW w:w="8760" w:type="dxa"/>
            <w:vAlign w:val="bottom"/>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4"/>
              </w:rPr>
            </w:pPr>
            <w:hyperlink w:anchor="page29">
              <w:r>
                <w:rPr>
                  <w:rFonts w:ascii="Arial" w:cs="Arial" w:eastAsia="Arial" w:hAnsi="Arial"/>
                  <w:sz w:val="18"/>
                  <w:szCs w:val="18"/>
                  <w:b w:val="1"/>
                  <w:bCs w:val="1"/>
                  <w:color w:val="0000EE"/>
                  <w:w w:val="94"/>
                </w:rPr>
                <w:t>SIGNATURES</w:t>
              </w:r>
            </w:hyperlink>
          </w:p>
        </w:tc>
        <w:tc>
          <w:tcPr>
            <w:tcW w:w="6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Quarterly Report on Form 10-Q is for the three months ended March 31, 2008. This Quarterly Report modifies and supersedes documents filed prior to this Quarterly Report. The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those statements are only our predictions. In evaluating those statements, you should specifically consider various factors, including the risks outlined below. Actual events or our actual results may differ materially from any of our forward-looking statements.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77" w:lineRule="exact"/>
        <w:rPr>
          <w:sz w:val="20"/>
          <w:szCs w:val="20"/>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of the services offered by our cable systems face a wide range of competition that could adversely affect our future results of operations</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programming expenses are increasing, which could adversely affect our future results of operations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additional costs and restrictions</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weakening economic conditions may reduce subscriber spending on video, Internet and phone services and may reduce our rate of growth of subscriber additions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37"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38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March 31,</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8940" w:type="dxa"/>
            <w:vAlign w:val="bottom"/>
            <w:gridSpan w:val="2"/>
          </w:tcPr>
          <w:p>
            <w:pPr>
              <w:spacing w:after="0"/>
              <w:rPr>
                <w:sz w:val="20"/>
                <w:szCs w:val="20"/>
                <w:color w:val="auto"/>
              </w:rPr>
            </w:pPr>
            <w:r>
              <w:rPr>
                <w:rFonts w:ascii="Arial" w:cs="Arial" w:eastAsia="Arial" w:hAnsi="Arial"/>
                <w:sz w:val="14"/>
                <w:szCs w:val="14"/>
                <w:color w:val="auto"/>
              </w:rPr>
              <w:t>(in millions, except share data)</w:t>
            </w:r>
          </w:p>
        </w:tc>
        <w:tc>
          <w:tcPr>
            <w:tcW w:w="540" w:type="dxa"/>
            <w:vAlign w:val="bottom"/>
          </w:tcPr>
          <w:p>
            <w:pPr>
              <w:spacing w:after="0"/>
              <w:rPr>
                <w:sz w:val="14"/>
                <w:szCs w:val="14"/>
                <w:color w:val="auto"/>
              </w:rPr>
            </w:pPr>
          </w:p>
        </w:tc>
        <w:tc>
          <w:tcPr>
            <w:tcW w:w="840" w:type="dxa"/>
            <w:vAlign w:val="bottom"/>
          </w:tcPr>
          <w:p>
            <w:pPr>
              <w:jc w:val="right"/>
              <w:ind w:right="393"/>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700" w:type="dxa"/>
            <w:vAlign w:val="bottom"/>
          </w:tcPr>
          <w:p>
            <w:pPr>
              <w:jc w:val="right"/>
              <w:ind w:right="253"/>
              <w:spacing w:after="0"/>
              <w:rPr>
                <w:sz w:val="20"/>
                <w:szCs w:val="20"/>
                <w:color w:val="auto"/>
              </w:rPr>
            </w:pPr>
            <w:r>
              <w:rPr>
                <w:rFonts w:ascii="Arial" w:cs="Arial" w:eastAsia="Arial" w:hAnsi="Arial"/>
                <w:sz w:val="14"/>
                <w:szCs w:val="14"/>
                <w:b w:val="1"/>
                <w:bCs w:val="1"/>
                <w:color w:val="auto"/>
              </w:rPr>
              <w:t>2007</w:t>
            </w:r>
          </w:p>
        </w:tc>
      </w:tr>
      <w:tr>
        <w:trPr>
          <w:trHeight w:val="210"/>
        </w:trPr>
        <w:tc>
          <w:tcPr>
            <w:tcW w:w="20" w:type="dxa"/>
            <w:vAlign w:val="bottom"/>
          </w:tcPr>
          <w:p>
            <w:pPr>
              <w:spacing w:after="0"/>
              <w:rPr>
                <w:sz w:val="18"/>
                <w:szCs w:val="18"/>
                <w:color w:val="auto"/>
              </w:rPr>
            </w:pPr>
          </w:p>
        </w:tc>
        <w:tc>
          <w:tcPr>
            <w:tcW w:w="8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54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635</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963</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86</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less allowance for doubtful accounts of $167 and $181</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1,497</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1,645</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886</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r>
      <w:tr>
        <w:trPr>
          <w:trHeight w:val="210"/>
        </w:trPr>
        <w:tc>
          <w:tcPr>
            <w:tcW w:w="20" w:type="dxa"/>
            <w:vAlign w:val="bottom"/>
          </w:tcPr>
          <w:p>
            <w:pPr>
              <w:spacing w:after="0"/>
              <w:rPr>
                <w:sz w:val="18"/>
                <w:szCs w:val="18"/>
                <w:color w:val="auto"/>
              </w:rPr>
            </w:pPr>
          </w:p>
        </w:tc>
        <w:tc>
          <w:tcPr>
            <w:tcW w:w="892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3,104</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3,667</w:t>
            </w: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Investments</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5,800</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7,963</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$20,955 and $19,808</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98"/>
              </w:rPr>
              <w:t>23,949</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23,624</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Franchise rights</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w w:val="98"/>
              </w:rPr>
              <w:t>59,447</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58,077</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98"/>
              </w:rPr>
              <w:t>14,867</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14,705</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$7,282 and $6,977</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4,690</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4,739</w:t>
            </w:r>
          </w:p>
        </w:tc>
      </w:tr>
      <w:tr>
        <w:trPr>
          <w:trHeight w:val="216"/>
        </w:trPr>
        <w:tc>
          <w:tcPr>
            <w:tcW w:w="20" w:type="dxa"/>
            <w:vAlign w:val="bottom"/>
          </w:tcPr>
          <w:p>
            <w:pPr>
              <w:spacing w:after="0"/>
              <w:rPr>
                <w:sz w:val="18"/>
                <w:szCs w:val="18"/>
                <w:color w:val="auto"/>
              </w:rPr>
            </w:pPr>
          </w:p>
        </w:tc>
        <w:tc>
          <w:tcPr>
            <w:tcW w:w="89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5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967</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642</w:t>
            </w:r>
          </w:p>
        </w:tc>
      </w:tr>
      <w:tr>
        <w:trPr>
          <w:trHeight w:val="217"/>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w w:val="82"/>
              </w:rPr>
              <w:t>112,824</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113,417</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2,982</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3,336</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3,071</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3,121</w:t>
            </w:r>
          </w:p>
        </w:tc>
      </w:tr>
      <w:tr>
        <w:trPr>
          <w:trHeight w:val="216"/>
        </w:trPr>
        <w:tc>
          <w:tcPr>
            <w:tcW w:w="20" w:type="dxa"/>
            <w:vAlign w:val="bottom"/>
          </w:tcPr>
          <w:p>
            <w:pPr>
              <w:spacing w:after="0"/>
              <w:rPr>
                <w:sz w:val="18"/>
                <w:szCs w:val="18"/>
                <w:color w:val="auto"/>
              </w:rPr>
            </w:pPr>
          </w:p>
        </w:tc>
        <w:tc>
          <w:tcPr>
            <w:tcW w:w="892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1,350</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1,495</w:t>
            </w:r>
          </w:p>
        </w:tc>
      </w:tr>
      <w:tr>
        <w:trPr>
          <w:trHeight w:val="210"/>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7,403</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7,952</w:t>
            </w:r>
          </w:p>
        </w:tc>
      </w:tr>
      <w:tr>
        <w:trPr>
          <w:trHeight w:val="210"/>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98"/>
              </w:rPr>
              <w:t>30,009</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29,828</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w w:val="98"/>
              </w:rPr>
              <w:t>27,116</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26,880</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7,110</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7,167</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Minority interest</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388</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spacing w:after="0"/>
              <w:rPr>
                <w:sz w:val="20"/>
                <w:szCs w:val="20"/>
                <w:color w:val="auto"/>
              </w:rPr>
            </w:pPr>
            <w:r>
              <w:rPr>
                <w:rFonts w:ascii="Arial" w:cs="Arial" w:eastAsia="Arial" w:hAnsi="Arial"/>
                <w:sz w:val="18"/>
                <w:szCs w:val="18"/>
                <w:color w:val="auto"/>
              </w:rPr>
              <w:t>Commitments and Contingencies (Note 10)</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w w:val="89"/>
              </w:rPr>
              <w:t>Class A common stock, $0.01 par value—authorized, 7,500,000,000 shares; issued, 2,401,575,596 and 2,419,025,659;</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640"/>
              <w:spacing w:after="0"/>
              <w:rPr>
                <w:sz w:val="20"/>
                <w:szCs w:val="20"/>
                <w:color w:val="auto"/>
              </w:rPr>
            </w:pPr>
            <w:r>
              <w:rPr>
                <w:rFonts w:ascii="Arial" w:cs="Arial" w:eastAsia="Arial" w:hAnsi="Arial"/>
                <w:sz w:val="18"/>
                <w:szCs w:val="18"/>
                <w:color w:val="auto"/>
              </w:rPr>
              <w:t>outstanding, 2,036,114,846 and 2,053,564,909</w:t>
            </w:r>
          </w:p>
        </w:tc>
        <w:tc>
          <w:tcPr>
            <w:tcW w:w="540" w:type="dxa"/>
            <w:vAlign w:val="bottom"/>
          </w:tcPr>
          <w:p>
            <w:pPr>
              <w:spacing w:after="0"/>
              <w:rPr>
                <w:sz w:val="19"/>
                <w:szCs w:val="19"/>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6"/>
              </w:rPr>
              <w:t>Class A Special common stock, $0.01 par value—authorized, 7,500,000,000 shares; issued, 986,302,574 and</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9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1,018,960,463; outstanding, 915,367,810 and 948,025,699</w:t>
            </w:r>
          </w:p>
        </w:tc>
        <w:tc>
          <w:tcPr>
            <w:tcW w:w="54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10</w:t>
            </w:r>
          </w:p>
        </w:tc>
        <w:tc>
          <w:tcPr>
            <w:tcW w:w="40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w w:val="98"/>
              </w:rPr>
              <w:t>Class B common stock, $0.01 par value—authorized, 75,000,000 shares; issued and outstanding, 9,444,375</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98"/>
              </w:rPr>
              <w:t>41,151</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41,688</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540" w:type="dxa"/>
            <w:vAlign w:val="bottom"/>
          </w:tcPr>
          <w:p>
            <w:pPr>
              <w:spacing w:after="0"/>
              <w:rPr>
                <w:sz w:val="18"/>
                <w:szCs w:val="18"/>
                <w:color w:val="auto"/>
              </w:rPr>
            </w:pPr>
          </w:p>
        </w:tc>
        <w:tc>
          <w:tcPr>
            <w:tcW w:w="840" w:type="dxa"/>
            <w:vAlign w:val="bottom"/>
          </w:tcPr>
          <w:p>
            <w:pPr>
              <w:jc w:val="right"/>
              <w:ind w:right="193"/>
              <w:spacing w:after="0"/>
              <w:rPr>
                <w:sz w:val="20"/>
                <w:szCs w:val="20"/>
                <w:color w:val="auto"/>
              </w:rPr>
            </w:pPr>
            <w:r>
              <w:rPr>
                <w:rFonts w:ascii="Arial" w:cs="Arial" w:eastAsia="Arial" w:hAnsi="Arial"/>
                <w:sz w:val="18"/>
                <w:szCs w:val="18"/>
                <w:color w:val="auto"/>
              </w:rPr>
              <w:t>7,187</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7,191</w:t>
            </w:r>
          </w:p>
        </w:tc>
      </w:tr>
      <w:tr>
        <w:trPr>
          <w:trHeight w:val="216"/>
        </w:trPr>
        <w:tc>
          <w:tcPr>
            <w:tcW w:w="20" w:type="dxa"/>
            <w:vAlign w:val="bottom"/>
          </w:tcPr>
          <w:p>
            <w:pPr>
              <w:spacing w:after="0"/>
              <w:rPr>
                <w:sz w:val="18"/>
                <w:szCs w:val="18"/>
                <w:color w:val="auto"/>
              </w:rPr>
            </w:pPr>
          </w:p>
        </w:tc>
        <w:tc>
          <w:tcPr>
            <w:tcW w:w="8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Treasury stock—365,460,750 Class A common shares and 70,934,764 Class A Special common shares</w:t>
            </w:r>
          </w:p>
        </w:tc>
        <w:tc>
          <w:tcPr>
            <w:tcW w:w="5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(7,517)</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(57)</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20" w:type="dxa"/>
            <w:vAlign w:val="bottom"/>
          </w:tcPr>
          <w:p>
            <w:pPr>
              <w:spacing w:after="0"/>
              <w:rPr>
                <w:sz w:val="18"/>
                <w:szCs w:val="18"/>
                <w:color w:val="auto"/>
              </w:rPr>
            </w:pPr>
          </w:p>
        </w:tc>
        <w:tc>
          <w:tcPr>
            <w:tcW w:w="892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8"/>
              </w:rPr>
              <w:t>40,798</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41,340</w:t>
            </w:r>
          </w:p>
        </w:tc>
      </w:tr>
      <w:tr>
        <w:trPr>
          <w:trHeight w:val="217"/>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w w:val="82"/>
              </w:rPr>
              <w:t>112,824</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113,417</w:t>
            </w:r>
          </w:p>
        </w:tc>
      </w:tr>
    </w:tbl>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Operations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gridSpan w:val="3"/>
          </w:tcPr>
          <w:p>
            <w:pPr>
              <w:jc w:val="right"/>
              <w:ind w:right="173"/>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930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2"/>
                <w:szCs w:val="12"/>
                <w:color w:val="auto"/>
              </w:rPr>
            </w:pPr>
          </w:p>
        </w:tc>
        <w:tc>
          <w:tcPr>
            <w:tcW w:w="5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89"/>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w w:val="93"/>
              </w:rPr>
              <w:t>8,389</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7"/>
              </w:rPr>
              <w:t>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(excluding depreciation and amortization)</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w w:val="93"/>
              </w:rPr>
              <w:t>3,107</w:t>
            </w:r>
          </w:p>
        </w:tc>
        <w:tc>
          <w:tcPr>
            <w:tcW w:w="3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8"/>
                <w:szCs w:val="18"/>
                <w:color w:val="auto"/>
              </w:rPr>
            </w:pPr>
          </w:p>
        </w:tc>
        <w:tc>
          <w:tcPr>
            <w:tcW w:w="720" w:type="dxa"/>
            <w:vAlign w:val="bottom"/>
          </w:tcPr>
          <w:p>
            <w:pPr>
              <w:jc w:val="right"/>
              <w:ind w:right="195"/>
              <w:spacing w:after="0"/>
              <w:rPr>
                <w:sz w:val="20"/>
                <w:szCs w:val="20"/>
                <w:color w:val="auto"/>
              </w:rPr>
            </w:pPr>
            <w:r>
              <w:rPr>
                <w:rFonts w:ascii="Arial" w:cs="Arial" w:eastAsia="Arial" w:hAnsi="Arial"/>
                <w:sz w:val="18"/>
                <w:szCs w:val="18"/>
                <w:color w:val="auto"/>
                <w:w w:val="93"/>
              </w:rPr>
              <w:t>2,108</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w w:val="93"/>
              </w:rPr>
              <w:t>1,390</w:t>
            </w:r>
          </w:p>
        </w:tc>
        <w:tc>
          <w:tcPr>
            <w:tcW w:w="3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229</w:t>
            </w: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Borders>
              <w:bottom w:val="single" w:sz="8" w:color="E5E5E5"/>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w w:val="93"/>
              </w:rPr>
              <w:t>6,834</w:t>
            </w:r>
          </w:p>
        </w:tc>
        <w:tc>
          <w:tcPr>
            <w:tcW w:w="3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7"/>
              </w:rPr>
              <w:t>6,127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18"/>
                <w:szCs w:val="18"/>
                <w:color w:val="auto"/>
              </w:rPr>
            </w:pPr>
          </w:p>
        </w:tc>
        <w:tc>
          <w:tcPr>
            <w:tcW w:w="720" w:type="dxa"/>
            <w:vAlign w:val="bottom"/>
          </w:tcPr>
          <w:p>
            <w:pPr>
              <w:jc w:val="right"/>
              <w:ind w:right="195"/>
              <w:spacing w:after="0"/>
              <w:rPr>
                <w:sz w:val="20"/>
                <w:szCs w:val="20"/>
                <w:color w:val="auto"/>
              </w:rPr>
            </w:pPr>
            <w:r>
              <w:rPr>
                <w:rFonts w:ascii="Arial" w:cs="Arial" w:eastAsia="Arial" w:hAnsi="Arial"/>
                <w:sz w:val="18"/>
                <w:szCs w:val="18"/>
                <w:color w:val="auto"/>
                <w:w w:val="93"/>
              </w:rPr>
              <w:t>1,555</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720" w:type="dxa"/>
            <w:vAlign w:val="bottom"/>
          </w:tcPr>
          <w:p>
            <w:pPr>
              <w:jc w:val="right"/>
              <w:ind w:right="135"/>
              <w:spacing w:after="0"/>
              <w:rPr>
                <w:sz w:val="20"/>
                <w:szCs w:val="20"/>
                <w:color w:val="auto"/>
              </w:rPr>
            </w:pPr>
            <w:r>
              <w:rPr>
                <w:rFonts w:ascii="Arial" w:cs="Arial" w:eastAsia="Arial" w:hAnsi="Arial"/>
                <w:sz w:val="18"/>
                <w:szCs w:val="18"/>
                <w:color w:val="auto"/>
              </w:rPr>
              <w:t>(621)</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 income (loss), net</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79</w:t>
            </w:r>
          </w:p>
        </w:tc>
        <w:tc>
          <w:tcPr>
            <w:tcW w:w="3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Equity in net (losses) income of affiliates, net</w:t>
            </w:r>
          </w:p>
        </w:tc>
        <w:tc>
          <w:tcPr>
            <w:tcW w:w="540" w:type="dxa"/>
            <w:vAlign w:val="bottom"/>
          </w:tcPr>
          <w:p>
            <w:pPr>
              <w:spacing w:after="0"/>
              <w:rPr>
                <w:sz w:val="18"/>
                <w:szCs w:val="18"/>
                <w:color w:val="auto"/>
              </w:rPr>
            </w:pPr>
          </w:p>
        </w:tc>
        <w:tc>
          <w:tcPr>
            <w:tcW w:w="720" w:type="dxa"/>
            <w:vAlign w:val="bottom"/>
          </w:tcPr>
          <w:p>
            <w:pPr>
              <w:jc w:val="right"/>
              <w:ind w:right="135"/>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Other income (expense)</w:t>
            </w:r>
          </w:p>
        </w:tc>
        <w:tc>
          <w:tcPr>
            <w:tcW w:w="5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268</w:t>
            </w:r>
          </w:p>
        </w:tc>
        <w:tc>
          <w:tcPr>
            <w:tcW w:w="3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(309)</w:t>
            </w: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Income before income taxes and minority interest</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w w:val="93"/>
              </w:rPr>
              <w:t>1,246</w:t>
            </w:r>
          </w:p>
        </w:tc>
        <w:tc>
          <w:tcPr>
            <w:tcW w:w="3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(508)</w:t>
            </w: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Income before minority interest</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738</w:t>
            </w:r>
          </w:p>
        </w:tc>
        <w:tc>
          <w:tcPr>
            <w:tcW w:w="3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Minority interest</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b w:val="1"/>
                <w:bCs w:val="1"/>
                <w:color w:val="auto"/>
              </w:rPr>
              <w:t>732</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b w:val="1"/>
                <w:bCs w:val="1"/>
                <w:color w:val="auto"/>
              </w:rPr>
              <w:t>Basic earnings per common share</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95"/>
              <w:spacing w:after="0"/>
              <w:rPr>
                <w:sz w:val="20"/>
                <w:szCs w:val="20"/>
                <w:color w:val="auto"/>
              </w:rPr>
            </w:pPr>
            <w:r>
              <w:rPr>
                <w:rFonts w:ascii="Arial" w:cs="Arial" w:eastAsia="Arial" w:hAnsi="Arial"/>
                <w:sz w:val="18"/>
                <w:szCs w:val="18"/>
                <w:b w:val="1"/>
                <w:bCs w:val="1"/>
                <w:color w:val="auto"/>
              </w:rPr>
              <w:t>0.24</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E5E5"/>
          </w:tcPr>
          <w:p>
            <w:pPr>
              <w:jc w:val="right"/>
              <w:ind w:right="195"/>
              <w:spacing w:after="0"/>
              <w:rPr>
                <w:sz w:val="20"/>
                <w:szCs w:val="20"/>
                <w:color w:val="auto"/>
              </w:rPr>
            </w:pPr>
            <w:r>
              <w:rPr>
                <w:rFonts w:ascii="Arial" w:cs="Arial" w:eastAsia="Arial" w:hAnsi="Arial"/>
                <w:sz w:val="18"/>
                <w:szCs w:val="18"/>
                <w:b w:val="1"/>
                <w:bCs w:val="1"/>
                <w:color w:val="auto"/>
              </w:rPr>
              <w:t>0.24</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0.06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COMCAST CORPORATION AND SUBSIDIARIES — FORM 10-Q</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QUARTER ENDED MARCH 31, 2008</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Condensed Consolidated Statement of Cash Flows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FINANCING ACTIVITIES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Proceeds from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Retirements and repayments of debt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Issuances of common stock</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5"/>
          <w:szCs w:val="15"/>
          <w:b w:val="1"/>
          <w:bCs w:val="1"/>
          <w:color w:val="auto"/>
        </w:rPr>
        <w:t>Net cash provided by (used in) financing activities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 expenditures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paid for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Acquisitions, net of cash acquired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Proceeds from sales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Purchases of investments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-7620</wp:posOffset>
            </wp:positionV>
            <wp:extent cx="13379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140"/>
        <w:spacing w:after="0"/>
        <w:tabs>
          <w:tab w:leader="none" w:pos="118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2007</w:t>
      </w:r>
    </w:p>
    <w:p>
      <w:pPr>
        <w:spacing w:after="0" w:line="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$ 2,259</w:t>
      </w:r>
      <w:r>
        <w:rPr>
          <w:sz w:val="20"/>
          <w:szCs w:val="20"/>
          <w:color w:val="auto"/>
        </w:rPr>
        <w:tab/>
      </w:r>
      <w:r>
        <w:rPr>
          <w:rFonts w:ascii="Arial" w:cs="Arial" w:eastAsia="Arial" w:hAnsi="Arial"/>
          <w:sz w:val="16"/>
          <w:szCs w:val="16"/>
          <w:b w:val="1"/>
          <w:bCs w:val="1"/>
          <w:color w:val="auto"/>
        </w:rPr>
        <w:t>$ 1,965</w:t>
      </w:r>
    </w:p>
    <w:p>
      <w:pPr>
        <w:spacing w:after="0" w:line="217" w:lineRule="exact"/>
        <w:rPr>
          <w:sz w:val="20"/>
          <w:szCs w:val="20"/>
          <w:color w:val="auto"/>
        </w:rPr>
      </w:pPr>
    </w:p>
    <w:p>
      <w:pPr>
        <w:ind w:left="300"/>
        <w:spacing w:after="0"/>
        <w:tabs>
          <w:tab w:leader="none" w:pos="150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3</w:t>
      </w:r>
    </w:p>
    <w:p>
      <w:pPr>
        <w:spacing w:after="0" w:line="15" w:lineRule="exact"/>
        <w:rPr>
          <w:sz w:val="20"/>
          <w:szCs w:val="20"/>
          <w:color w:val="auto"/>
        </w:rPr>
      </w:pPr>
    </w:p>
    <w:p>
      <w:pPr>
        <w:ind w:left="1300" w:hanging="1063"/>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(704)</w:t>
      </w:r>
    </w:p>
    <w:p>
      <w:pPr>
        <w:spacing w:after="0" w:line="32"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860" w:type="dxa"/>
            <w:vAlign w:val="bottom"/>
          </w:tcPr>
          <w:p>
            <w:pPr>
              <w:jc w:val="right"/>
              <w:ind w:right="252"/>
              <w:spacing w:after="0"/>
              <w:rPr>
                <w:sz w:val="20"/>
                <w:szCs w:val="20"/>
                <w:color w:val="auto"/>
              </w:rPr>
            </w:pPr>
            <w:r>
              <w:rPr>
                <w:rFonts w:ascii="Arial" w:cs="Arial" w:eastAsia="Arial" w:hAnsi="Arial"/>
                <w:sz w:val="18"/>
                <w:szCs w:val="18"/>
                <w:color w:val="auto"/>
                <w:w w:val="87"/>
              </w:rPr>
              <w:t>(1,000)</w:t>
            </w: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2"/>
        </w:trPr>
        <w:tc>
          <w:tcPr>
            <w:tcW w:w="860" w:type="dxa"/>
            <w:vAlign w:val="bottom"/>
          </w:tcPr>
          <w:p>
            <w:pPr>
              <w:jc w:val="right"/>
              <w:ind w:right="312"/>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r>
    </w:tbl>
    <w:p>
      <w:pPr>
        <w:ind w:left="1520" w:hanging="1195"/>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4</w:t>
      </w:r>
    </w:p>
    <w:p>
      <w:pPr>
        <w:spacing w:after="0" w:line="10"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b w:val="1"/>
          <w:bCs w:val="1"/>
          <w:color w:val="auto"/>
        </w:rPr>
        <w:t>(1,044)</w:t>
      </w:r>
      <w:r>
        <w:rPr>
          <w:rFonts w:ascii="Arial" w:cs="Arial" w:eastAsia="Arial" w:hAnsi="Arial"/>
          <w:sz w:val="16"/>
          <w:szCs w:val="16"/>
          <w:b w:val="1"/>
          <w:bCs w:val="1"/>
          <w:color w:val="auto"/>
        </w:rPr>
        <w:t>(979)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14605</wp:posOffset>
            </wp:positionV>
            <wp:extent cx="13379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25"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6"/>
          <w:szCs w:val="16"/>
          <w:color w:val="auto"/>
        </w:rPr>
        <w:t>(1,431)</w:t>
      </w:r>
      <w:r>
        <w:rPr>
          <w:sz w:val="20"/>
          <w:szCs w:val="20"/>
          <w:color w:val="auto"/>
        </w:rPr>
        <w:tab/>
      </w:r>
      <w:r>
        <w:rPr>
          <w:rFonts w:ascii="Arial" w:cs="Arial" w:eastAsia="Arial" w:hAnsi="Arial"/>
          <w:sz w:val="16"/>
          <w:szCs w:val="16"/>
          <w:color w:val="auto"/>
        </w:rPr>
        <w:t>(1,454)</w:t>
      </w:r>
    </w:p>
    <w:p>
      <w:pPr>
        <w:spacing w:after="0" w:line="38" w:lineRule="exact"/>
        <w:rPr>
          <w:sz w:val="20"/>
          <w:szCs w:val="20"/>
          <w:color w:val="auto"/>
        </w:rPr>
      </w:pPr>
    </w:p>
    <w:p>
      <w:pPr>
        <w:ind w:left="1300" w:hanging="1063"/>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(118)</w:t>
      </w:r>
    </w:p>
    <w:p>
      <w:pPr>
        <w:spacing w:after="0" w:line="32" w:lineRule="exact"/>
        <w:rPr>
          <w:sz w:val="20"/>
          <w:szCs w:val="20"/>
          <w:color w:val="auto"/>
        </w:rPr>
      </w:pPr>
    </w:p>
    <w:p>
      <w:pPr>
        <w:ind w:left="1460" w:hanging="1135"/>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(9)</w:t>
      </w:r>
    </w:p>
    <w:p>
      <w:pPr>
        <w:spacing w:after="0" w:line="9"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392</w:t>
      </w:r>
    </w:p>
    <w:p>
      <w:pPr>
        <w:spacing w:after="0" w:line="9" w:lineRule="exact"/>
        <w:rPr>
          <w:sz w:val="20"/>
          <w:szCs w:val="20"/>
          <w:color w:val="auto"/>
        </w:rPr>
      </w:pPr>
    </w:p>
    <w:p>
      <w:pPr>
        <w:ind w:left="1380" w:hanging="1055"/>
        <w:spacing w:after="0"/>
        <w:tabs>
          <w:tab w:leader="none" w:pos="1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(21)</w:t>
      </w:r>
    </w:p>
    <w:p>
      <w:pPr>
        <w:spacing w:after="0" w:line="42" w:lineRule="exact"/>
        <w:rPr>
          <w:sz w:val="20"/>
          <w:szCs w:val="20"/>
          <w:color w:val="auto"/>
        </w:rPr>
      </w:pPr>
    </w:p>
    <w:p>
      <w:pPr>
        <w:sectPr>
          <w:pgSz w:w="11900" w:h="16838" w:orient="portrait"/>
          <w:cols w:equalWidth="0" w:num="2">
            <w:col w:w="9020" w:space="720"/>
            <w:col w:w="16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320" w:type="dxa"/>
            <w:vAlign w:val="bottom"/>
            <w:tcBorders>
              <w:bottom w:val="single" w:sz="8" w:color="E5E5E5"/>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20</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9320" w:type="dxa"/>
            <w:vAlign w:val="bottom"/>
          </w:tcPr>
          <w:p>
            <w:pPr>
              <w:ind w:left="88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(1,543)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(1,188)</w:t>
            </w:r>
          </w:p>
        </w:tc>
      </w:tr>
      <w:tr>
        <w:trPr>
          <w:trHeight w:val="210"/>
        </w:trPr>
        <w:tc>
          <w:tcPr>
            <w:tcW w:w="932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12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(328)</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963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r>
      <w:tr>
        <w:trPr>
          <w:trHeight w:val="210"/>
        </w:trPr>
        <w:tc>
          <w:tcPr>
            <w:tcW w:w="9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60" w:type="dxa"/>
            <w:vAlign w:val="bottom"/>
            <w:shd w:val="clear" w:color="auto" w:fill="E5E5E5"/>
          </w:tcPr>
          <w:p>
            <w:pPr>
              <w:jc w:val="right"/>
              <w:ind w:right="192"/>
              <w:spacing w:after="0"/>
              <w:rPr>
                <w:sz w:val="20"/>
                <w:szCs w:val="20"/>
                <w:color w:val="auto"/>
              </w:rPr>
            </w:pPr>
            <w:r>
              <w:rPr>
                <w:rFonts w:ascii="Arial" w:cs="Arial" w:eastAsia="Arial" w:hAnsi="Arial"/>
                <w:sz w:val="18"/>
                <w:szCs w:val="18"/>
                <w:b w:val="1"/>
                <w:bCs w:val="1"/>
                <w:color w:val="auto"/>
              </w:rPr>
              <w:t>$  635</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$ 1,037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prepared these unaudited condensed consolidated financial statements based on Securities and Exchange Commission (“SEC”) rules that permit reduced disclosure for interim periods.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include all adjustments that are necessary for a fair presentation of our results of operations and financial condition for the periods shown, including normal, recurring accruals and other items. The results of operations for the interim periods presented are not necessarily indicative of results for the full year.</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annual financial statements for the preceding fiscal year as filed with the SEC.</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157</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September 2006, the Financial Accounting Standards Board (“FASB”) issued SFAS No. 157, “Fair Value Measurements” (“SFAS No. 157”). SFAS No. 157 defines fair value, establishes a framework for measuring fair value and expands disclosure about fair value measurements. SFAS No. 157 is effective for financial assets and financial liabilities in fiscal years beginning after November 15, 2007 and for nonfinancial assets and nonfinancial liabilities in fiscal years beginning after March 15, 2008. Effective January 1, 2008, we have adopted the provisions of SFAS No. 157 that relate to our financial assets and financial liabilities. We are currently evaluating the impact of the provisions of SFAS No. 157 that relate to our nonfinancial assets and nonfinancial liabilities, which are effective for us as of January 1, 2009. See Note 7 for further details regarding the adoption of this standard.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159</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(“SFAS No. 159”), which provides the option to report certain financial assets and liabilities at fair value, with the intent to mitigate the volatility in financial reporting that can occur when related assets and liabilities are recorded on different bases. SFAS No. 159 amends FASB Statement No. 95, “Statement of Cash Flows” (“SFAS No. 95”) and FASB Statement No. 115, “Accounting for Certain Investments in Debt and Equity Securities” (“SFAS No. 115”). SFAS No. 159 specifies that cash flows from trading securities, including securities for which an entity has elected the fair value option, should be classified in the statement of cash flows based on the nature of and purpose for which the securities were acquired. Before this amendment, SFAS No. 95 and SFAS No. 115 specified that cash flows from trading securities must be classified as cash flows from operating activities. Effective January 1, 2008, we adopted the provisions of SFAS No. 159. We have not elected the fair value option for any financial assets or liabilities. Upon adoption, we reclassified approximately $603 million of proceeds from the sale of trading securities within our statement of cash flows for the year ended December 31, 2007 from an operating activity to an investing activity. The adoption of SFAS No. 159 had no effect on our statement of cash flows for the year ended December 31, 2006. We will classify proceeds from future sales based on the nature of the securities and purpose for which they were acquired.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161</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(“SFAS No. 161”). SFAS No. 161 amends and expands the disclosure requirement for FASB Statement No. 133, “Derivative Instruments and Hedging Activities” (“SFAS No. 133”). It requires enhanced disclosure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about (i) how and why an entity uses derivative instruments, (ii) how derivative instruments and related hedged items are accounted for under SFAS No. 133 and its related interpretations, and (iii) how derivative instruments and related hedged items affect an entity’s financial position, financial performance, and cash flows. SFAS No. 161 is effective for us as of January 1, 2009.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EITF Issue No. 06-10</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2007, the Emerging Issues Task Force (“EITF”) reached a consensus on EITF Issue No. 06-10, “Accounting for Deferred Compensation and Postretirement Benefit Aspects of Collateral Assignment Split-Dollar Life Insurance Arrangements” (“EITF 06-10”). EITF 06-10 provides that an employer should recognize a liability for the postretirement benefit related to collateral assignment split-dollar life insurance arrangements in accordance with either SFAS No. 106, “Employers’ Accounting for Postretirement Benefits Other Than Pensions,” or Accounting Principles Board Opinion No. 12, “Omnibus Opinion.” Effective January 1, 2008, in connection with the adoption of EITF 06-10 we adjusted beginning retained earnings and recorded a liability of approximately $130 million.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earnings per common share (“Basic EPS”) is computed by dividing net income for common stockholders by the weighted-average number of common shares outstanding during the period.</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potentially dilutive securities include potential common shares related to our stock options and restricted share units. Diluted earnings per common share (“Diluted EPS”) considers the impact of potentially dilutive securities except in periods where there is a loss because the inclusion of the potential common shares would have an antidilutive effect.</w:t>
      </w:r>
    </w:p>
    <w:p>
      <w:pPr>
        <w:spacing w:after="0" w:line="46"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Diluted EPS for the three months ended March 31, 2008 and 2007 excludes approximately 178 million and 39 million potential common shares, respectively, related to our share-based compensation plans, because the inclusion of the potential common shares would have an antidilutive effect.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numerator and denominator of the computations of Diluted EPS: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89"/>
              </w:rPr>
              <w:t>Three Months Ended March 31</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jc w:val="center"/>
              <w:ind w:left="39"/>
              <w:spacing w:after="0" w:line="129" w:lineRule="exact"/>
              <w:rPr>
                <w:sz w:val="20"/>
                <w:szCs w:val="20"/>
                <w:color w:val="auto"/>
              </w:rPr>
            </w:pPr>
            <w:r>
              <w:rPr>
                <w:rFonts w:ascii="Arial" w:cs="Arial" w:eastAsia="Arial" w:hAnsi="Arial"/>
                <w:sz w:val="14"/>
                <w:szCs w:val="14"/>
                <w:b w:val="1"/>
                <w:bCs w:val="1"/>
                <w:color w:val="auto"/>
                <w:w w:val="85"/>
              </w:rPr>
              <w:t>Per Share</w:t>
            </w:r>
          </w:p>
        </w:tc>
        <w:tc>
          <w:tcPr>
            <w:tcW w:w="20" w:type="dxa"/>
            <w:vAlign w:val="bottom"/>
          </w:tcPr>
          <w:p>
            <w:pPr>
              <w:spacing w:after="0"/>
              <w:rPr>
                <w:sz w:val="11"/>
                <w:szCs w:val="11"/>
                <w:color w:val="auto"/>
              </w:rPr>
            </w:pPr>
          </w:p>
        </w:tc>
      </w:tr>
      <w:tr>
        <w:trPr>
          <w:trHeight w:val="161"/>
        </w:trPr>
        <w:tc>
          <w:tcPr>
            <w:tcW w:w="7080" w:type="dxa"/>
            <w:vAlign w:val="bottom"/>
            <w:gridSpan w:val="2"/>
          </w:tcPr>
          <w:p>
            <w:pPr>
              <w:spacing w:after="0"/>
              <w:rPr>
                <w:sz w:val="20"/>
                <w:szCs w:val="20"/>
                <w:color w:val="auto"/>
              </w:rPr>
            </w:pPr>
            <w:r>
              <w:rPr>
                <w:rFonts w:ascii="Arial" w:cs="Arial" w:eastAsia="Arial" w:hAnsi="Arial"/>
                <w:sz w:val="14"/>
                <w:szCs w:val="14"/>
                <w:color w:val="auto"/>
              </w:rPr>
              <w:t>(in millions, except per share data)</w:t>
            </w:r>
          </w:p>
        </w:tc>
        <w:tc>
          <w:tcPr>
            <w:tcW w:w="780" w:type="dxa"/>
            <w:vAlign w:val="bottom"/>
            <w:gridSpan w:val="2"/>
          </w:tcPr>
          <w:p>
            <w:pPr>
              <w:ind w:left="220"/>
              <w:spacing w:after="0"/>
              <w:rPr>
                <w:sz w:val="20"/>
                <w:szCs w:val="20"/>
                <w:color w:val="auto"/>
              </w:rPr>
            </w:pPr>
            <w:r>
              <w:rPr>
                <w:rFonts w:ascii="Arial" w:cs="Arial" w:eastAsia="Arial" w:hAnsi="Arial"/>
                <w:sz w:val="14"/>
                <w:szCs w:val="14"/>
                <w:b w:val="1"/>
                <w:bCs w:val="1"/>
                <w:color w:val="auto"/>
              </w:rPr>
              <w:t>Income</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w:t>
            </w:r>
          </w:p>
        </w:tc>
        <w:tc>
          <w:tcPr>
            <w:tcW w:w="640" w:type="dxa"/>
            <w:vAlign w:val="bottom"/>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w:t>
            </w:r>
          </w:p>
        </w:tc>
        <w:tc>
          <w:tcPr>
            <w:tcW w:w="34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w w:val="99"/>
              </w:rPr>
              <w:t>732</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3,009</w:t>
            </w:r>
          </w:p>
        </w:tc>
        <w:tc>
          <w:tcPr>
            <w:tcW w:w="380" w:type="dxa"/>
            <w:vAlign w:val="bottom"/>
            <w:tcBorders>
              <w:top w:val="single" w:sz="8" w:color="auto"/>
            </w:tcBorders>
            <w:shd w:val="clear" w:color="auto" w:fill="E5E5E5"/>
          </w:tcPr>
          <w:p>
            <w:pPr>
              <w:jc w:val="right"/>
              <w:ind w:right="44"/>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0.24</w:t>
            </w:r>
          </w:p>
        </w:tc>
        <w:tc>
          <w:tcPr>
            <w:tcW w:w="26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w w:val="99"/>
              </w:rPr>
              <w:t>837</w:t>
            </w:r>
          </w:p>
        </w:tc>
        <w:tc>
          <w:tcPr>
            <w:tcW w:w="640" w:type="dxa"/>
            <w:vAlign w:val="bottom"/>
            <w:tcBorders>
              <w:top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3,125</w:t>
            </w:r>
          </w:p>
        </w:tc>
        <w:tc>
          <w:tcPr>
            <w:tcW w:w="2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Assumed exercise or issuance of shares relating to stock plans</w:t>
            </w:r>
          </w:p>
        </w:tc>
        <w:tc>
          <w:tcPr>
            <w:tcW w:w="3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9"/>
              </w:rPr>
              <w:t>732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3,017</w:t>
            </w:r>
          </w:p>
        </w:tc>
        <w:tc>
          <w:tcPr>
            <w:tcW w:w="38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0.24</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9"/>
              </w:rPr>
              <w:t>837</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3,161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0.26</w:t>
            </w:r>
          </w:p>
        </w:tc>
        <w:tc>
          <w:tcPr>
            <w:tcW w:w="20" w:type="dxa"/>
            <w:vAlign w:val="bottom"/>
            <w:tcBorders>
              <w:bottom w:val="single" w:sz="8" w:color="auto"/>
            </w:tcBorders>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Acquisitions and Other Significant Events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Insight Midwest Partnership</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2007, we and Insight Communications (“Insight”) agreed to divide the assets and liabilities of Insight Midwest, a 50%-50% cable system partnership with Insight (the “Insight transaction”). On December 31, 2007, we contributed approximately $1.3 billion to Insight Midwest for our share of the partnership’s debt. On January 1, 2008, the distribution of the assets of Insight Midwest was completed without assumption of any of Insight’s debt by us and we received cable systems serving approximately 696,000 video subscribers in Illinois and Indiana (“Comcast Asset Pool”). Insight received cable systems serving approximately 652,000 video subscribers, together with approximately $1.24 billion of debt allocated to those cable systems (“Insight Asset Pool”). We accounted for our interest in Insight Midwest as an equity method investment until the Comcast Asset Pool was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distributed to us on January 1, 2008. We accounted for the distribution of assets by Insight Midwest as a sale of our 50% interest in the Insight Asset Pool in exchange for acquiring an additional 50% interest in the Comcast Asset Pool. The estimated fair value of the 50% interest of the Comcast Asset Pool we received was approximately $1.2 billion and resulted in a pretax gain of approximately $235 million, which is included in other income (expense). We recorded our 50% interest in the Comcast Asset Pool as a step acquisition in accordance with SFAS No. 141, “Business Combinations” (“SFAS No. 141”). The valuation of assets and estimated gain are based on preliminary valuations. Refinements may occur as the valuations are finalized. The exchange of our 50% interest in the Insight Asset Pool for Insight’s 50% interest in the Comcast Asset Pool is considered a noncash investing activity.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information has been presented as if the Insight transaction had occurred on January 1, 2007. This information is based on historical results of operations, adjusted for purchase price allocations, and is not necessarily indicative of what the results would have been had we operated the cable systems in the Comcast Asset Pool since January 1, 2007.</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5400" w:type="dxa"/>
            <w:vAlign w:val="bottom"/>
            <w:gridSpan w:val="3"/>
          </w:tcPr>
          <w:p>
            <w:pPr>
              <w:ind w:left="4160"/>
              <w:spacing w:after="0"/>
              <w:rPr>
                <w:sz w:val="20"/>
                <w:szCs w:val="20"/>
                <w:color w:val="auto"/>
              </w:rPr>
            </w:pPr>
            <w:r>
              <w:rPr>
                <w:rFonts w:ascii="Arial" w:cs="Arial" w:eastAsia="Arial" w:hAnsi="Arial"/>
                <w:sz w:val="14"/>
                <w:szCs w:val="14"/>
                <w:b w:val="1"/>
                <w:bCs w:val="1"/>
                <w:color w:val="auto"/>
                <w:w w:val="88"/>
              </w:rPr>
              <w:t>Three Months Ended</w:t>
            </w:r>
          </w:p>
        </w:tc>
      </w:tr>
      <w:tr>
        <w:trPr>
          <w:trHeight w:val="175"/>
        </w:trPr>
        <w:tc>
          <w:tcPr>
            <w:tcW w:w="6040" w:type="dxa"/>
            <w:vAlign w:val="bottom"/>
            <w:gridSpan w:val="2"/>
          </w:tcPr>
          <w:p>
            <w:pPr>
              <w:spacing w:after="0"/>
              <w:rPr>
                <w:sz w:val="20"/>
                <w:szCs w:val="20"/>
                <w:color w:val="auto"/>
              </w:rPr>
            </w:pPr>
            <w:r>
              <w:rPr>
                <w:rFonts w:ascii="Arial" w:cs="Arial" w:eastAsia="Arial" w:hAnsi="Arial"/>
                <w:sz w:val="14"/>
                <w:szCs w:val="14"/>
                <w:color w:val="auto"/>
              </w:rPr>
              <w:t>(in millions, except per share data)</w:t>
            </w:r>
          </w:p>
        </w:tc>
        <w:tc>
          <w:tcPr>
            <w:tcW w:w="428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2007</w:t>
            </w:r>
          </w:p>
        </w:tc>
      </w:tr>
      <w:tr>
        <w:trPr>
          <w:trHeight w:val="210"/>
        </w:trPr>
        <w:tc>
          <w:tcPr>
            <w:tcW w:w="20" w:type="dxa"/>
            <w:vAlign w:val="bottom"/>
          </w:tcPr>
          <w:p>
            <w:pPr>
              <w:spacing w:after="0"/>
              <w:rPr>
                <w:sz w:val="18"/>
                <w:szCs w:val="18"/>
                <w:color w:val="auto"/>
              </w:rPr>
            </w:pPr>
          </w:p>
        </w:tc>
        <w:tc>
          <w:tcPr>
            <w:tcW w:w="6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4280" w:type="dxa"/>
            <w:vAlign w:val="bottom"/>
            <w:tcBorders>
              <w:top w:val="single" w:sz="8" w:color="auto"/>
            </w:tcBorders>
            <w:shd w:val="clear" w:color="auto" w:fill="E5E5E5"/>
          </w:tcPr>
          <w:p>
            <w:pPr>
              <w:ind w:left="416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7,550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Income</w:t>
            </w:r>
          </w:p>
        </w:tc>
        <w:tc>
          <w:tcPr>
            <w:tcW w:w="4280" w:type="dxa"/>
            <w:vAlign w:val="bottom"/>
          </w:tcPr>
          <w:p>
            <w:pPr>
              <w:ind w:left="4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5E5E5"/>
          </w:tcPr>
          <w:p>
            <w:pPr>
              <w:spacing w:after="0"/>
              <w:rPr>
                <w:sz w:val="20"/>
                <w:szCs w:val="20"/>
                <w:color w:val="auto"/>
              </w:rPr>
            </w:pPr>
            <w:r>
              <w:rPr>
                <w:rFonts w:ascii="Arial" w:cs="Arial" w:eastAsia="Arial" w:hAnsi="Arial"/>
                <w:sz w:val="18"/>
                <w:szCs w:val="18"/>
                <w:color w:val="auto"/>
              </w:rPr>
              <w:t>Basic EPS</w:t>
            </w:r>
          </w:p>
        </w:tc>
        <w:tc>
          <w:tcPr>
            <w:tcW w:w="4280" w:type="dxa"/>
            <w:vAlign w:val="bottom"/>
            <w:shd w:val="clear" w:color="auto" w:fill="E5E5E5"/>
          </w:tcPr>
          <w:p>
            <w:pPr>
              <w:ind w:left="41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Diluted EPS</w:t>
            </w:r>
          </w:p>
        </w:tc>
        <w:tc>
          <w:tcPr>
            <w:tcW w:w="4280" w:type="dxa"/>
            <w:vAlign w:val="bottom"/>
          </w:tcPr>
          <w:p>
            <w:pPr>
              <w:ind w:left="41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9"/>
                <w:szCs w:val="19"/>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560" w:type="dxa"/>
            <w:vAlign w:val="bottom"/>
            <w:gridSpan w:val="2"/>
          </w:tcPr>
          <w:p>
            <w:pPr>
              <w:ind w:left="640"/>
              <w:spacing w:after="0"/>
              <w:rPr>
                <w:sz w:val="20"/>
                <w:szCs w:val="20"/>
                <w:color w:val="auto"/>
              </w:rPr>
            </w:pPr>
            <w:r>
              <w:rPr>
                <w:rFonts w:ascii="Arial" w:cs="Arial" w:eastAsia="Arial" w:hAnsi="Arial"/>
                <w:sz w:val="14"/>
                <w:szCs w:val="14"/>
                <w:b w:val="1"/>
                <w:bCs w:val="1"/>
                <w:color w:val="auto"/>
              </w:rPr>
              <w:t>March 31,</w:t>
            </w:r>
          </w:p>
        </w:tc>
        <w:tc>
          <w:tcPr>
            <w:tcW w:w="1140" w:type="dxa"/>
            <w:vAlign w:val="bottom"/>
            <w:gridSpan w:val="3"/>
          </w:tcPr>
          <w:p>
            <w:pPr>
              <w:ind w:left="32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87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4"/>
                <w:szCs w:val="14"/>
                <w:color w:val="auto"/>
              </w:rPr>
            </w:pPr>
          </w:p>
        </w:tc>
        <w:tc>
          <w:tcPr>
            <w:tcW w:w="800" w:type="dxa"/>
            <w:vAlign w:val="bottom"/>
          </w:tcPr>
          <w:p>
            <w:pPr>
              <w:jc w:val="right"/>
              <w:ind w:right="395"/>
              <w:spacing w:after="0"/>
              <w:rPr>
                <w:sz w:val="20"/>
                <w:szCs w:val="20"/>
                <w:color w:val="auto"/>
              </w:rPr>
            </w:pPr>
            <w:r>
              <w:rPr>
                <w:rFonts w:ascii="Arial" w:cs="Arial" w:eastAsia="Arial" w:hAnsi="Arial"/>
                <w:sz w:val="14"/>
                <w:szCs w:val="14"/>
                <w:b w:val="1"/>
                <w:bCs w:val="1"/>
                <w:color w:val="auto"/>
                <w:w w:val="96"/>
              </w:rPr>
              <w:t>2008</w:t>
            </w:r>
          </w:p>
        </w:tc>
        <w:tc>
          <w:tcPr>
            <w:tcW w:w="50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7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760" w:type="dxa"/>
            <w:vAlign w:val="bottom"/>
            <w:tcBorders>
              <w:top w:val="single" w:sz="8" w:color="auto"/>
            </w:tcBorders>
            <w:shd w:val="clear" w:color="auto" w:fill="E5E5E5"/>
          </w:tcPr>
          <w:p>
            <w:pPr>
              <w:ind w:left="64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color w:val="auto"/>
              </w:rPr>
              <w:t>2,434</w:t>
            </w:r>
          </w:p>
        </w:tc>
        <w:tc>
          <w:tcPr>
            <w:tcW w:w="500" w:type="dxa"/>
            <w:vAlign w:val="bottom"/>
            <w:tcBorders>
              <w:top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2,701</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Equity method, primarily SpectrumCo, LLC at March 31, 2008 and Insight Midwest and SpectrumCo, LLC at</w:t>
            </w: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December 31, 2007</w:t>
            </w:r>
          </w:p>
        </w:tc>
        <w:tc>
          <w:tcPr>
            <w:tcW w:w="760" w:type="dxa"/>
            <w:vAlign w:val="bottom"/>
          </w:tcPr>
          <w:p>
            <w:pPr>
              <w:spacing w:after="0"/>
              <w:rPr>
                <w:sz w:val="19"/>
                <w:szCs w:val="19"/>
                <w:color w:val="auto"/>
              </w:rPr>
            </w:pPr>
          </w:p>
        </w:tc>
        <w:tc>
          <w:tcPr>
            <w:tcW w:w="800" w:type="dxa"/>
            <w:vAlign w:val="bottom"/>
          </w:tcPr>
          <w:p>
            <w:pPr>
              <w:jc w:val="right"/>
              <w:ind w:right="235"/>
              <w:spacing w:after="0"/>
              <w:rPr>
                <w:sz w:val="20"/>
                <w:szCs w:val="20"/>
                <w:color w:val="auto"/>
              </w:rPr>
            </w:pPr>
            <w:r>
              <w:rPr>
                <w:rFonts w:ascii="Arial" w:cs="Arial" w:eastAsia="Arial" w:hAnsi="Arial"/>
                <w:sz w:val="18"/>
                <w:szCs w:val="18"/>
                <w:color w:val="auto"/>
              </w:rPr>
              <w:t>1,764</w:t>
            </w:r>
          </w:p>
        </w:tc>
        <w:tc>
          <w:tcPr>
            <w:tcW w:w="5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3,682</w:t>
            </w:r>
          </w:p>
        </w:tc>
      </w:tr>
      <w:tr>
        <w:trPr>
          <w:trHeight w:val="218"/>
        </w:trPr>
        <w:tc>
          <w:tcPr>
            <w:tcW w:w="20" w:type="dxa"/>
            <w:vAlign w:val="bottom"/>
          </w:tcPr>
          <w:p>
            <w:pPr>
              <w:spacing w:after="0"/>
              <w:rPr>
                <w:sz w:val="18"/>
                <w:szCs w:val="18"/>
                <w:color w:val="auto"/>
              </w:rPr>
            </w:pPr>
          </w:p>
        </w:tc>
        <w:tc>
          <w:tcPr>
            <w:tcW w:w="87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Cost method, primarily AirTouch</w:t>
            </w:r>
          </w:p>
        </w:tc>
        <w:tc>
          <w:tcPr>
            <w:tcW w:w="7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color w:val="auto"/>
              </w:rPr>
              <w:t>1,688</w:t>
            </w:r>
          </w:p>
        </w:tc>
        <w:tc>
          <w:tcPr>
            <w:tcW w:w="5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1,678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Total investments</w:t>
            </w:r>
          </w:p>
        </w:tc>
        <w:tc>
          <w:tcPr>
            <w:tcW w:w="760" w:type="dxa"/>
            <w:vAlign w:val="bottom"/>
          </w:tcPr>
          <w:p>
            <w:pPr>
              <w:spacing w:after="0"/>
              <w:rPr>
                <w:sz w:val="18"/>
                <w:szCs w:val="18"/>
                <w:color w:val="auto"/>
              </w:rPr>
            </w:pPr>
          </w:p>
        </w:tc>
        <w:tc>
          <w:tcPr>
            <w:tcW w:w="800" w:type="dxa"/>
            <w:vAlign w:val="bottom"/>
          </w:tcPr>
          <w:p>
            <w:pPr>
              <w:jc w:val="right"/>
              <w:ind w:right="235"/>
              <w:spacing w:after="0"/>
              <w:rPr>
                <w:sz w:val="20"/>
                <w:szCs w:val="20"/>
                <w:color w:val="auto"/>
              </w:rPr>
            </w:pPr>
            <w:r>
              <w:rPr>
                <w:rFonts w:ascii="Arial" w:cs="Arial" w:eastAsia="Arial" w:hAnsi="Arial"/>
                <w:sz w:val="18"/>
                <w:szCs w:val="18"/>
                <w:color w:val="auto"/>
              </w:rPr>
              <w:t>5,886</w:t>
            </w: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7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color w:val="auto"/>
              </w:rPr>
              <w:t>86</w:t>
            </w:r>
          </w:p>
        </w:tc>
        <w:tc>
          <w:tcPr>
            <w:tcW w:w="5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b w:val="1"/>
                <w:bCs w:val="1"/>
                <w:color w:val="auto"/>
              </w:rPr>
              <w:t>Noncurrent investments</w:t>
            </w:r>
          </w:p>
        </w:tc>
        <w:tc>
          <w:tcPr>
            <w:tcW w:w="7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b w:val="1"/>
                <w:bCs w:val="1"/>
                <w:color w:val="auto"/>
              </w:rPr>
              <w:t>5,800</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7,963</w:t>
            </w:r>
          </w:p>
        </w:tc>
        <w:tc>
          <w:tcPr>
            <w:tcW w:w="20" w:type="dxa"/>
            <w:vAlign w:val="bottom"/>
            <w:tcBorders>
              <w:bottom w:val="single" w:sz="8" w:color="auto"/>
            </w:tcBorders>
          </w:tcPr>
          <w:p>
            <w:pPr>
              <w:spacing w:after="0"/>
              <w:rPr>
                <w:sz w:val="18"/>
                <w:szCs w:val="18"/>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Insight Midwest Partnership</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accounted for our interest in Insight Midwest as an equity method investment until January 1, 2008, the date the Comcast Asset Pool was distributed to us (see Note 4).</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components of investment income (loss), net: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3"/>
          </w:tcPr>
          <w:p>
            <w:pPr>
              <w:jc w:val="right"/>
              <w:ind w:right="27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8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8"/>
              </w:rPr>
              <w:t>March 31</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w w:val="89"/>
              </w:rPr>
              <w:t>2008</w:t>
            </w:r>
          </w:p>
        </w:tc>
        <w:tc>
          <w:tcPr>
            <w:tcW w:w="740" w:type="dxa"/>
            <w:vAlign w:val="bottom"/>
          </w:tcPr>
          <w:p>
            <w:pPr>
              <w:spacing w:after="0"/>
              <w:rPr>
                <w:sz w:val="12"/>
                <w:szCs w:val="12"/>
                <w:color w:val="auto"/>
              </w:rPr>
            </w:pPr>
          </w:p>
        </w:tc>
        <w:tc>
          <w:tcPr>
            <w:tcW w:w="5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Gains on sales and exchanges of investments, net</w:t>
            </w: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5E5E5"/>
          </w:tcPr>
          <w:p>
            <w:pPr>
              <w:spacing w:after="0"/>
              <w:rPr>
                <w:sz w:val="20"/>
                <w:szCs w:val="20"/>
                <w:color w:val="auto"/>
              </w:rPr>
            </w:pPr>
            <w:r>
              <w:rPr>
                <w:rFonts w:ascii="Arial" w:cs="Arial" w:eastAsia="Arial" w:hAnsi="Arial"/>
                <w:sz w:val="18"/>
                <w:szCs w:val="18"/>
                <w:color w:val="auto"/>
              </w:rPr>
              <w:t>Investment impairment losses</w:t>
            </w: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Unrealized gains (losses) on trading securities and hedged items</w:t>
            </w: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(264)</w:t>
            </w: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5E5E5"/>
          </w:tcPr>
          <w:p>
            <w:pPr>
              <w:spacing w:after="0"/>
              <w:rPr>
                <w:sz w:val="20"/>
                <w:szCs w:val="20"/>
                <w:color w:val="auto"/>
              </w:rPr>
            </w:pPr>
            <w:r>
              <w:rPr>
                <w:rFonts w:ascii="Arial" w:cs="Arial" w:eastAsia="Arial" w:hAnsi="Arial"/>
                <w:sz w:val="18"/>
                <w:szCs w:val="18"/>
                <w:color w:val="auto"/>
              </w:rPr>
              <w:t>Mark to market adjustments on derivatives related to trading securities and hedged items</w:t>
            </w: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294</w:t>
            </w: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Mark to market adjustments on derivatives</w:t>
            </w: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79</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r>
        <w:trPr>
          <w:trHeight w:val="363"/>
        </w:trPr>
        <w:tc>
          <w:tcPr>
            <w:tcW w:w="8900" w:type="dxa"/>
            <w:vAlign w:val="bottom"/>
            <w:gridSpan w:val="2"/>
          </w:tcPr>
          <w:p>
            <w:pPr>
              <w:jc w:val="right"/>
              <w:ind w:right="3052"/>
              <w:spacing w:after="0"/>
              <w:rPr>
                <w:sz w:val="20"/>
                <w:szCs w:val="20"/>
                <w:color w:val="auto"/>
              </w:rPr>
            </w:pPr>
            <w:r>
              <w:rPr>
                <w:rFonts w:ascii="Arial" w:cs="Arial" w:eastAsia="Arial" w:hAnsi="Arial"/>
                <w:sz w:val="18"/>
                <w:szCs w:val="18"/>
                <w:color w:val="auto"/>
              </w:rPr>
              <w:t>7</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Goodwill</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by business segment for the three months ended March 31, 2008 are presented in the table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Corporate</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71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20" w:type="dxa"/>
            <w:vAlign w:val="bottom"/>
          </w:tcPr>
          <w:p>
            <w:pPr>
              <w:jc w:val="right"/>
              <w:ind w:right="256"/>
              <w:spacing w:after="0"/>
              <w:rPr>
                <w:sz w:val="20"/>
                <w:szCs w:val="20"/>
                <w:color w:val="auto"/>
              </w:rPr>
            </w:pPr>
            <w:r>
              <w:rPr>
                <w:rFonts w:ascii="Arial" w:cs="Arial" w:eastAsia="Arial" w:hAnsi="Arial"/>
                <w:sz w:val="14"/>
                <w:szCs w:val="14"/>
                <w:b w:val="1"/>
                <w:bCs w:val="1"/>
                <w:color w:val="auto"/>
              </w:rPr>
              <w:t>Cable</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Programming</w:t>
            </w: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and Other</w:t>
            </w:r>
          </w:p>
        </w:tc>
        <w:tc>
          <w:tcPr>
            <w:tcW w:w="82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71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December 31, 2007</w:t>
            </w:r>
          </w:p>
        </w:tc>
        <w:tc>
          <w:tcPr>
            <w:tcW w:w="1220" w:type="dxa"/>
            <w:vAlign w:val="bottom"/>
            <w:tcBorders>
              <w:top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$12,842</w:t>
            </w:r>
          </w:p>
        </w:tc>
        <w:tc>
          <w:tcPr>
            <w:tcW w:w="46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1,482</w:t>
            </w:r>
          </w:p>
        </w:tc>
        <w:tc>
          <w:tcPr>
            <w:tcW w:w="42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381</w:t>
            </w:r>
          </w:p>
        </w:tc>
        <w:tc>
          <w:tcPr>
            <w:tcW w:w="8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$14,705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Settlements or adjustments</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Acquisitions</w:t>
            </w:r>
          </w:p>
        </w:tc>
        <w:tc>
          <w:tcPr>
            <w:tcW w:w="122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145</w:t>
            </w:r>
          </w:p>
        </w:tc>
        <w:tc>
          <w:tcPr>
            <w:tcW w:w="4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Balance, March 31, 2008</w:t>
            </w: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$12,993</w:t>
            </w: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1,482</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392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$14,867</w:t>
            </w:r>
          </w:p>
        </w:tc>
        <w:tc>
          <w:tcPr>
            <w:tcW w:w="20" w:type="dxa"/>
            <w:vAlign w:val="bottom"/>
            <w:tcBorders>
              <w:bottom w:val="single" w:sz="8" w:color="auto"/>
            </w:tcBorders>
          </w:tcPr>
          <w:p>
            <w:pPr>
              <w:spacing w:after="0"/>
              <w:rPr>
                <w:sz w:val="18"/>
                <w:szCs w:val="18"/>
                <w:color w:val="auto"/>
              </w:rPr>
            </w:pPr>
          </w:p>
        </w:tc>
      </w:tr>
    </w:tbl>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Acquisitions for the three months ended March 31, 2008 primarily relate to the Insight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Fair Value of Financial Assets and Financial Liabilities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 2008, we adopted the provisions of SFAS No. 157 that relate to our financial assets and financial liabilities as discussed in Note 2. SFAS No. 157 establishes a hierarchy that prioritizes fair value measurements based on the types of inputs used for the various valuation techniques (market approach, income approach and cost approach). The levels of the hierarchy are described below:</w:t>
      </w:r>
    </w:p>
    <w:p>
      <w:pPr>
        <w:spacing w:after="0" w:line="46" w:lineRule="exact"/>
        <w:rPr>
          <w:sz w:val="20"/>
          <w:szCs w:val="20"/>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76"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45"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assessment of the significance of a particular input to the fair value measurement requires judgment and may affect the valuation of financial assets and financial liabilities and their placement within the fair value hierarchy. Our financial assets and financial liabilities that are accounted for at fair value on a recurring basis are presented in the table below: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7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Fair value as of March 31, 2008</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378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92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rPr>
              <w:t>Level 2</w:t>
            </w:r>
          </w:p>
        </w:tc>
        <w:tc>
          <w:tcPr>
            <w:tcW w:w="92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4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Assets:</w:t>
            </w:r>
          </w:p>
        </w:tc>
        <w:tc>
          <w:tcPr>
            <w:tcW w:w="378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Trading securities</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1,786</w:t>
            </w:r>
          </w:p>
        </w:tc>
        <w:tc>
          <w:tcPr>
            <w:tcW w:w="44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3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w:t>
            </w: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628</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Equity warrants</w:t>
            </w:r>
          </w:p>
        </w:tc>
        <w:tc>
          <w:tcPr>
            <w:tcW w:w="3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Cash surrender value of life insurance policies</w:t>
            </w:r>
          </w:p>
        </w:tc>
        <w:tc>
          <w:tcPr>
            <w:tcW w:w="3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105</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Interest rate exchange agreements</w:t>
            </w:r>
          </w:p>
        </w:tc>
        <w:tc>
          <w:tcPr>
            <w:tcW w:w="37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105</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18"/>
                <w:szCs w:val="18"/>
                <w:color w:val="auto"/>
              </w:rPr>
            </w:pPr>
          </w:p>
        </w:tc>
        <w:tc>
          <w:tcPr>
            <w:tcW w:w="420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88"/>
              </w:rPr>
              <w:t>1,803</w:t>
            </w:r>
          </w:p>
        </w:tc>
        <w:tc>
          <w:tcPr>
            <w:tcW w:w="440" w:type="dxa"/>
            <w:vAlign w:val="bottom"/>
            <w:shd w:val="clear" w:color="auto" w:fill="E5E5E5"/>
          </w:tcPr>
          <w:p>
            <w:pPr>
              <w:ind w:left="32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838</w:t>
            </w:r>
          </w:p>
        </w:tc>
        <w:tc>
          <w:tcPr>
            <w:tcW w:w="320" w:type="dxa"/>
            <w:vAlign w:val="bottom"/>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252"/>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2,644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top w:val="single" w:sz="8" w:color="E5E5E5"/>
            </w:tcBorders>
          </w:tcPr>
          <w:p>
            <w:pPr>
              <w:spacing w:after="0"/>
              <w:rPr>
                <w:sz w:val="20"/>
                <w:szCs w:val="20"/>
                <w:color w:val="auto"/>
              </w:rPr>
            </w:pPr>
            <w:r>
              <w:rPr>
                <w:rFonts w:ascii="Arial" w:cs="Arial" w:eastAsia="Arial" w:hAnsi="Arial"/>
                <w:sz w:val="18"/>
                <w:szCs w:val="18"/>
                <w:color w:val="auto"/>
              </w:rPr>
              <w:t>Liabilities:</w:t>
            </w:r>
          </w:p>
        </w:tc>
        <w:tc>
          <w:tcPr>
            <w:tcW w:w="3780" w:type="dxa"/>
            <w:vAlign w:val="bottom"/>
            <w:tcBorders>
              <w:top w:val="single" w:sz="8" w:color="E5E5E5"/>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5E5E5"/>
          </w:tcPr>
          <w:p>
            <w:pPr>
              <w:spacing w:after="0"/>
              <w:rPr>
                <w:sz w:val="20"/>
                <w:szCs w:val="20"/>
                <w:color w:val="auto"/>
              </w:rPr>
            </w:pPr>
            <w:r>
              <w:rPr>
                <w:rFonts w:ascii="Arial" w:cs="Arial" w:eastAsia="Arial" w:hAnsi="Arial"/>
                <w:sz w:val="18"/>
                <w:szCs w:val="18"/>
                <w:color w:val="auto"/>
              </w:rPr>
              <w:t>Indexed debt instruments</w:t>
            </w:r>
          </w:p>
        </w:tc>
        <w:tc>
          <w:tcPr>
            <w:tcW w:w="42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ind w:left="3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59</w:t>
            </w:r>
          </w:p>
        </w:tc>
        <w:tc>
          <w:tcPr>
            <w:tcW w:w="32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Prepaid forward sale agreements</w:t>
            </w:r>
          </w:p>
        </w:tc>
        <w:tc>
          <w:tcPr>
            <w:tcW w:w="3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w w:val="93"/>
              </w:rPr>
              <w:t>360</w:t>
            </w:r>
          </w:p>
        </w:tc>
        <w:tc>
          <w:tcPr>
            <w:tcW w:w="320" w:type="dxa"/>
            <w:vAlign w:val="bottom"/>
          </w:tcPr>
          <w:p>
            <w:pPr>
              <w:spacing w:after="0"/>
              <w:rPr>
                <w:sz w:val="18"/>
                <w:szCs w:val="18"/>
                <w:color w:val="auto"/>
              </w:rPr>
            </w:pPr>
          </w:p>
        </w:tc>
        <w:tc>
          <w:tcPr>
            <w:tcW w:w="6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Interest rate exchange agreements</w:t>
            </w:r>
          </w:p>
        </w:tc>
        <w:tc>
          <w:tcPr>
            <w:tcW w:w="3780" w:type="dxa"/>
            <w:vAlign w:val="bottom"/>
            <w:tcBorders>
              <w:bottom w:val="single" w:sz="8" w:color="E5E5E5"/>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ind w:left="32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ind w:right="92"/>
              <w:spacing w:after="0"/>
              <w:rPr>
                <w:sz w:val="20"/>
                <w:szCs w:val="20"/>
                <w:color w:val="auto"/>
              </w:rPr>
            </w:pPr>
            <w:r>
              <w:rPr>
                <w:rFonts w:ascii="Arial" w:cs="Arial" w:eastAsia="Arial" w:hAnsi="Arial"/>
                <w:sz w:val="18"/>
                <w:szCs w:val="18"/>
                <w:b w:val="1"/>
                <w:bCs w:val="1"/>
                <w:color w:val="auto"/>
                <w:w w:val="93"/>
              </w:rPr>
              <w:t>420</w:t>
            </w:r>
          </w:p>
        </w:tc>
        <w:tc>
          <w:tcPr>
            <w:tcW w:w="32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780" w:type="dxa"/>
            <w:vAlign w:val="bottom"/>
          </w:tcPr>
          <w:p>
            <w:pPr>
              <w:jc w:val="right"/>
              <w:ind w:right="2392"/>
              <w:spacing w:after="0"/>
              <w:rPr>
                <w:sz w:val="20"/>
                <w:szCs w:val="20"/>
                <w:color w:val="auto"/>
              </w:rPr>
            </w:pPr>
            <w:r>
              <w:rPr>
                <w:rFonts w:ascii="Arial" w:cs="Arial" w:eastAsia="Arial" w:hAnsi="Arial"/>
                <w:sz w:val="18"/>
                <w:szCs w:val="18"/>
                <w:color w:val="auto"/>
              </w:rPr>
              <w:t>8</w:t>
            </w:r>
          </w:p>
        </w:tc>
        <w:tc>
          <w:tcPr>
            <w:tcW w:w="4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Stockholders’ Equity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March 2008, we granted 21.1 million stock options and 7.3 million restricted share units (“RSUs”) related to our annual management grant program. The fair values associated with these grants were $6.48 per stock option and $18.14 per RSU.</w:t>
      </w:r>
    </w:p>
    <w:p>
      <w:pPr>
        <w:spacing w:after="0" w:line="3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Compensation expense recognized related to stock options awards, RSU awards and employee participation in our Employee Stock Purchase Plan are summarized in the table below:</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89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2"/>
              </w:rPr>
              <w:t>March 31</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2008</w:t>
            </w:r>
          </w:p>
        </w:tc>
        <w:tc>
          <w:tcPr>
            <w:tcW w:w="740" w:type="dxa"/>
            <w:vAlign w:val="bottom"/>
          </w:tcPr>
          <w:p>
            <w:pPr>
              <w:spacing w:after="0"/>
              <w:rPr>
                <w:sz w:val="12"/>
                <w:szCs w:val="12"/>
                <w:color w:val="auto"/>
              </w:rPr>
            </w:pPr>
          </w:p>
        </w:tc>
        <w:tc>
          <w:tcPr>
            <w:tcW w:w="4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Stock options</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Restricted share units</w:t>
            </w: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Employee stock purchase plan</w:t>
            </w:r>
          </w:p>
        </w:tc>
        <w:tc>
          <w:tcPr>
            <w:tcW w:w="7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74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Total share-based compensation expense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2008, there was $361 million and $350 million of unrecognized pretax compensation cost related to nonvested stock options and nonvested RSUs,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total comprehensive income is presented in the table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3"/>
          </w:tcPr>
          <w:p>
            <w:pPr>
              <w:jc w:val="right"/>
              <w:ind w:right="27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8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9"/>
              </w:rPr>
              <w:t>March 31,</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w w:val="89"/>
              </w:rPr>
              <w:t>2008</w:t>
            </w:r>
          </w:p>
        </w:tc>
        <w:tc>
          <w:tcPr>
            <w:tcW w:w="760" w:type="dxa"/>
            <w:vAlign w:val="bottom"/>
          </w:tcPr>
          <w:p>
            <w:pPr>
              <w:spacing w:after="0"/>
              <w:rPr>
                <w:sz w:val="12"/>
                <w:szCs w:val="12"/>
                <w:color w:val="auto"/>
              </w:rPr>
            </w:pPr>
          </w:p>
        </w:tc>
        <w:tc>
          <w:tcPr>
            <w:tcW w:w="5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732</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Holding (losses) gains during the period</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5E5E5"/>
          </w:tcPr>
          <w:p>
            <w:pPr>
              <w:spacing w:after="0"/>
              <w:rPr>
                <w:sz w:val="20"/>
                <w:szCs w:val="20"/>
                <w:color w:val="auto"/>
              </w:rPr>
            </w:pPr>
            <w:r>
              <w:rPr>
                <w:rFonts w:ascii="Arial" w:cs="Arial" w:eastAsia="Arial" w:hAnsi="Arial"/>
                <w:sz w:val="18"/>
                <w:szCs w:val="18"/>
                <w:color w:val="auto"/>
              </w:rPr>
              <w:t>Reclassification adjustments for losses (gains) included in net income</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76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Employee benefit obligations</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Cumulative translation adjustments</w:t>
            </w:r>
          </w:p>
        </w:tc>
        <w:tc>
          <w:tcPr>
            <w:tcW w:w="7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7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762</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Statement of Cash Flows—Supplemental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components of operating activities: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gridSpan w:val="3"/>
          </w:tcPr>
          <w:p>
            <w:pPr>
              <w:jc w:val="right"/>
              <w:ind w:right="134"/>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94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12"/>
                <w:szCs w:val="12"/>
                <w:color w:val="auto"/>
              </w:rPr>
            </w:pPr>
          </w:p>
        </w:tc>
        <w:tc>
          <w:tcPr>
            <w:tcW w:w="5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w w:val="89"/>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Activities:</w:t>
            </w:r>
          </w:p>
        </w:tc>
        <w:tc>
          <w:tcPr>
            <w:tcW w:w="46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732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E5E5E5"/>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18"/>
                <w:szCs w:val="18"/>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color w:val="auto"/>
                <w:w w:val="88"/>
              </w:rPr>
              <w:t>1,390</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229</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460" w:type="dxa"/>
            <w:vAlign w:val="bottom"/>
          </w:tcPr>
          <w:p>
            <w:pPr>
              <w:spacing w:after="0"/>
              <w:rPr>
                <w:sz w:val="18"/>
                <w:szCs w:val="18"/>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Noncash interest expense (income), net</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57</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Equity in net losses (income) of affiliates, net</w:t>
            </w:r>
          </w:p>
        </w:tc>
        <w:tc>
          <w:tcPr>
            <w:tcW w:w="460" w:type="dxa"/>
            <w:vAlign w:val="bottom"/>
          </w:tcPr>
          <w:p>
            <w:pPr>
              <w:spacing w:after="0"/>
              <w:rPr>
                <w:sz w:val="18"/>
                <w:szCs w:val="18"/>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(Gains) losses on investments and noncash other (income) expense, net</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(316)</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Noncash contribution expense</w:t>
            </w:r>
          </w:p>
        </w:tc>
        <w:tc>
          <w:tcPr>
            <w:tcW w:w="460" w:type="dxa"/>
            <w:vAlign w:val="bottom"/>
          </w:tcPr>
          <w:p>
            <w:pPr>
              <w:spacing w:after="0"/>
              <w:rPr>
                <w:sz w:val="18"/>
                <w:szCs w:val="18"/>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Minority interest</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6</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8"/>
                <w:szCs w:val="18"/>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E5E5E5"/>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Change in accounts receivable, net</w:t>
            </w:r>
          </w:p>
        </w:tc>
        <w:tc>
          <w:tcPr>
            <w:tcW w:w="460" w:type="dxa"/>
            <w:vAlign w:val="bottom"/>
          </w:tcPr>
          <w:p>
            <w:pPr>
              <w:spacing w:after="0"/>
              <w:rPr>
                <w:sz w:val="18"/>
                <w:szCs w:val="18"/>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4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6"/>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Change in other operating assets and liabilities</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(186)</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b w:val="1"/>
                <w:bCs w:val="1"/>
                <w:color w:val="auto"/>
                <w:w w:val="88"/>
              </w:rPr>
              <w:t>2,259</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7"/>
              </w:rPr>
              <w:t>1,965</w:t>
            </w:r>
          </w:p>
        </w:tc>
        <w:tc>
          <w:tcPr>
            <w:tcW w:w="0" w:type="dxa"/>
            <w:vAlign w:val="bottom"/>
          </w:tcPr>
          <w:p>
            <w:pPr>
              <w:spacing w:after="0"/>
              <w:rPr>
                <w:sz w:val="1"/>
                <w:szCs w:val="1"/>
                <w:color w:val="auto"/>
              </w:rPr>
            </w:pPr>
          </w:p>
        </w:tc>
      </w:tr>
      <w:tr>
        <w:trPr>
          <w:trHeight w:val="363"/>
        </w:trPr>
        <w:tc>
          <w:tcPr>
            <w:tcW w:w="9480" w:type="dxa"/>
            <w:vAlign w:val="bottom"/>
            <w:gridSpan w:val="2"/>
          </w:tcPr>
          <w:p>
            <w:pPr>
              <w:jc w:val="right"/>
              <w:ind w:right="3632"/>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cash payments we made for interest and income taxes:</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77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5"/>
              </w:rPr>
              <w:t>March 31</w:t>
            </w: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4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w w:val="89"/>
              </w:rPr>
              <w:t>2008</w:t>
            </w:r>
          </w:p>
        </w:tc>
        <w:tc>
          <w:tcPr>
            <w:tcW w:w="780" w:type="dxa"/>
            <w:vAlign w:val="bottom"/>
          </w:tcPr>
          <w:p>
            <w:pPr>
              <w:spacing w:after="0"/>
              <w:rPr>
                <w:sz w:val="12"/>
                <w:szCs w:val="12"/>
                <w:color w:val="auto"/>
              </w:rPr>
            </w:pPr>
          </w:p>
        </w:tc>
        <w:tc>
          <w:tcPr>
            <w:tcW w:w="48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w:t>
            </w:r>
          </w:p>
        </w:tc>
        <w:tc>
          <w:tcPr>
            <w:tcW w:w="8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708</w:t>
            </w:r>
          </w:p>
        </w:tc>
        <w:tc>
          <w:tcPr>
            <w:tcW w:w="7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Income taxes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2008, we:</w:t>
      </w:r>
    </w:p>
    <w:p>
      <w:pPr>
        <w:spacing w:after="0" w:line="77" w:lineRule="exact"/>
        <w:rPr>
          <w:sz w:val="20"/>
          <w:szCs w:val="20"/>
          <w:color w:val="auto"/>
        </w:rPr>
      </w:pPr>
    </w:p>
    <w:p>
      <w:pPr>
        <w:ind w:left="1020" w:right="126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exchanged our 50% interest in the Insight Asset Pool for Insight’s 50% interest in the Comcast Asset Pool, which is considered a noncash investing activity</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recorded a liability of approximately $185 million for a quarterly cash dividend of $0.0625 per common share paid in April 2008, which is considered a noncash financing activity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subsidiaries support debt compliance with respect to obligations of certain cable television partnerships and investments in which we hold an ownership interest (see Note 5). The obligations expire between May 2008 and March 2011. Although there can be no assurance, we believe that we will not be required to meet our obligations under such commitments. The total notional amount of our commitments was $445 million as of March 31, 2008, at which time there were no quoted market prices for similar agreements. This amount decreased $520 million from December 31, 2007 as a result of the Insight transaction (see Note 4).</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defendants in two purported class actions originally filed in the United States District Courts for the District of Massachusetts and the Eastern District of Pennsylvania, respectively. The potential class in the Massachusetts case is our subscriber base in the “Boston Cluster” area, and the potential class in the Pennsylvania case is our subscriber base in the “Philadelphia and Chicago Clusters,” as those terms are defined in the complaints. In each case, the plaintiffs allege that certain subscriber exchange transactions with other cable providers resulted in unlawful horizontal market restraints in those areas and seek damages under antitrust statutes, including treble damages.</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motion to dismiss the Pennsylvania case on the pleadings was denied and classes of Philadelphia Cluster and Chicago Cluster subscribers were certified. Our motion to dismiss the Massachusetts case, which was subsequently transferred to the Eastern District of Pennsylvania, was also denied. We are proceeding with discovery on plaintiffs’ claims concerning the Philadelphia Cluster. Plaintiffs’ claims concerning the other two clusters are stayed pending determination of the Philadelphia Cluster claims.</w:t>
      </w:r>
    </w:p>
    <w:p>
      <w:pPr>
        <w:spacing w:after="0" w:line="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are among the defendants in a purported class action filed in the United States District Court for the Central District of California in September 2007. The plaintiffs allege that the defendants who produce video programming (including us, among others) have entered into agreements with the defendants who distribute video programming via cable and satellite (including us, among others), which preclude the distributors from reselling channels to subscribers on an “unbundled” basis in violation of federal antitrust laws. The plaintiffs seek treble damages for the loss of their ability to pick and choose the specific “bundled” channels to which they wish to subscribe, and injunctive relief requiring each distributor defendant to resell certain channels to its subscribers on an “unbundled” basis. The potential class is comprised of all persons residing in the United States who have subscribed to an expanded basic level of video service provided by one of the distributor defendants. In December 2007, we filed a motion to dismiss the case. On March 12, 2008, the court granted the motion to dismiss, with permission for the plaintiffs to replead their complaint. On March 20, 2008, the plaintiffs served an amended complaint. We filed a renewed motion to dismiss this amended complaint on April 22, 2008. The court has scheduled a hearing on the motion for June 16,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and Related Litigation</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and several of our current and former officers have been named as defendants in a purported class action lawsuit filed in the United States District Court for the Eastern District of Pennsylvania (“Eastern District”) in January 2008. The alleged class comprises purchasers of our publicly issued securities between February 1, 2007 and December 4, 2007. The plaintiff asserts that during the alleged class period, the defendants violated federal securities laws through alleged material misstatements and omissions relating to forecast results for 2007. The plaintiff seeks unspecified damages.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our directors and one of our current officers have been named as defendants in a purported class action lawsuit filed in the Eastern District in February 2008. The alleged class comprises participants in our retirement-investment (401(k)) plan that invested in the plan’s company stock account. The plaintiff asserts that the defendants breached their fiduciary duties in managing the plan. The plaintiff seeks unspecified damages.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vendors under applicable contractual indemnification provisions.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claims in each of the actions described above in this item are without merit and intend to defend the actions vigorously. The final disposition of the claims in each of the actions is not expected to have a material adverse effect on our consolidated financial position, but could possibly be material to our consolidated results of operations or cash flows for any one period.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cash flows.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Financial Data by Business Segment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reportable segments consist of our Cable and Programming businesses. In evaluating the profitability of our segments, the components of net income (loss) below operating income (loss) before depreciation and amortization are not separately evaluated by our management. Assets are not allocated to segments for management reporting. Our financial data by business segment is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Corporate and</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2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Cable(a)(b)</w:t>
            </w:r>
          </w:p>
        </w:tc>
        <w:tc>
          <w:tcPr>
            <w:tcW w:w="1620" w:type="dxa"/>
            <w:vAlign w:val="bottom"/>
            <w:gridSpan w:val="2"/>
          </w:tcPr>
          <w:p>
            <w:pPr>
              <w:ind w:left="320"/>
              <w:spacing w:after="0"/>
              <w:rPr>
                <w:sz w:val="20"/>
                <w:szCs w:val="20"/>
                <w:color w:val="auto"/>
              </w:rPr>
            </w:pPr>
            <w:r>
              <w:rPr>
                <w:rFonts w:ascii="Arial" w:cs="Arial" w:eastAsia="Arial" w:hAnsi="Arial"/>
                <w:sz w:val="14"/>
                <w:szCs w:val="14"/>
                <w:b w:val="1"/>
                <w:bCs w:val="1"/>
                <w:color w:val="auto"/>
              </w:rPr>
              <w:t>Programming(c)</w:t>
            </w:r>
          </w:p>
        </w:tc>
        <w:tc>
          <w:tcPr>
            <w:tcW w:w="420" w:type="dxa"/>
            <w:vAlign w:val="bottom"/>
          </w:tcPr>
          <w:p>
            <w:pPr>
              <w:spacing w:after="0"/>
              <w:rPr>
                <w:sz w:val="14"/>
                <w:szCs w:val="14"/>
                <w:color w:val="auto"/>
              </w:rPr>
            </w:pPr>
          </w:p>
        </w:tc>
        <w:tc>
          <w:tcPr>
            <w:tcW w:w="1160" w:type="dxa"/>
            <w:vAlign w:val="bottom"/>
          </w:tcPr>
          <w:p>
            <w:pPr>
              <w:jc w:val="right"/>
              <w:ind w:right="414"/>
              <w:spacing w:after="0"/>
              <w:rPr>
                <w:sz w:val="20"/>
                <w:szCs w:val="20"/>
                <w:color w:val="auto"/>
              </w:rPr>
            </w:pPr>
            <w:r>
              <w:rPr>
                <w:rFonts w:ascii="Arial" w:cs="Arial" w:eastAsia="Arial" w:hAnsi="Arial"/>
                <w:sz w:val="14"/>
                <w:szCs w:val="14"/>
                <w:b w:val="1"/>
                <w:bCs w:val="1"/>
                <w:color w:val="auto"/>
                <w:w w:val="88"/>
              </w:rPr>
              <w:t>Other(d)(e)</w:t>
            </w:r>
          </w:p>
        </w:tc>
        <w:tc>
          <w:tcPr>
            <w:tcW w:w="1740" w:type="dxa"/>
            <w:vAlign w:val="bottom"/>
            <w:gridSpan w:val="2"/>
          </w:tcPr>
          <w:p>
            <w:pPr>
              <w:ind w:left="320"/>
              <w:spacing w:after="0"/>
              <w:rPr>
                <w:sz w:val="20"/>
                <w:szCs w:val="20"/>
                <w:color w:val="auto"/>
              </w:rPr>
            </w:pPr>
            <w:r>
              <w:rPr>
                <w:rFonts w:ascii="Arial" w:cs="Arial" w:eastAsia="Arial" w:hAnsi="Arial"/>
                <w:sz w:val="14"/>
                <w:szCs w:val="14"/>
                <w:b w:val="1"/>
                <w:bCs w:val="1"/>
                <w:color w:val="auto"/>
              </w:rPr>
              <w:t>Eliminations(e)(f)</w:t>
            </w:r>
          </w:p>
        </w:tc>
        <w:tc>
          <w:tcPr>
            <w:tcW w:w="840" w:type="dxa"/>
            <w:vAlign w:val="bottom"/>
          </w:tcPr>
          <w:p>
            <w:pPr>
              <w:jc w:val="right"/>
              <w:ind w:right="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Three months ended March 31, 2008</w:t>
            </w:r>
          </w:p>
        </w:tc>
        <w:tc>
          <w:tcPr>
            <w:tcW w:w="80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116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Revenues(g)</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7,916</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363</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4"/>
              <w:spacing w:after="0"/>
              <w:rPr>
                <w:sz w:val="20"/>
                <w:szCs w:val="20"/>
                <w:color w:val="auto"/>
              </w:rPr>
            </w:pPr>
            <w:r>
              <w:rPr>
                <w:rFonts w:ascii="Arial" w:cs="Arial" w:eastAsia="Arial" w:hAnsi="Arial"/>
                <w:sz w:val="18"/>
                <w:szCs w:val="18"/>
                <w:color w:val="auto"/>
              </w:rPr>
              <w:t>183</w:t>
            </w:r>
          </w:p>
        </w:tc>
        <w:tc>
          <w:tcPr>
            <w:tcW w:w="76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(73)</w:t>
            </w:r>
          </w:p>
        </w:tc>
        <w:tc>
          <w:tcPr>
            <w:tcW w:w="840" w:type="dxa"/>
            <w:vAlign w:val="bottom"/>
          </w:tcPr>
          <w:p>
            <w:pPr>
              <w:jc w:val="right"/>
              <w:spacing w:after="0"/>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8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80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3,142</w:t>
            </w:r>
          </w:p>
        </w:tc>
        <w:tc>
          <w:tcPr>
            <w:tcW w:w="72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113</w:t>
            </w:r>
          </w:p>
        </w:tc>
        <w:tc>
          <w:tcPr>
            <w:tcW w:w="420" w:type="dxa"/>
            <w:vAlign w:val="bottom"/>
            <w:shd w:val="clear" w:color="auto" w:fill="E5E5E5"/>
          </w:tcPr>
          <w:p>
            <w:pPr>
              <w:spacing w:after="0"/>
              <w:rPr>
                <w:sz w:val="19"/>
                <w:szCs w:val="19"/>
                <w:color w:val="auto"/>
              </w:rPr>
            </w:pPr>
          </w:p>
        </w:tc>
        <w:tc>
          <w:tcPr>
            <w:tcW w:w="11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(82)</w:t>
            </w:r>
          </w:p>
        </w:tc>
        <w:tc>
          <w:tcPr>
            <w:tcW w:w="760" w:type="dxa"/>
            <w:vAlign w:val="bottom"/>
            <w:shd w:val="clear" w:color="auto" w:fill="E5E5E5"/>
          </w:tcPr>
          <w:p>
            <w:pPr>
              <w:spacing w:after="0"/>
              <w:rPr>
                <w:sz w:val="19"/>
                <w:szCs w:val="19"/>
                <w:color w:val="auto"/>
              </w:rPr>
            </w:pPr>
          </w:p>
        </w:tc>
        <w:tc>
          <w:tcPr>
            <w:tcW w:w="980" w:type="dxa"/>
            <w:vAlign w:val="bottom"/>
            <w:shd w:val="clear" w:color="auto" w:fill="E5E5E5"/>
          </w:tcPr>
          <w:p>
            <w:pPr>
              <w:jc w:val="right"/>
              <w:ind w:right="292"/>
              <w:spacing w:after="0"/>
              <w:rPr>
                <w:sz w:val="20"/>
                <w:szCs w:val="20"/>
                <w:color w:val="auto"/>
              </w:rPr>
            </w:pPr>
            <w:r>
              <w:rPr>
                <w:rFonts w:ascii="Arial" w:cs="Arial" w:eastAsia="Arial" w:hAnsi="Arial"/>
                <w:sz w:val="18"/>
                <w:szCs w:val="18"/>
                <w:color w:val="auto"/>
              </w:rPr>
              <w:t>1</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1,548</w:t>
            </w:r>
          </w:p>
        </w:tc>
        <w:tc>
          <w:tcPr>
            <w:tcW w:w="72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8"/>
                <w:szCs w:val="18"/>
                <w:color w:val="auto"/>
              </w:rPr>
            </w:pPr>
          </w:p>
        </w:tc>
        <w:tc>
          <w:tcPr>
            <w:tcW w:w="1160" w:type="dxa"/>
            <w:vAlign w:val="bottom"/>
          </w:tcPr>
          <w:p>
            <w:pPr>
              <w:jc w:val="right"/>
              <w:ind w:right="314"/>
              <w:spacing w:after="0"/>
              <w:rPr>
                <w:sz w:val="20"/>
                <w:szCs w:val="20"/>
                <w:color w:val="auto"/>
              </w:rPr>
            </w:pPr>
            <w:r>
              <w:rPr>
                <w:rFonts w:ascii="Arial" w:cs="Arial" w:eastAsia="Arial" w:hAnsi="Arial"/>
                <w:sz w:val="18"/>
                <w:szCs w:val="18"/>
                <w:color w:val="auto"/>
              </w:rPr>
              <w:t>24</w:t>
            </w:r>
          </w:p>
        </w:tc>
        <w:tc>
          <w:tcPr>
            <w:tcW w:w="76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(7)</w:t>
            </w:r>
          </w:p>
        </w:tc>
        <w:tc>
          <w:tcPr>
            <w:tcW w:w="840" w:type="dxa"/>
            <w:vAlign w:val="bottom"/>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8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1,594</w:t>
            </w:r>
          </w:p>
        </w:tc>
        <w:tc>
          <w:tcPr>
            <w:tcW w:w="7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59</w:t>
            </w:r>
          </w:p>
        </w:tc>
        <w:tc>
          <w:tcPr>
            <w:tcW w:w="42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(106)</w:t>
            </w:r>
          </w:p>
        </w:tc>
        <w:tc>
          <w:tcPr>
            <w:tcW w:w="76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92"/>
              <w:spacing w:after="0"/>
              <w:rPr>
                <w:sz w:val="20"/>
                <w:szCs w:val="20"/>
                <w:color w:val="auto"/>
              </w:rPr>
            </w:pPr>
            <w:r>
              <w:rPr>
                <w:rFonts w:ascii="Arial" w:cs="Arial" w:eastAsia="Arial" w:hAnsi="Arial"/>
                <w:sz w:val="18"/>
                <w:szCs w:val="18"/>
                <w:color w:val="auto"/>
              </w:rPr>
              <w:t>8</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Capital expenditures</w:t>
            </w:r>
          </w:p>
        </w:tc>
        <w:tc>
          <w:tcPr>
            <w:tcW w:w="80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1,355</w:t>
            </w:r>
          </w:p>
        </w:tc>
        <w:tc>
          <w:tcPr>
            <w:tcW w:w="720" w:type="dxa"/>
            <w:vAlign w:val="bottom"/>
          </w:tcPr>
          <w:p>
            <w:pPr>
              <w:spacing w:after="0"/>
              <w:rPr>
                <w:sz w:val="19"/>
                <w:szCs w:val="19"/>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Arial" w:cs="Arial" w:eastAsia="Arial" w:hAnsi="Arial"/>
                <w:sz w:val="18"/>
                <w:szCs w:val="18"/>
                <w:color w:val="auto"/>
              </w:rPr>
              <w:t>72</w:t>
            </w:r>
          </w:p>
        </w:tc>
        <w:tc>
          <w:tcPr>
            <w:tcW w:w="760" w:type="dxa"/>
            <w:vAlign w:val="bottom"/>
          </w:tcPr>
          <w:p>
            <w:pPr>
              <w:spacing w:after="0"/>
              <w:rPr>
                <w:sz w:val="19"/>
                <w:szCs w:val="19"/>
                <w:color w:val="auto"/>
              </w:rPr>
            </w:pP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March 31, 2007</w:t>
            </w:r>
          </w:p>
        </w:tc>
        <w:tc>
          <w:tcPr>
            <w:tcW w:w="8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Revenues(g)</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6,998</w:t>
            </w:r>
          </w:p>
        </w:tc>
        <w:tc>
          <w:tcPr>
            <w:tcW w:w="72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302</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4"/>
              <w:spacing w:after="0"/>
              <w:rPr>
                <w:sz w:val="20"/>
                <w:szCs w:val="20"/>
                <w:color w:val="auto"/>
              </w:rPr>
            </w:pPr>
            <w:r>
              <w:rPr>
                <w:rFonts w:ascii="Arial" w:cs="Arial" w:eastAsia="Arial" w:hAnsi="Arial"/>
                <w:sz w:val="18"/>
                <w:szCs w:val="18"/>
                <w:color w:val="auto"/>
              </w:rPr>
              <w:t>155</w:t>
            </w:r>
          </w:p>
        </w:tc>
        <w:tc>
          <w:tcPr>
            <w:tcW w:w="76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(67)</w:t>
            </w:r>
          </w:p>
        </w:tc>
        <w:tc>
          <w:tcPr>
            <w:tcW w:w="840" w:type="dxa"/>
            <w:vAlign w:val="bottom"/>
          </w:tcPr>
          <w:p>
            <w:pPr>
              <w:jc w:val="right"/>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 before depreciation and</w:t>
            </w:r>
          </w:p>
        </w:tc>
        <w:tc>
          <w:tcPr>
            <w:tcW w:w="8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amortization(h)</w:t>
            </w:r>
          </w:p>
        </w:tc>
        <w:tc>
          <w:tcPr>
            <w:tcW w:w="80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2,793</w:t>
            </w:r>
          </w:p>
        </w:tc>
        <w:tc>
          <w:tcPr>
            <w:tcW w:w="72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65</w:t>
            </w:r>
          </w:p>
        </w:tc>
        <w:tc>
          <w:tcPr>
            <w:tcW w:w="420" w:type="dxa"/>
            <w:vAlign w:val="bottom"/>
            <w:shd w:val="clear" w:color="auto" w:fill="E5E5E5"/>
          </w:tcPr>
          <w:p>
            <w:pPr>
              <w:spacing w:after="0"/>
              <w:rPr>
                <w:sz w:val="19"/>
                <w:szCs w:val="19"/>
                <w:color w:val="auto"/>
              </w:rPr>
            </w:pPr>
          </w:p>
        </w:tc>
        <w:tc>
          <w:tcPr>
            <w:tcW w:w="11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(95)</w:t>
            </w:r>
          </w:p>
        </w:tc>
        <w:tc>
          <w:tcPr>
            <w:tcW w:w="760" w:type="dxa"/>
            <w:vAlign w:val="bottom"/>
            <w:shd w:val="clear" w:color="auto" w:fill="E5E5E5"/>
          </w:tcPr>
          <w:p>
            <w:pPr>
              <w:spacing w:after="0"/>
              <w:rPr>
                <w:sz w:val="19"/>
                <w:szCs w:val="19"/>
                <w:color w:val="auto"/>
              </w:rPr>
            </w:pPr>
          </w:p>
        </w:tc>
        <w:tc>
          <w:tcPr>
            <w:tcW w:w="980" w:type="dxa"/>
            <w:vAlign w:val="bottom"/>
            <w:shd w:val="clear" w:color="auto" w:fill="E5E5E5"/>
          </w:tcPr>
          <w:p>
            <w:pPr>
              <w:jc w:val="right"/>
              <w:ind w:right="292"/>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1,440</w:t>
            </w:r>
          </w:p>
        </w:tc>
        <w:tc>
          <w:tcPr>
            <w:tcW w:w="72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8"/>
                <w:szCs w:val="18"/>
                <w:color w:val="auto"/>
              </w:rPr>
            </w:pPr>
          </w:p>
        </w:tc>
        <w:tc>
          <w:tcPr>
            <w:tcW w:w="1160" w:type="dxa"/>
            <w:vAlign w:val="bottom"/>
          </w:tcPr>
          <w:p>
            <w:pPr>
              <w:jc w:val="right"/>
              <w:ind w:right="314"/>
              <w:spacing w:after="0"/>
              <w:rPr>
                <w:sz w:val="20"/>
                <w:szCs w:val="20"/>
                <w:color w:val="auto"/>
              </w:rPr>
            </w:pPr>
            <w:r>
              <w:rPr>
                <w:rFonts w:ascii="Arial" w:cs="Arial" w:eastAsia="Arial" w:hAnsi="Arial"/>
                <w:sz w:val="18"/>
                <w:szCs w:val="18"/>
                <w:color w:val="auto"/>
              </w:rPr>
              <w:t>20</w:t>
            </w:r>
          </w:p>
        </w:tc>
        <w:tc>
          <w:tcPr>
            <w:tcW w:w="76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8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1,353</w:t>
            </w:r>
          </w:p>
        </w:tc>
        <w:tc>
          <w:tcPr>
            <w:tcW w:w="7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18</w:t>
            </w:r>
          </w:p>
        </w:tc>
        <w:tc>
          <w:tcPr>
            <w:tcW w:w="42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(115)</w:t>
            </w:r>
          </w:p>
        </w:tc>
        <w:tc>
          <w:tcPr>
            <w:tcW w:w="76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92"/>
              <w:spacing w:after="0"/>
              <w:rPr>
                <w:sz w:val="20"/>
                <w:szCs w:val="20"/>
                <w:color w:val="auto"/>
              </w:rPr>
            </w:pPr>
            <w:r>
              <w:rPr>
                <w:rFonts w:ascii="Arial" w:cs="Arial" w:eastAsia="Arial" w:hAnsi="Arial"/>
                <w:sz w:val="18"/>
                <w:szCs w:val="18"/>
                <w:color w:val="auto"/>
              </w:rPr>
              <w:t>5</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Capital expenditures</w:t>
            </w:r>
          </w:p>
        </w:tc>
        <w:tc>
          <w:tcPr>
            <w:tcW w:w="80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1,443</w:t>
            </w:r>
          </w:p>
        </w:tc>
        <w:tc>
          <w:tcPr>
            <w:tcW w:w="720" w:type="dxa"/>
            <w:vAlign w:val="bottom"/>
          </w:tcPr>
          <w:p>
            <w:pPr>
              <w:spacing w:after="0"/>
              <w:rPr>
                <w:sz w:val="19"/>
                <w:szCs w:val="19"/>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Arial" w:cs="Arial" w:eastAsia="Arial" w:hAnsi="Arial"/>
                <w:sz w:val="18"/>
                <w:szCs w:val="18"/>
                <w:color w:val="auto"/>
              </w:rPr>
              <w:t>7</w:t>
            </w:r>
          </w:p>
        </w:tc>
        <w:tc>
          <w:tcPr>
            <w:tcW w:w="760" w:type="dxa"/>
            <w:vAlign w:val="bottom"/>
          </w:tcPr>
          <w:p>
            <w:pPr>
              <w:spacing w:after="0"/>
              <w:rPr>
                <w:sz w:val="19"/>
                <w:szCs w:val="19"/>
                <w:color w:val="auto"/>
              </w:rPr>
            </w:pP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three months ended March 31, 2008 and 2007, Cable segment revenues were derived from the following services:</w:t>
      </w:r>
    </w:p>
    <w:p>
      <w:pPr>
        <w:spacing w:after="0" w:line="72" w:lineRule="exact"/>
        <w:rPr>
          <w:sz w:val="20"/>
          <w:szCs w:val="20"/>
          <w:color w:val="auto"/>
        </w:rPr>
      </w:pPr>
    </w:p>
    <w:p>
      <w:pPr>
        <w:jc w:val="center"/>
        <w:ind w:left="93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-7620</wp:posOffset>
            </wp:positionV>
            <wp:extent cx="15265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2008</w:t>
            </w: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E5E5E5"/>
          </w:tcPr>
          <w:p>
            <w:pPr>
              <w:spacing w:after="0"/>
              <w:rPr>
                <w:sz w:val="20"/>
                <w:szCs w:val="20"/>
                <w:color w:val="auto"/>
              </w:rPr>
            </w:pPr>
            <w:r>
              <w:rPr>
                <w:rFonts w:ascii="Arial" w:cs="Arial" w:eastAsia="Arial" w:hAnsi="Arial"/>
                <w:sz w:val="18"/>
                <w:szCs w:val="18"/>
                <w:color w:val="auto"/>
              </w:rPr>
              <w:t>Video</w:t>
            </w:r>
          </w:p>
        </w:tc>
        <w:tc>
          <w:tcPr>
            <w:tcW w:w="150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59.5%</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High-speed Internet</w:t>
            </w:r>
          </w:p>
        </w:tc>
        <w:tc>
          <w:tcPr>
            <w:tcW w:w="1500" w:type="dxa"/>
            <w:vAlign w:val="bottom"/>
          </w:tcPr>
          <w:p>
            <w:pPr>
              <w:jc w:val="right"/>
              <w:ind w:right="455"/>
              <w:spacing w:after="0"/>
              <w:rPr>
                <w:sz w:val="20"/>
                <w:szCs w:val="20"/>
                <w:color w:val="auto"/>
              </w:rPr>
            </w:pPr>
            <w:r>
              <w:rPr>
                <w:rFonts w:ascii="Arial" w:cs="Arial" w:eastAsia="Arial" w:hAnsi="Arial"/>
                <w:sz w:val="18"/>
                <w:szCs w:val="18"/>
                <w:color w:val="auto"/>
              </w:rPr>
              <w:t>22.1</w:t>
            </w: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1500" w:type="dxa"/>
            <w:vAlign w:val="bottom"/>
            <w:shd w:val="clear" w:color="auto" w:fill="E5E5E5"/>
          </w:tcPr>
          <w:p>
            <w:pPr>
              <w:jc w:val="right"/>
              <w:ind w:right="455"/>
              <w:spacing w:after="0"/>
              <w:rPr>
                <w:sz w:val="20"/>
                <w:szCs w:val="20"/>
                <w:color w:val="auto"/>
              </w:rPr>
            </w:pPr>
            <w:r>
              <w:rPr>
                <w:rFonts w:ascii="Arial" w:cs="Arial" w:eastAsia="Arial" w:hAnsi="Arial"/>
                <w:sz w:val="18"/>
                <w:szCs w:val="18"/>
                <w:color w:val="auto"/>
              </w:rPr>
              <w:t>7.4</w:t>
            </w: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Advertising</w:t>
            </w:r>
          </w:p>
        </w:tc>
        <w:tc>
          <w:tcPr>
            <w:tcW w:w="1500" w:type="dxa"/>
            <w:vAlign w:val="bottom"/>
          </w:tcPr>
          <w:p>
            <w:pPr>
              <w:jc w:val="right"/>
              <w:ind w:right="455"/>
              <w:spacing w:after="0"/>
              <w:rPr>
                <w:sz w:val="20"/>
                <w:szCs w:val="20"/>
                <w:color w:val="auto"/>
              </w:rPr>
            </w:pPr>
            <w:r>
              <w:rPr>
                <w:rFonts w:ascii="Arial" w:cs="Arial" w:eastAsia="Arial" w:hAnsi="Arial"/>
                <w:sz w:val="18"/>
                <w:szCs w:val="18"/>
                <w:color w:val="auto"/>
              </w:rPr>
              <w:t>4.3</w:t>
            </w: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E5E5E5"/>
          </w:tcPr>
          <w:p>
            <w:pPr>
              <w:spacing w:after="0"/>
              <w:rPr>
                <w:sz w:val="20"/>
                <w:szCs w:val="20"/>
                <w:color w:val="auto"/>
              </w:rPr>
            </w:pPr>
            <w:r>
              <w:rPr>
                <w:rFonts w:ascii="Arial" w:cs="Arial" w:eastAsia="Arial" w:hAnsi="Arial"/>
                <w:sz w:val="18"/>
                <w:szCs w:val="18"/>
                <w:color w:val="auto"/>
              </w:rPr>
              <w:t>Franchise fees</w:t>
            </w:r>
          </w:p>
        </w:tc>
        <w:tc>
          <w:tcPr>
            <w:tcW w:w="1500" w:type="dxa"/>
            <w:vAlign w:val="bottom"/>
            <w:shd w:val="clear" w:color="auto" w:fill="E5E5E5"/>
          </w:tcPr>
          <w:p>
            <w:pPr>
              <w:jc w:val="right"/>
              <w:ind w:right="455"/>
              <w:spacing w:after="0"/>
              <w:rPr>
                <w:sz w:val="20"/>
                <w:szCs w:val="20"/>
                <w:color w:val="auto"/>
              </w:rPr>
            </w:pPr>
            <w:r>
              <w:rPr>
                <w:rFonts w:ascii="Arial" w:cs="Arial" w:eastAsia="Arial" w:hAnsi="Arial"/>
                <w:sz w:val="18"/>
                <w:szCs w:val="18"/>
                <w:color w:val="auto"/>
              </w:rPr>
              <w:t>2.8</w:t>
            </w: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3.9</w:t>
            </w: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90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b w:val="1"/>
                <w:bCs w:val="1"/>
                <w:color w:val="auto"/>
              </w:rPr>
              <w:t>100%</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100%</w:t>
            </w:r>
          </w:p>
        </w:tc>
        <w:tc>
          <w:tcPr>
            <w:tcW w:w="20" w:type="dxa"/>
            <w:vAlign w:val="bottom"/>
          </w:tcPr>
          <w:p>
            <w:pPr>
              <w:spacing w:after="0"/>
              <w:rPr>
                <w:sz w:val="18"/>
                <w:szCs w:val="18"/>
                <w:color w:val="auto"/>
              </w:rPr>
            </w:pPr>
          </w:p>
        </w:tc>
      </w:tr>
    </w:tbl>
    <w:p>
      <w:pPr>
        <w:spacing w:after="0" w:line="7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Subscription revenues received from subscribers who purchase bundled services at a discount rate are allocated proportionately to each service based on the individual service’s price on a stand-alone basis.</w:t>
      </w:r>
    </w:p>
    <w:p>
      <w:pPr>
        <w:spacing w:after="0" w:line="3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our Cable segment are our regional sports and news networks.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Programming consists primarily of our consolidated national programming networks, including E!, The Golf Channel, VERSUS, G4 and Style.</w:t>
      </w:r>
    </w:p>
    <w:p>
      <w:pPr>
        <w:spacing w:after="0" w:line="99" w:lineRule="exact"/>
        <w:rPr>
          <w:rFonts w:ascii="Arial" w:cs="Arial" w:eastAsia="Arial" w:hAnsi="Arial"/>
          <w:sz w:val="16"/>
          <w:szCs w:val="16"/>
          <w:color w:val="auto"/>
        </w:rPr>
      </w:pPr>
    </w:p>
    <w:p>
      <w:pPr>
        <w:ind w:left="460" w:hanging="452"/>
        <w:spacing w:after="0" w:line="32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Corporate and Other includes Comcast Spectacor, Comcast Interactive Media, a portion of operating results of our less than wholly owned technology development ventures (see “(e)” below), corporate activities and all other businesses not presented in our Cable or Programming segments.</w:t>
      </w:r>
    </w:p>
    <w:p>
      <w:pPr>
        <w:spacing w:after="0" w:line="1" w:lineRule="exact"/>
        <w:rPr>
          <w:rFonts w:ascii="Arial" w:cs="Arial" w:eastAsia="Arial" w:hAnsi="Arial"/>
          <w:sz w:val="16"/>
          <w:szCs w:val="16"/>
          <w:color w:val="auto"/>
        </w:rPr>
      </w:pPr>
    </w:p>
    <w:p>
      <w:pPr>
        <w:jc w:val="both"/>
        <w:ind w:left="46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consolidate our less than wholly owned technology development ventures, which we control or of which we are considered the primary beneficiary. These ventures are with various corporate partners, such as Motorola and Gemstar. The ventures have been created to share the costs of development of new technologies for set-top boxes and other devices. The results of these entities are included within Corporate and Other. Cost allocations are made to the Cable segment based on our percentage ownership in each entity. The remaining net costs related to the minority corporate partners are included in Corporate and Other.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33" w:lineRule="exact"/>
        <w:rPr>
          <w:sz w:val="20"/>
          <w:szCs w:val="20"/>
          <w:color w:val="auto"/>
        </w:rPr>
      </w:pPr>
    </w:p>
    <w:p>
      <w:pPr>
        <w:ind w:left="4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the Eliminations column are transactions that our segments enter into with one another. The most common types of transactions are the following:</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Programming segment generates revenue by selling cable network programming to our Cable segment, which represents a substantial majority of the revenue elimination amount</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Cable segment receives incentives offered by our Programming segment when negotiating programming contracts that are recorded as a reduction of programming expenses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Cable segment generates revenue by selling the use of satellite feeds to our Programming segment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Non-U.S. revenues were not significant in any period. No single customer accounted for a significant amount of our revenue in any period.</w:t>
      </w:r>
    </w:p>
    <w:p>
      <w:pPr>
        <w:spacing w:after="0" w:line="99" w:lineRule="exact"/>
        <w:rPr>
          <w:rFonts w:ascii="Arial" w:cs="Arial" w:eastAsia="Arial" w:hAnsi="Arial"/>
          <w:sz w:val="16"/>
          <w:szCs w:val="16"/>
          <w:color w:val="auto"/>
        </w:rPr>
      </w:pPr>
    </w:p>
    <w:p>
      <w:pPr>
        <w:jc w:val="both"/>
        <w:ind w:left="460" w:hanging="452"/>
        <w:spacing w:after="0" w:line="288"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measure the performance of our operating segments, we use operating income (loss)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net cash provided by operating activities or other measures of performance or liquidity reported in accordance with GAAP.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and five of our cable holding company subsidiaries, Comcast Cable Communications, LLC (“CCCL”), Comcast Cable Communications Holdings, Inc. (“CCCH”), Comcast MO Group, Inc. (“Comcast MO Group”), Comcast Cable Holdings, LLC (“CCH”) and Comcast MO of Delaware, LLC (“Comcast MO of Delaware”), fully and unconditionally guarantee each other’s debt securities. Comcast MO Group, CCH and Comcast MO of Delaware are collectively referred to as the “Combined CCHMO Parents.”</w:t>
      </w:r>
    </w:p>
    <w:p>
      <w:pPr>
        <w:spacing w:after="0" w:line="76"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 xml:space="preserve">Comcast Corporation unconditionally guarantees Comcast Holdings’ ZONES due October 2029 and its 10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Subordinated Debentures due 2012, both of which were issued by Comcast Holdings. Accordingly, we have included Comcast Holdings’ condensed consolidated information for all periods presented. Our condensed consolidating financial information is presented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Balance Sheet</w:t>
      </w:r>
    </w:p>
    <w:p>
      <w:pPr>
        <w:jc w:val="center"/>
        <w:spacing w:after="0"/>
        <w:rPr>
          <w:sz w:val="20"/>
          <w:szCs w:val="20"/>
          <w:color w:val="auto"/>
        </w:rPr>
      </w:pPr>
      <w:r>
        <w:rPr>
          <w:rFonts w:ascii="Arial" w:cs="Arial" w:eastAsia="Arial" w:hAnsi="Arial"/>
          <w:sz w:val="22"/>
          <w:szCs w:val="22"/>
          <w:b w:val="1"/>
          <w:bCs w:val="1"/>
          <w:color w:val="auto"/>
        </w:rPr>
        <w:t>March 31, 2008</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33"/>
              <w:spacing w:after="0" w:line="149" w:lineRule="exact"/>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w w:val="85"/>
              </w:rPr>
              <w:t>Consolidated</w:t>
            </w: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0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rPr>
              <w:t>Comcast</w:t>
            </w:r>
          </w:p>
        </w:tc>
        <w:tc>
          <w:tcPr>
            <w:tcW w:w="200" w:type="dxa"/>
            <w:vAlign w:val="bottom"/>
          </w:tcPr>
          <w:p>
            <w:pPr>
              <w:spacing w:after="0"/>
              <w:rPr>
                <w:sz w:val="12"/>
                <w:szCs w:val="12"/>
                <w:color w:val="auto"/>
              </w:rPr>
            </w:pPr>
          </w:p>
        </w:tc>
        <w:tc>
          <w:tcPr>
            <w:tcW w:w="60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rPr>
              <w:t>CCCL</w:t>
            </w:r>
          </w:p>
        </w:tc>
        <w:tc>
          <w:tcPr>
            <w:tcW w:w="200" w:type="dxa"/>
            <w:vAlign w:val="bottom"/>
          </w:tcPr>
          <w:p>
            <w:pPr>
              <w:spacing w:after="0"/>
              <w:rPr>
                <w:sz w:val="12"/>
                <w:szCs w:val="12"/>
                <w:color w:val="auto"/>
              </w:rPr>
            </w:pPr>
          </w:p>
        </w:tc>
        <w:tc>
          <w:tcPr>
            <w:tcW w:w="60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w w:val="93"/>
              </w:rPr>
              <w:t>CCCH</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CCHMO</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Comcast</w:t>
            </w:r>
          </w:p>
        </w:tc>
        <w:tc>
          <w:tcPr>
            <w:tcW w:w="92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rPr>
              <w:t>Guarantor</w:t>
            </w: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Consolidation</w:t>
            </w:r>
          </w:p>
        </w:tc>
        <w:tc>
          <w:tcPr>
            <w:tcW w:w="2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4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4"/>
                <w:szCs w:val="1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w w:val="87"/>
              </w:rPr>
              <w:t>Parent</w:t>
            </w:r>
          </w:p>
        </w:tc>
        <w:tc>
          <w:tcPr>
            <w:tcW w:w="200" w:type="dxa"/>
            <w:vAlign w:val="bottom"/>
          </w:tcPr>
          <w:p>
            <w:pPr>
              <w:spacing w:after="0"/>
              <w:rPr>
                <w:sz w:val="14"/>
                <w:szCs w:val="14"/>
                <w:color w:val="auto"/>
              </w:rPr>
            </w:pPr>
          </w:p>
        </w:tc>
        <w:tc>
          <w:tcPr>
            <w:tcW w:w="60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w w:val="87"/>
              </w:rPr>
              <w:t>Parent</w:t>
            </w:r>
          </w:p>
        </w:tc>
        <w:tc>
          <w:tcPr>
            <w:tcW w:w="8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Parents</w:t>
            </w: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Holdings</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w w:val="92"/>
              </w:rPr>
              <w:t>Corporation</w:t>
            </w:r>
          </w:p>
        </w:tc>
      </w:tr>
      <w:tr>
        <w:trPr>
          <w:trHeight w:val="210"/>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635</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1,497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724</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886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2,942</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5,800</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5,800</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89"/>
              </w:rPr>
              <w:t>Investments in and amounts due from subsidiaries eliminated</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30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67,823</w:t>
            </w:r>
          </w:p>
        </w:tc>
        <w:tc>
          <w:tcPr>
            <w:tcW w:w="200" w:type="dxa"/>
            <w:vAlign w:val="bottom"/>
          </w:tcPr>
          <w:p>
            <w:pPr>
              <w:spacing w:after="0"/>
              <w:rPr>
                <w:sz w:val="19"/>
                <w:szCs w:val="19"/>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33,315</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40,715</w:t>
            </w:r>
          </w:p>
        </w:tc>
        <w:tc>
          <w:tcPr>
            <w:tcW w:w="2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43,768</w:t>
            </w:r>
          </w:p>
        </w:tc>
        <w:tc>
          <w:tcPr>
            <w:tcW w:w="200" w:type="dxa"/>
            <w:vAlign w:val="bottom"/>
          </w:tcPr>
          <w:p>
            <w:pPr>
              <w:spacing w:after="0"/>
              <w:rPr>
                <w:sz w:val="19"/>
                <w:szCs w:val="19"/>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w w:val="83"/>
              </w:rPr>
              <w:t>27,116</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1,689</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(214,426)</w:t>
            </w: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438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23,682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23,949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Franchise rights</w:t>
            </w:r>
          </w:p>
        </w:tc>
        <w:tc>
          <w:tcPr>
            <w:tcW w:w="3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59,447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59,447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14,867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14,867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4,690</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367</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534</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68,612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7"/>
              </w:rPr>
              <w:t>33,343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40,731</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43,768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3"/>
              </w:rPr>
              <w:t>27,145</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113,651</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(214,426)</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112,824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2,767</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2,982</w:t>
            </w:r>
          </w:p>
        </w:tc>
      </w:tr>
      <w:tr>
        <w:trPr>
          <w:trHeight w:val="218"/>
        </w:trPr>
        <w:tc>
          <w:tcPr>
            <w:tcW w:w="20" w:type="dxa"/>
            <w:vAlign w:val="bottom"/>
          </w:tcPr>
          <w:p>
            <w:pPr>
              <w:spacing w:after="0"/>
              <w:rPr>
                <w:sz w:val="18"/>
                <w:szCs w:val="18"/>
                <w:color w:val="auto"/>
              </w:rPr>
            </w:pPr>
          </w:p>
        </w:tc>
        <w:tc>
          <w:tcPr>
            <w:tcW w:w="43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635</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49</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42</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70</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2,046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303</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8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845</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1,234</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345</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4,851</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7,403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19,387</w:t>
            </w:r>
          </w:p>
        </w:tc>
        <w:tc>
          <w:tcPr>
            <w:tcW w:w="2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3,304</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3,498</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2,708</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830</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6,314</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939</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19,863</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27,116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1,268</w:t>
            </w:r>
          </w:p>
        </w:tc>
        <w:tc>
          <w:tcPr>
            <w:tcW w:w="2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5,726</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3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Other stockholders’ equity</w:t>
            </w: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40,764</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7"/>
              </w:rPr>
              <w:t>28,805</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37,184</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40,715</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3"/>
              </w:rPr>
              <w:t>25,181</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82,541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(214,426)</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8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40,798</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7"/>
              </w:rPr>
              <w:t>28,805</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37,184</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40,715</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w w:val="83"/>
              </w:rPr>
              <w:t>25,181</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82,541</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(214,426)</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40,798</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68,612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7"/>
              </w:rPr>
              <w:t>33,343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40,731</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43,768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3"/>
              </w:rPr>
              <w:t>27,145</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113,651</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(214,426)</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112,824</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center"/>
              <w:ind w:right="74"/>
              <w:spacing w:after="0"/>
              <w:rPr>
                <w:sz w:val="20"/>
                <w:szCs w:val="20"/>
                <w:color w:val="auto"/>
              </w:rPr>
            </w:pPr>
            <w:r>
              <w:rPr>
                <w:rFonts w:ascii="Arial" w:cs="Arial" w:eastAsia="Arial" w:hAnsi="Arial"/>
                <w:sz w:val="18"/>
                <w:szCs w:val="18"/>
                <w:color w:val="auto"/>
                <w:w w:val="99"/>
              </w:rPr>
              <w:t>14</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Balance Sheet</w:t>
      </w:r>
    </w:p>
    <w:p>
      <w:pPr>
        <w:jc w:val="center"/>
        <w:spacing w:after="0"/>
        <w:rPr>
          <w:sz w:val="20"/>
          <w:szCs w:val="20"/>
          <w:color w:val="auto"/>
        </w:rPr>
      </w:pPr>
      <w:r>
        <w:rPr>
          <w:rFonts w:ascii="Arial" w:cs="Arial" w:eastAsia="Arial" w:hAnsi="Arial"/>
          <w:sz w:val="22"/>
          <w:szCs w:val="22"/>
          <w:b w:val="1"/>
          <w:bCs w:val="1"/>
          <w:color w:val="auto"/>
        </w:rPr>
        <w:t>December 31, 2007</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33"/>
              <w:spacing w:after="0" w:line="149" w:lineRule="exact"/>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w w:val="85"/>
              </w:rPr>
              <w:t>Consolidated</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2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rPr>
              <w:t>Comcast</w:t>
            </w:r>
          </w:p>
        </w:tc>
        <w:tc>
          <w:tcPr>
            <w:tcW w:w="200" w:type="dxa"/>
            <w:vAlign w:val="bottom"/>
          </w:tcPr>
          <w:p>
            <w:pPr>
              <w:spacing w:after="0"/>
              <w:rPr>
                <w:sz w:val="12"/>
                <w:szCs w:val="12"/>
                <w:color w:val="auto"/>
              </w:rPr>
            </w:pPr>
          </w:p>
        </w:tc>
        <w:tc>
          <w:tcPr>
            <w:tcW w:w="60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rPr>
              <w:t>CCCL</w:t>
            </w:r>
          </w:p>
        </w:tc>
        <w:tc>
          <w:tcPr>
            <w:tcW w:w="200" w:type="dxa"/>
            <w:vAlign w:val="bottom"/>
          </w:tcPr>
          <w:p>
            <w:pPr>
              <w:spacing w:after="0"/>
              <w:rPr>
                <w:sz w:val="12"/>
                <w:szCs w:val="12"/>
                <w:color w:val="auto"/>
              </w:rPr>
            </w:pPr>
          </w:p>
        </w:tc>
        <w:tc>
          <w:tcPr>
            <w:tcW w:w="60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w w:val="93"/>
              </w:rPr>
              <w:t>CCCH</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CCHMO</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Comcast</w:t>
            </w:r>
          </w:p>
        </w:tc>
        <w:tc>
          <w:tcPr>
            <w:tcW w:w="92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rPr>
              <w:t>Guarantor</w:t>
            </w: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Consolidation</w:t>
            </w:r>
          </w:p>
        </w:tc>
        <w:tc>
          <w:tcPr>
            <w:tcW w:w="2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4"/>
                <w:szCs w:val="1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w w:val="87"/>
              </w:rPr>
              <w:t>Parent</w:t>
            </w:r>
          </w:p>
        </w:tc>
        <w:tc>
          <w:tcPr>
            <w:tcW w:w="200" w:type="dxa"/>
            <w:vAlign w:val="bottom"/>
          </w:tcPr>
          <w:p>
            <w:pPr>
              <w:spacing w:after="0"/>
              <w:rPr>
                <w:sz w:val="14"/>
                <w:szCs w:val="14"/>
                <w:color w:val="auto"/>
              </w:rPr>
            </w:pPr>
          </w:p>
        </w:tc>
        <w:tc>
          <w:tcPr>
            <w:tcW w:w="60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w w:val="87"/>
              </w:rPr>
              <w:t>Parent</w:t>
            </w:r>
          </w:p>
        </w:tc>
        <w:tc>
          <w:tcPr>
            <w:tcW w:w="8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Parents</w:t>
            </w: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Holdings</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w w:val="92"/>
              </w:rPr>
              <w:t>Corporation</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963</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4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1,645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861</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3,567</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7,963</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7,963</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Investments in and amounts due from subsidiaries</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42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67,903</w:t>
            </w:r>
          </w:p>
        </w:tc>
        <w:tc>
          <w:tcPr>
            <w:tcW w:w="200" w:type="dxa"/>
            <w:vAlign w:val="bottom"/>
          </w:tcPr>
          <w:p>
            <w:pPr>
              <w:spacing w:after="0"/>
              <w:rPr>
                <w:sz w:val="19"/>
                <w:szCs w:val="19"/>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32,760</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40,240</w:t>
            </w:r>
          </w:p>
        </w:tc>
        <w:tc>
          <w:tcPr>
            <w:tcW w:w="2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43,356</w:t>
            </w:r>
          </w:p>
        </w:tc>
        <w:tc>
          <w:tcPr>
            <w:tcW w:w="200" w:type="dxa"/>
            <w:vAlign w:val="bottom"/>
          </w:tcPr>
          <w:p>
            <w:pPr>
              <w:spacing w:after="0"/>
              <w:rPr>
                <w:sz w:val="19"/>
                <w:szCs w:val="19"/>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w w:val="83"/>
              </w:rPr>
              <w:t>25,815</w:t>
            </w:r>
          </w:p>
        </w:tc>
        <w:tc>
          <w:tcPr>
            <w:tcW w:w="22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2,244</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(212,318)</w:t>
            </w: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42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23,416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23,624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Franchise rights</w:t>
            </w:r>
          </w:p>
        </w:tc>
        <w:tc>
          <w:tcPr>
            <w:tcW w:w="4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58,077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14,705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14,705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4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4,739</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281</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303</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642</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68,492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7"/>
              </w:rPr>
              <w:t>32,771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40,257</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43,356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3"/>
              </w:rPr>
              <w:t>25,845</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115,014</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(212,318)</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113,417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E5E5E5"/>
          </w:tcPr>
          <w:p>
            <w:pPr>
              <w:spacing w:after="0" w:line="201" w:lineRule="exact"/>
              <w:rPr>
                <w:sz w:val="20"/>
                <w:szCs w:val="20"/>
                <w:color w:val="auto"/>
              </w:rPr>
            </w:pPr>
            <w:r>
              <w:rPr>
                <w:rFonts w:ascii="Arial" w:cs="Arial" w:eastAsia="Arial" w:hAnsi="Arial"/>
                <w:sz w:val="18"/>
                <w:szCs w:val="18"/>
                <w:b w:val="1"/>
                <w:bCs w:val="1"/>
                <w:color w:val="auto"/>
              </w:rPr>
              <w:t>LIABILITIES AND</w:t>
            </w:r>
          </w:p>
        </w:tc>
        <w:tc>
          <w:tcPr>
            <w:tcW w:w="4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E5E5E5"/>
          </w:tcPr>
          <w:p>
            <w:pPr>
              <w:ind w:left="200"/>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0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66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3,323</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3,336</w:t>
            </w:r>
          </w:p>
        </w:tc>
      </w:tr>
      <w:tr>
        <w:trPr>
          <w:trHeight w:val="218"/>
        </w:trPr>
        <w:tc>
          <w:tcPr>
            <w:tcW w:w="20" w:type="dxa"/>
            <w:vAlign w:val="bottom"/>
          </w:tcPr>
          <w:p>
            <w:pPr>
              <w:spacing w:after="0"/>
              <w:rPr>
                <w:sz w:val="18"/>
                <w:szCs w:val="18"/>
                <w:color w:val="auto"/>
              </w:rPr>
            </w:pPr>
          </w:p>
        </w:tc>
        <w:tc>
          <w:tcPr>
            <w:tcW w:w="4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694</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75</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98</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74</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1,913</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1,142</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704</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1,412</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403</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5,284</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7,952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4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19,133</w:t>
            </w:r>
          </w:p>
        </w:tc>
        <w:tc>
          <w:tcPr>
            <w:tcW w:w="2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3,294</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3,498</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2,713</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908</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29,828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6,256</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1,015</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19,609</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26,880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1,059</w:t>
            </w:r>
          </w:p>
        </w:tc>
        <w:tc>
          <w:tcPr>
            <w:tcW w:w="2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5,986</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Other stockholders’ equity</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41,306</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7"/>
              </w:rPr>
              <w:t>28,059</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36,684</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40,240</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3"/>
              </w:rPr>
              <w:t>23,732</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83,603</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(212,318)</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41,340</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7"/>
              </w:rPr>
              <w:t>28,059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36,684</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40,240</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w w:val="83"/>
              </w:rPr>
              <w:t>23,732</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83,603</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(212,318)</w:t>
            </w:r>
          </w:p>
        </w:tc>
        <w:tc>
          <w:tcPr>
            <w:tcW w:w="2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41,340</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68,492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7"/>
              </w:rPr>
              <w:t>32,771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40,257</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43,356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3"/>
              </w:rPr>
              <w:t>25,845</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115,014</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(212,318)</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113,417</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center"/>
              <w:ind w:right="74"/>
              <w:spacing w:after="0"/>
              <w:rPr>
                <w:sz w:val="20"/>
                <w:szCs w:val="20"/>
                <w:color w:val="auto"/>
              </w:rPr>
            </w:pPr>
            <w:r>
              <w:rPr>
                <w:rFonts w:ascii="Arial" w:cs="Arial" w:eastAsia="Arial" w:hAnsi="Arial"/>
                <w:sz w:val="18"/>
                <w:szCs w:val="18"/>
                <w:color w:val="auto"/>
                <w:w w:val="99"/>
              </w:rPr>
              <w:t>15</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Three Months Ended March 31, 2008</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Combined</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2"/>
                <w:szCs w:val="12"/>
                <w:color w:val="auto"/>
              </w:rPr>
            </w:pPr>
          </w:p>
        </w:tc>
        <w:tc>
          <w:tcPr>
            <w:tcW w:w="800" w:type="dxa"/>
            <w:vAlign w:val="bottom"/>
          </w:tcPr>
          <w:p>
            <w:pPr>
              <w:jc w:val="center"/>
              <w:ind w:right="293"/>
              <w:spacing w:after="0" w:line="149" w:lineRule="exact"/>
              <w:rPr>
                <w:sz w:val="20"/>
                <w:szCs w:val="20"/>
                <w:color w:val="auto"/>
              </w:rPr>
            </w:pPr>
            <w:r>
              <w:rPr>
                <w:rFonts w:ascii="Arial" w:cs="Arial" w:eastAsia="Arial" w:hAnsi="Arial"/>
                <w:sz w:val="14"/>
                <w:szCs w:val="14"/>
                <w:b w:val="1"/>
                <w:bCs w:val="1"/>
                <w:color w:val="auto"/>
                <w:w w:val="88"/>
              </w:rPr>
              <w:t>and</w:t>
            </w:r>
          </w:p>
        </w:tc>
        <w:tc>
          <w:tcPr>
            <w:tcW w:w="9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2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Comcast</w:t>
            </w: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CCCL</w:t>
            </w: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CCCH</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CCHMO</w:t>
            </w: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Comcast</w:t>
            </w:r>
          </w:p>
        </w:tc>
        <w:tc>
          <w:tcPr>
            <w:tcW w:w="1040" w:type="dxa"/>
            <w:vAlign w:val="bottom"/>
            <w:gridSpan w:val="2"/>
          </w:tcPr>
          <w:p>
            <w:pPr>
              <w:jc w:val="right"/>
              <w:ind w:right="153"/>
              <w:spacing w:after="0" w:line="149" w:lineRule="exact"/>
              <w:rPr>
                <w:sz w:val="20"/>
                <w:szCs w:val="20"/>
                <w:color w:val="auto"/>
              </w:rPr>
            </w:pPr>
            <w:r>
              <w:rPr>
                <w:rFonts w:ascii="Arial" w:cs="Arial" w:eastAsia="Arial" w:hAnsi="Arial"/>
                <w:sz w:val="14"/>
                <w:szCs w:val="14"/>
                <w:b w:val="1"/>
                <w:bCs w:val="1"/>
                <w:color w:val="auto"/>
              </w:rPr>
              <w:t>Guarantor</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26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Parent</w:t>
            </w:r>
          </w:p>
        </w:tc>
        <w:tc>
          <w:tcPr>
            <w:tcW w:w="9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Parents</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Holdings</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4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46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8,389</w:t>
            </w:r>
          </w:p>
        </w:tc>
        <w:tc>
          <w:tcPr>
            <w:tcW w:w="3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8,389</w:t>
            </w:r>
          </w:p>
        </w:tc>
      </w:tr>
      <w:tr>
        <w:trPr>
          <w:trHeight w:val="216"/>
        </w:trPr>
        <w:tc>
          <w:tcPr>
            <w:tcW w:w="20" w:type="dxa"/>
            <w:vAlign w:val="bottom"/>
          </w:tcPr>
          <w:p>
            <w:pPr>
              <w:spacing w:after="0"/>
              <w:rPr>
                <w:sz w:val="18"/>
                <w:szCs w:val="18"/>
                <w:color w:val="auto"/>
              </w:rPr>
            </w:pPr>
          </w:p>
        </w:tc>
        <w:tc>
          <w:tcPr>
            <w:tcW w:w="40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168</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99</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99</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(419)</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168</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99</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99</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8,389</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(419)</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8,389</w:t>
            </w:r>
          </w:p>
        </w:tc>
      </w:tr>
      <w:tr>
        <w:trPr>
          <w:trHeight w:val="210"/>
        </w:trPr>
        <w:tc>
          <w:tcPr>
            <w:tcW w:w="20" w:type="dxa"/>
            <w:vAlign w:val="bottom"/>
          </w:tcPr>
          <w:p>
            <w:pPr>
              <w:spacing w:after="0"/>
              <w:rPr>
                <w:sz w:val="18"/>
                <w:szCs w:val="18"/>
                <w:color w:val="auto"/>
              </w:rPr>
            </w:pPr>
          </w:p>
        </w:tc>
        <w:tc>
          <w:tcPr>
            <w:tcW w:w="40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4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w w:val="91"/>
              </w:rPr>
              <w:t>Operating (excluding depreciation and amortization)</w:t>
            </w:r>
          </w:p>
        </w:tc>
        <w:tc>
          <w:tcPr>
            <w:tcW w:w="46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3,107</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3,107</w:t>
            </w:r>
          </w:p>
        </w:tc>
      </w:tr>
      <w:tr>
        <w:trPr>
          <w:trHeight w:val="216"/>
        </w:trPr>
        <w:tc>
          <w:tcPr>
            <w:tcW w:w="20" w:type="dxa"/>
            <w:vAlign w:val="bottom"/>
          </w:tcPr>
          <w:p>
            <w:pPr>
              <w:spacing w:after="0"/>
              <w:rPr>
                <w:sz w:val="18"/>
                <w:szCs w:val="18"/>
                <w:color w:val="auto"/>
              </w:rPr>
            </w:pPr>
          </w:p>
        </w:tc>
        <w:tc>
          <w:tcPr>
            <w:tcW w:w="4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84</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53</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99</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99</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2,188</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(419)</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2,108</w:t>
            </w: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1,385</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1,390</w:t>
            </w:r>
          </w:p>
        </w:tc>
      </w:tr>
      <w:tr>
        <w:trPr>
          <w:trHeight w:val="216"/>
        </w:trPr>
        <w:tc>
          <w:tcPr>
            <w:tcW w:w="20" w:type="dxa"/>
            <w:vAlign w:val="bottom"/>
          </w:tcPr>
          <w:p>
            <w:pPr>
              <w:spacing w:after="0"/>
              <w:rPr>
                <w:sz w:val="18"/>
                <w:szCs w:val="18"/>
                <w:color w:val="auto"/>
              </w:rPr>
            </w:pPr>
          </w:p>
        </w:tc>
        <w:tc>
          <w:tcPr>
            <w:tcW w:w="40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229</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229</w:t>
            </w: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89</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99</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99</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6,909</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(419)</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w:t>
            </w:r>
          </w:p>
        </w:tc>
      </w:tr>
      <w:tr>
        <w:trPr>
          <w:trHeight w:val="210"/>
        </w:trPr>
        <w:tc>
          <w:tcPr>
            <w:tcW w:w="20" w:type="dxa"/>
            <w:vAlign w:val="bottom"/>
          </w:tcPr>
          <w:p>
            <w:pPr>
              <w:spacing w:after="0"/>
              <w:rPr>
                <w:sz w:val="18"/>
                <w:szCs w:val="18"/>
                <w:color w:val="auto"/>
              </w:rPr>
            </w:pPr>
          </w:p>
        </w:tc>
        <w:tc>
          <w:tcPr>
            <w:tcW w:w="40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4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79</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1,480</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1,555</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9"/>
              </w:rPr>
              <w:t>(323)</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(82)</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9"/>
              </w:rPr>
              <w:t>(80)</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(56)</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(43)</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(37)</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(621)</w:t>
            </w: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460" w:type="dxa"/>
            <w:vAlign w:val="bottom"/>
          </w:tcPr>
          <w:p>
            <w:pPr>
              <w:spacing w:after="0"/>
              <w:rPr>
                <w:sz w:val="18"/>
                <w:szCs w:val="18"/>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40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(losses) income of affiliates, net</w:t>
            </w:r>
          </w:p>
        </w:tc>
        <w:tc>
          <w:tcPr>
            <w:tcW w:w="4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895</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w w:val="93"/>
              </w:rPr>
              <w:t>407</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6"/>
              </w:rPr>
              <w:t>659</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696</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394</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(77)</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(3,009)</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268</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r>
      <w:tr>
        <w:trPr>
          <w:trHeight w:val="210"/>
        </w:trPr>
        <w:tc>
          <w:tcPr>
            <w:tcW w:w="20" w:type="dxa"/>
            <w:vAlign w:val="bottom"/>
          </w:tcPr>
          <w:p>
            <w:pPr>
              <w:spacing w:after="0"/>
              <w:rPr>
                <w:sz w:val="18"/>
                <w:szCs w:val="18"/>
                <w:color w:val="auto"/>
              </w:rPr>
            </w:pPr>
          </w:p>
        </w:tc>
        <w:tc>
          <w:tcPr>
            <w:tcW w:w="4000" w:type="dxa"/>
            <w:vAlign w:val="bottom"/>
            <w:tcBorders>
              <w:bottom w:val="single" w:sz="8" w:color="E5E5E5"/>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565</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w w:val="93"/>
              </w:rPr>
              <w:t>325</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6"/>
              </w:rPr>
              <w:t>579</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640</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372</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219</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(3,009)</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(309)</w:t>
            </w: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0"/>
              </w:rPr>
              <w:t>Income (loss) before income taxes and minority interest</w:t>
            </w:r>
          </w:p>
        </w:tc>
        <w:tc>
          <w:tcPr>
            <w:tcW w:w="46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644</w:t>
            </w:r>
          </w:p>
        </w:tc>
        <w:tc>
          <w:tcPr>
            <w:tcW w:w="240" w:type="dxa"/>
            <w:vAlign w:val="bottom"/>
          </w:tcPr>
          <w:p>
            <w:pPr>
              <w:spacing w:after="0"/>
              <w:rPr>
                <w:sz w:val="18"/>
                <w:szCs w:val="18"/>
                <w:color w:val="auto"/>
              </w:rPr>
            </w:pPr>
          </w:p>
        </w:tc>
        <w:tc>
          <w:tcPr>
            <w:tcW w:w="580" w:type="dxa"/>
            <w:vAlign w:val="bottom"/>
          </w:tcPr>
          <w:p>
            <w:pPr>
              <w:jc w:val="right"/>
              <w:ind w:right="192"/>
              <w:spacing w:after="0"/>
              <w:rPr>
                <w:sz w:val="20"/>
                <w:szCs w:val="20"/>
                <w:color w:val="auto"/>
              </w:rPr>
            </w:pPr>
            <w:r>
              <w:rPr>
                <w:rFonts w:ascii="Arial" w:cs="Arial" w:eastAsia="Arial" w:hAnsi="Arial"/>
                <w:sz w:val="18"/>
                <w:szCs w:val="18"/>
                <w:color w:val="auto"/>
                <w:w w:val="93"/>
              </w:rPr>
              <w:t>325</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579</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640</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1,699</w:t>
            </w:r>
          </w:p>
        </w:tc>
        <w:tc>
          <w:tcPr>
            <w:tcW w:w="3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(3,009)</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16"/>
        </w:trPr>
        <w:tc>
          <w:tcPr>
            <w:tcW w:w="20" w:type="dxa"/>
            <w:vAlign w:val="bottom"/>
          </w:tcPr>
          <w:p>
            <w:pPr>
              <w:spacing w:after="0"/>
              <w:rPr>
                <w:sz w:val="18"/>
                <w:szCs w:val="18"/>
                <w:color w:val="auto"/>
              </w:rPr>
            </w:pPr>
          </w:p>
        </w:tc>
        <w:tc>
          <w:tcPr>
            <w:tcW w:w="40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88</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(679)</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(508)</w:t>
            </w: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Income (loss) before minority interest</w:t>
            </w:r>
          </w:p>
        </w:tc>
        <w:tc>
          <w:tcPr>
            <w:tcW w:w="46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732</w:t>
            </w:r>
          </w:p>
        </w:tc>
        <w:tc>
          <w:tcPr>
            <w:tcW w:w="240" w:type="dxa"/>
            <w:vAlign w:val="bottom"/>
          </w:tcPr>
          <w:p>
            <w:pPr>
              <w:spacing w:after="0"/>
              <w:rPr>
                <w:sz w:val="18"/>
                <w:szCs w:val="18"/>
                <w:color w:val="auto"/>
              </w:rPr>
            </w:pPr>
          </w:p>
        </w:tc>
        <w:tc>
          <w:tcPr>
            <w:tcW w:w="580" w:type="dxa"/>
            <w:vAlign w:val="bottom"/>
          </w:tcPr>
          <w:p>
            <w:pPr>
              <w:jc w:val="right"/>
              <w:ind w:right="192"/>
              <w:spacing w:after="0"/>
              <w:rPr>
                <w:sz w:val="20"/>
                <w:szCs w:val="20"/>
                <w:color w:val="auto"/>
              </w:rPr>
            </w:pPr>
            <w:r>
              <w:rPr>
                <w:rFonts w:ascii="Arial" w:cs="Arial" w:eastAsia="Arial" w:hAnsi="Arial"/>
                <w:sz w:val="18"/>
                <w:szCs w:val="18"/>
                <w:color w:val="auto"/>
                <w:w w:val="93"/>
              </w:rPr>
              <w:t>352</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607</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659</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(3,009)</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16"/>
        </w:trPr>
        <w:tc>
          <w:tcPr>
            <w:tcW w:w="20" w:type="dxa"/>
            <w:vAlign w:val="bottom"/>
          </w:tcPr>
          <w:p>
            <w:pPr>
              <w:spacing w:after="0"/>
              <w:rPr>
                <w:sz w:val="18"/>
                <w:szCs w:val="18"/>
                <w:color w:val="auto"/>
              </w:rPr>
            </w:pPr>
          </w:p>
        </w:tc>
        <w:tc>
          <w:tcPr>
            <w:tcW w:w="40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w:t>
            </w:r>
          </w:p>
        </w:tc>
      </w:tr>
      <w:tr>
        <w:trPr>
          <w:trHeight w:val="217"/>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732</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3"/>
              </w:rPr>
              <w:t>352</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6"/>
              </w:rPr>
              <w:t>607</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659</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377</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1,014</w:t>
            </w:r>
          </w:p>
        </w:tc>
        <w:tc>
          <w:tcPr>
            <w:tcW w:w="3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(3,009)</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w:t>
            </w:r>
          </w:p>
        </w:tc>
      </w:tr>
      <w:tr>
        <w:trPr>
          <w:trHeight w:val="363"/>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Operations</w:t>
      </w:r>
    </w:p>
    <w:p>
      <w:pPr>
        <w:jc w:val="center"/>
        <w:spacing w:after="0"/>
        <w:rPr>
          <w:sz w:val="20"/>
          <w:szCs w:val="20"/>
          <w:color w:val="auto"/>
        </w:rPr>
      </w:pPr>
      <w:r>
        <w:rPr>
          <w:rFonts w:ascii="Arial" w:cs="Arial" w:eastAsia="Arial" w:hAnsi="Arial"/>
          <w:sz w:val="22"/>
          <w:szCs w:val="22"/>
          <w:b w:val="1"/>
          <w:bCs w:val="1"/>
          <w:color w:val="auto"/>
        </w:rPr>
        <w:t>For the Three Months Ended March 31, 2007</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Combined</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2"/>
                <w:szCs w:val="12"/>
                <w:color w:val="auto"/>
              </w:rPr>
            </w:pPr>
          </w:p>
        </w:tc>
        <w:tc>
          <w:tcPr>
            <w:tcW w:w="800" w:type="dxa"/>
            <w:vAlign w:val="bottom"/>
          </w:tcPr>
          <w:p>
            <w:pPr>
              <w:jc w:val="center"/>
              <w:ind w:right="293"/>
              <w:spacing w:after="0" w:line="149" w:lineRule="exact"/>
              <w:rPr>
                <w:sz w:val="20"/>
                <w:szCs w:val="20"/>
                <w:color w:val="auto"/>
              </w:rPr>
            </w:pPr>
            <w:r>
              <w:rPr>
                <w:rFonts w:ascii="Arial" w:cs="Arial" w:eastAsia="Arial" w:hAnsi="Arial"/>
                <w:sz w:val="14"/>
                <w:szCs w:val="14"/>
                <w:b w:val="1"/>
                <w:bCs w:val="1"/>
                <w:color w:val="auto"/>
                <w:w w:val="88"/>
              </w:rPr>
              <w:t>and</w:t>
            </w:r>
          </w:p>
        </w:tc>
        <w:tc>
          <w:tcPr>
            <w:tcW w:w="9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4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Comcast</w:t>
            </w: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CCCL</w:t>
            </w: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CCCH</w:t>
            </w: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CCHMO</w:t>
            </w: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Comcast</w:t>
            </w:r>
          </w:p>
        </w:tc>
        <w:tc>
          <w:tcPr>
            <w:tcW w:w="1040" w:type="dxa"/>
            <w:vAlign w:val="bottom"/>
            <w:gridSpan w:val="2"/>
          </w:tcPr>
          <w:p>
            <w:pPr>
              <w:jc w:val="right"/>
              <w:ind w:right="153"/>
              <w:spacing w:after="0" w:line="149" w:lineRule="exact"/>
              <w:rPr>
                <w:sz w:val="20"/>
                <w:szCs w:val="20"/>
                <w:color w:val="auto"/>
              </w:rPr>
            </w:pPr>
            <w:r>
              <w:rPr>
                <w:rFonts w:ascii="Arial" w:cs="Arial" w:eastAsia="Arial" w:hAnsi="Arial"/>
                <w:sz w:val="14"/>
                <w:szCs w:val="14"/>
                <w:b w:val="1"/>
                <w:bCs w:val="1"/>
                <w:color w:val="auto"/>
              </w:rPr>
              <w:t>Guarantor</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26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0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Parent</w:t>
            </w:r>
          </w:p>
        </w:tc>
        <w:tc>
          <w:tcPr>
            <w:tcW w:w="9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Parents</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Holdings</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48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7,388</w:t>
            </w:r>
          </w:p>
        </w:tc>
        <w:tc>
          <w:tcPr>
            <w:tcW w:w="3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7,388</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149</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79</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79</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(358)</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149</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79</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79</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7,388</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(358)</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7,388</w:t>
            </w:r>
          </w:p>
        </w:tc>
      </w:tr>
      <w:tr>
        <w:trPr>
          <w:trHeight w:val="210"/>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w w:val="90"/>
              </w:rPr>
              <w:t>Operating (excluding depreciation and amortization)</w:t>
            </w:r>
          </w:p>
        </w:tc>
        <w:tc>
          <w:tcPr>
            <w:tcW w:w="48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2,759</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2,759</w:t>
            </w: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71</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51</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79</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79</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4</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1,940</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(358)</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1,866</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1,224</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1,225</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277</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277</w:t>
            </w: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72</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79</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79</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6,200</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(358)</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w:t>
            </w:r>
          </w:p>
        </w:tc>
      </w:tr>
      <w:tr>
        <w:trPr>
          <w:trHeight w:val="210"/>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77</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1,188</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1,261</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9"/>
              </w:rPr>
              <w:t>(251)</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(98)</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9"/>
              </w:rPr>
              <w:t>(81)</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(68)</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(24)</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(46)</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(568)</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48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(losses) income of affiliates, net</w:t>
            </w: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949</w:t>
            </w:r>
          </w:p>
        </w:tc>
        <w:tc>
          <w:tcPr>
            <w:tcW w:w="2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w w:val="93"/>
              </w:rPr>
              <w:t>381</w:t>
            </w:r>
          </w:p>
        </w:tc>
        <w:tc>
          <w:tcPr>
            <w:tcW w:w="16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86"/>
              </w:rPr>
              <w:t>799</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846</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331</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(34)</w:t>
            </w:r>
          </w:p>
        </w:tc>
        <w:tc>
          <w:tcPr>
            <w:tcW w:w="3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(3,293)</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512</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r>
      <w:tr>
        <w:trPr>
          <w:trHeight w:val="210"/>
        </w:trPr>
        <w:tc>
          <w:tcPr>
            <w:tcW w:w="20" w:type="dxa"/>
            <w:vAlign w:val="bottom"/>
          </w:tcPr>
          <w:p>
            <w:pPr>
              <w:spacing w:after="0"/>
              <w:rPr>
                <w:sz w:val="18"/>
                <w:szCs w:val="18"/>
                <w:color w:val="auto"/>
              </w:rPr>
            </w:pPr>
          </w:p>
        </w:tc>
        <w:tc>
          <w:tcPr>
            <w:tcW w:w="3980" w:type="dxa"/>
            <w:vAlign w:val="bottom"/>
            <w:tcBorders>
              <w:bottom w:val="single" w:sz="8" w:color="E5E5E5"/>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699</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w w:val="93"/>
              </w:rPr>
              <w:t>283</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6"/>
              </w:rPr>
              <w:t>718</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778</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298</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615</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(3,293)</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98</w:t>
            </w: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89"/>
              </w:rPr>
              <w:t>Income (loss) before income taxes and minority interest</w:t>
            </w:r>
          </w:p>
        </w:tc>
        <w:tc>
          <w:tcPr>
            <w:tcW w:w="48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776</w:t>
            </w:r>
          </w:p>
        </w:tc>
        <w:tc>
          <w:tcPr>
            <w:tcW w:w="240" w:type="dxa"/>
            <w:vAlign w:val="bottom"/>
          </w:tcPr>
          <w:p>
            <w:pPr>
              <w:spacing w:after="0"/>
              <w:rPr>
                <w:sz w:val="18"/>
                <w:szCs w:val="18"/>
                <w:color w:val="auto"/>
              </w:rPr>
            </w:pPr>
          </w:p>
        </w:tc>
        <w:tc>
          <w:tcPr>
            <w:tcW w:w="580" w:type="dxa"/>
            <w:vAlign w:val="bottom"/>
          </w:tcPr>
          <w:p>
            <w:pPr>
              <w:jc w:val="right"/>
              <w:ind w:right="192"/>
              <w:spacing w:after="0"/>
              <w:rPr>
                <w:sz w:val="20"/>
                <w:szCs w:val="20"/>
                <w:color w:val="auto"/>
              </w:rPr>
            </w:pPr>
            <w:r>
              <w:rPr>
                <w:rFonts w:ascii="Arial" w:cs="Arial" w:eastAsia="Arial" w:hAnsi="Arial"/>
                <w:sz w:val="18"/>
                <w:szCs w:val="18"/>
                <w:color w:val="auto"/>
                <w:w w:val="93"/>
              </w:rPr>
              <w:t>283</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718</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778</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1,803</w:t>
            </w:r>
          </w:p>
        </w:tc>
        <w:tc>
          <w:tcPr>
            <w:tcW w:w="3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(3,293)</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1,359</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(685)</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(526)</w:t>
            </w: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Income (loss) before minority interest</w:t>
            </w:r>
          </w:p>
        </w:tc>
        <w:tc>
          <w:tcPr>
            <w:tcW w:w="48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837</w:t>
            </w:r>
          </w:p>
        </w:tc>
        <w:tc>
          <w:tcPr>
            <w:tcW w:w="240" w:type="dxa"/>
            <w:vAlign w:val="bottom"/>
          </w:tcPr>
          <w:p>
            <w:pPr>
              <w:spacing w:after="0"/>
              <w:rPr>
                <w:sz w:val="18"/>
                <w:szCs w:val="18"/>
                <w:color w:val="auto"/>
              </w:rPr>
            </w:pPr>
          </w:p>
        </w:tc>
        <w:tc>
          <w:tcPr>
            <w:tcW w:w="580" w:type="dxa"/>
            <w:vAlign w:val="bottom"/>
          </w:tcPr>
          <w:p>
            <w:pPr>
              <w:jc w:val="right"/>
              <w:ind w:right="192"/>
              <w:spacing w:after="0"/>
              <w:rPr>
                <w:sz w:val="20"/>
                <w:szCs w:val="20"/>
                <w:color w:val="auto"/>
              </w:rPr>
            </w:pPr>
            <w:r>
              <w:rPr>
                <w:rFonts w:ascii="Arial" w:cs="Arial" w:eastAsia="Arial" w:hAnsi="Arial"/>
                <w:sz w:val="18"/>
                <w:szCs w:val="18"/>
                <w:color w:val="auto"/>
                <w:w w:val="93"/>
              </w:rPr>
              <w:t>318</w:t>
            </w:r>
          </w:p>
        </w:tc>
        <w:tc>
          <w:tcPr>
            <w:tcW w:w="160" w:type="dxa"/>
            <w:vAlign w:val="bottom"/>
          </w:tcPr>
          <w:p>
            <w:pPr>
              <w:spacing w:after="0"/>
              <w:rPr>
                <w:sz w:val="18"/>
                <w:szCs w:val="18"/>
                <w:color w:val="auto"/>
              </w:rPr>
            </w:pPr>
          </w:p>
        </w:tc>
        <w:tc>
          <w:tcPr>
            <w:tcW w:w="480" w:type="dxa"/>
            <w:vAlign w:val="bottom"/>
          </w:tcPr>
          <w:p>
            <w:pPr>
              <w:jc w:val="right"/>
              <w:ind w:right="112"/>
              <w:spacing w:after="0"/>
              <w:rPr>
                <w:sz w:val="20"/>
                <w:szCs w:val="20"/>
                <w:color w:val="auto"/>
              </w:rPr>
            </w:pPr>
            <w:r>
              <w:rPr>
                <w:rFonts w:ascii="Arial" w:cs="Arial" w:eastAsia="Arial" w:hAnsi="Arial"/>
                <w:sz w:val="18"/>
                <w:szCs w:val="18"/>
                <w:color w:val="auto"/>
                <w:w w:val="86"/>
              </w:rPr>
              <w:t>747</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799</w:t>
            </w:r>
          </w:p>
        </w:tc>
        <w:tc>
          <w:tcPr>
            <w:tcW w:w="320" w:type="dxa"/>
            <w:vAlign w:val="bottom"/>
          </w:tcPr>
          <w:p>
            <w:pPr>
              <w:spacing w:after="0"/>
              <w:rPr>
                <w:sz w:val="18"/>
                <w:szCs w:val="18"/>
                <w:color w:val="auto"/>
              </w:rPr>
            </w:pP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18"/>
                <w:szCs w:val="18"/>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1,118</w:t>
            </w:r>
          </w:p>
        </w:tc>
        <w:tc>
          <w:tcPr>
            <w:tcW w:w="3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(3,293)</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4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w:t>
            </w:r>
          </w:p>
        </w:tc>
      </w:tr>
      <w:tr>
        <w:trPr>
          <w:trHeight w:val="217"/>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837</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3"/>
              </w:rPr>
              <w:t>318</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6"/>
              </w:rPr>
              <w:t>747</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799</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307</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1,122</w:t>
            </w:r>
          </w:p>
        </w:tc>
        <w:tc>
          <w:tcPr>
            <w:tcW w:w="3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(3,293)</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837</w:t>
            </w:r>
          </w:p>
        </w:tc>
      </w:tr>
      <w:tr>
        <w:trPr>
          <w:trHeight w:val="363"/>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Cash Flows</w:t>
      </w:r>
    </w:p>
    <w:p>
      <w:pPr>
        <w:jc w:val="center"/>
        <w:spacing w:after="0"/>
        <w:rPr>
          <w:sz w:val="20"/>
          <w:szCs w:val="20"/>
          <w:color w:val="auto"/>
        </w:rPr>
      </w:pPr>
      <w:r>
        <w:rPr>
          <w:rFonts w:ascii="Arial" w:cs="Arial" w:eastAsia="Arial" w:hAnsi="Arial"/>
          <w:sz w:val="22"/>
          <w:szCs w:val="22"/>
          <w:b w:val="1"/>
          <w:bCs w:val="1"/>
          <w:color w:val="auto"/>
        </w:rPr>
        <w:t>For the Three Months Ended March 31, 2008</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Combined</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313"/>
              <w:spacing w:after="0" w:line="149" w:lineRule="exact"/>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2"/>
                <w:szCs w:val="12"/>
                <w:color w:val="auto"/>
              </w:rPr>
            </w:pPr>
          </w:p>
        </w:tc>
        <w:tc>
          <w:tcPr>
            <w:tcW w:w="760" w:type="dxa"/>
            <w:vAlign w:val="bottom"/>
          </w:tcPr>
          <w:p>
            <w:pPr>
              <w:jc w:val="center"/>
              <w:ind w:right="233"/>
              <w:spacing w:after="0" w:line="149" w:lineRule="exact"/>
              <w:rPr>
                <w:sz w:val="20"/>
                <w:szCs w:val="20"/>
                <w:color w:val="auto"/>
              </w:rPr>
            </w:pPr>
            <w:r>
              <w:rPr>
                <w:rFonts w:ascii="Arial" w:cs="Arial" w:eastAsia="Arial" w:hAnsi="Arial"/>
                <w:sz w:val="14"/>
                <w:szCs w:val="14"/>
                <w:b w:val="1"/>
                <w:bCs w:val="1"/>
                <w:color w:val="auto"/>
                <w:w w:val="80"/>
              </w:rPr>
              <w:t>and</w:t>
            </w: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8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Comcast</w:t>
            </w:r>
          </w:p>
        </w:tc>
        <w:tc>
          <w:tcPr>
            <w:tcW w:w="8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CCCL</w:t>
            </w:r>
          </w:p>
        </w:tc>
        <w:tc>
          <w:tcPr>
            <w:tcW w:w="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CCCH</w:t>
            </w:r>
          </w:p>
        </w:tc>
        <w:tc>
          <w:tcPr>
            <w:tcW w:w="94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CCHMO</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Comcast</w:t>
            </w:r>
          </w:p>
        </w:tc>
        <w:tc>
          <w:tcPr>
            <w:tcW w:w="1040" w:type="dxa"/>
            <w:vAlign w:val="bottom"/>
            <w:gridSpan w:val="2"/>
          </w:tcPr>
          <w:p>
            <w:pPr>
              <w:jc w:val="right"/>
              <w:ind w:right="153"/>
              <w:spacing w:after="0" w:line="149" w:lineRule="exact"/>
              <w:rPr>
                <w:sz w:val="20"/>
                <w:szCs w:val="20"/>
                <w:color w:val="auto"/>
              </w:rPr>
            </w:pPr>
            <w:r>
              <w:rPr>
                <w:rFonts w:ascii="Arial" w:cs="Arial" w:eastAsia="Arial" w:hAnsi="Arial"/>
                <w:sz w:val="14"/>
                <w:szCs w:val="14"/>
                <w:b w:val="1"/>
                <w:bCs w:val="1"/>
                <w:color w:val="auto"/>
              </w:rPr>
              <w:t>Guarantor</w:t>
            </w:r>
          </w:p>
        </w:tc>
        <w:tc>
          <w:tcPr>
            <w:tcW w:w="108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w w:val="98"/>
              </w:rPr>
              <w:t>Consolidation</w:t>
            </w:r>
          </w:p>
        </w:tc>
        <w:tc>
          <w:tcPr>
            <w:tcW w:w="24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0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Parent</w:t>
            </w: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Parent</w:t>
            </w:r>
          </w:p>
        </w:tc>
        <w:tc>
          <w:tcPr>
            <w:tcW w:w="9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Parents</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Holdings</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Activities</w:t>
            </w:r>
          </w:p>
        </w:tc>
        <w:tc>
          <w:tcPr>
            <w:tcW w:w="4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w w:val="94"/>
              </w:rPr>
              <w:t>Net cash provided by (used in) operating activities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(202)</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5"/>
              </w:rPr>
              <w:t>(116)</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3"/>
              </w:rPr>
              <w:t>(73)</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(99)</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2,761</w:t>
            </w:r>
          </w:p>
        </w:tc>
        <w:tc>
          <w:tcPr>
            <w:tcW w:w="3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r>
      <w:tr>
        <w:trPr>
          <w:trHeight w:val="210"/>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44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Retirements and repayments of debt</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5"/>
              </w:rPr>
              <w:t>(150)</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(55)</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(13)</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44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w w:val="87"/>
              </w:rPr>
              <w:t>(1,000)</w:t>
            </w:r>
          </w:p>
        </w:tc>
        <w:tc>
          <w:tcPr>
            <w:tcW w:w="2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10</w:t>
            </w: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20" w:type="dxa"/>
            <w:vAlign w:val="bottom"/>
          </w:tcPr>
          <w:p>
            <w:pPr>
              <w:spacing w:after="0"/>
              <w:rPr>
                <w:sz w:val="18"/>
                <w:szCs w:val="18"/>
                <w:color w:val="auto"/>
              </w:rPr>
            </w:pPr>
          </w:p>
        </w:tc>
        <w:tc>
          <w:tcPr>
            <w:tcW w:w="39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w w:val="95"/>
              </w:rPr>
              <w:t>Net cash provided by (used in) financing activities</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(791)</w:t>
            </w:r>
          </w:p>
        </w:tc>
        <w:tc>
          <w:tcPr>
            <w:tcW w:w="2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5"/>
              </w:rPr>
              <w:t>(150)</w:t>
            </w:r>
          </w:p>
        </w:tc>
        <w:tc>
          <w:tcPr>
            <w:tcW w:w="2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(74)</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(1,044)</w:t>
            </w: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7"/>
              </w:rPr>
              <w:t>1,062</w:t>
            </w: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9"/>
              </w:rPr>
              <w:t>266</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73</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99</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86</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(1,586)</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44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(1,362)</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(1,431)</w:t>
            </w: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44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39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49</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44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w w:val="95"/>
              </w:rPr>
              <w:t>Net cash provided by (used in) investing activities</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993</w:t>
            </w: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266</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73</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99</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86</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(3,060)</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r>
      <w:tr>
        <w:trPr>
          <w:trHeight w:val="210"/>
        </w:trPr>
        <w:tc>
          <w:tcPr>
            <w:tcW w:w="20" w:type="dxa"/>
            <w:vAlign w:val="bottom"/>
          </w:tcPr>
          <w:p>
            <w:pPr>
              <w:spacing w:after="0"/>
              <w:rPr>
                <w:sz w:val="18"/>
                <w:szCs w:val="18"/>
                <w:color w:val="auto"/>
              </w:rPr>
            </w:pPr>
          </w:p>
        </w:tc>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w w:val="99"/>
              </w:rPr>
              <w:t>Increase (decrease) in cash and cash equivalents</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(328)</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(328)</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963</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r>
      <w:tr>
        <w:trPr>
          <w:trHeight w:val="217"/>
        </w:trPr>
        <w:tc>
          <w:tcPr>
            <w:tcW w:w="20" w:type="dxa"/>
            <w:vAlign w:val="bottom"/>
          </w:tcPr>
          <w:p>
            <w:pPr>
              <w:spacing w:after="0"/>
              <w:rPr>
                <w:sz w:val="18"/>
                <w:szCs w:val="18"/>
                <w:color w:val="auto"/>
              </w:rPr>
            </w:pPr>
          </w:p>
        </w:tc>
        <w:tc>
          <w:tcPr>
            <w:tcW w:w="39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635</w:t>
            </w:r>
          </w:p>
        </w:tc>
        <w:tc>
          <w:tcPr>
            <w:tcW w:w="32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635</w:t>
            </w:r>
          </w:p>
        </w:tc>
      </w:tr>
      <w:tr>
        <w:trPr>
          <w:trHeight w:val="363"/>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Consolidating Statement of Cash Flows</w:t>
      </w:r>
    </w:p>
    <w:p>
      <w:pPr>
        <w:jc w:val="center"/>
        <w:spacing w:after="0"/>
        <w:rPr>
          <w:sz w:val="20"/>
          <w:szCs w:val="20"/>
          <w:color w:val="auto"/>
        </w:rPr>
      </w:pPr>
      <w:r>
        <w:rPr>
          <w:rFonts w:ascii="Arial" w:cs="Arial" w:eastAsia="Arial" w:hAnsi="Arial"/>
          <w:sz w:val="22"/>
          <w:szCs w:val="22"/>
          <w:b w:val="1"/>
          <w:bCs w:val="1"/>
          <w:color w:val="auto"/>
        </w:rPr>
        <w:t>For the Three Months Ended March 31, 2007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Elimination</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Combined</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313"/>
              <w:spacing w:after="0" w:line="149" w:lineRule="exact"/>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2"/>
                <w:szCs w:val="12"/>
                <w:color w:val="auto"/>
              </w:rPr>
            </w:pPr>
          </w:p>
        </w:tc>
        <w:tc>
          <w:tcPr>
            <w:tcW w:w="760" w:type="dxa"/>
            <w:vAlign w:val="bottom"/>
          </w:tcPr>
          <w:p>
            <w:pPr>
              <w:jc w:val="center"/>
              <w:ind w:right="233"/>
              <w:spacing w:after="0" w:line="149" w:lineRule="exact"/>
              <w:rPr>
                <w:sz w:val="20"/>
                <w:szCs w:val="20"/>
                <w:color w:val="auto"/>
              </w:rPr>
            </w:pPr>
            <w:r>
              <w:rPr>
                <w:rFonts w:ascii="Arial" w:cs="Arial" w:eastAsia="Arial" w:hAnsi="Arial"/>
                <w:sz w:val="14"/>
                <w:szCs w:val="14"/>
                <w:b w:val="1"/>
                <w:bCs w:val="1"/>
                <w:color w:val="auto"/>
                <w:w w:val="80"/>
              </w:rPr>
              <w:t>and</w:t>
            </w: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2"/>
              </w:rPr>
              <w:t>Consolidated</w:t>
            </w: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4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Comcast</w:t>
            </w:r>
          </w:p>
        </w:tc>
        <w:tc>
          <w:tcPr>
            <w:tcW w:w="7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CCCL</w:t>
            </w:r>
          </w:p>
        </w:tc>
        <w:tc>
          <w:tcPr>
            <w:tcW w:w="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CCCH</w:t>
            </w:r>
          </w:p>
        </w:tc>
        <w:tc>
          <w:tcPr>
            <w:tcW w:w="94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CCHMO</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Comcast</w:t>
            </w:r>
          </w:p>
        </w:tc>
        <w:tc>
          <w:tcPr>
            <w:tcW w:w="1040" w:type="dxa"/>
            <w:vAlign w:val="bottom"/>
            <w:gridSpan w:val="2"/>
          </w:tcPr>
          <w:p>
            <w:pPr>
              <w:jc w:val="right"/>
              <w:ind w:right="153"/>
              <w:spacing w:after="0" w:line="149" w:lineRule="exact"/>
              <w:rPr>
                <w:sz w:val="20"/>
                <w:szCs w:val="20"/>
                <w:color w:val="auto"/>
              </w:rPr>
            </w:pPr>
            <w:r>
              <w:rPr>
                <w:rFonts w:ascii="Arial" w:cs="Arial" w:eastAsia="Arial" w:hAnsi="Arial"/>
                <w:sz w:val="14"/>
                <w:szCs w:val="14"/>
                <w:b w:val="1"/>
                <w:bCs w:val="1"/>
                <w:color w:val="auto"/>
              </w:rPr>
              <w:t>Guarantor</w:t>
            </w:r>
          </w:p>
        </w:tc>
        <w:tc>
          <w:tcPr>
            <w:tcW w:w="108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w w:val="98"/>
              </w:rPr>
              <w:t>Consolidation</w:t>
            </w:r>
          </w:p>
        </w:tc>
        <w:tc>
          <w:tcPr>
            <w:tcW w:w="24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w w:val="84"/>
              </w:rPr>
              <w:t>Comcast</w:t>
            </w:r>
          </w:p>
        </w:tc>
      </w:tr>
      <w:tr>
        <w:trPr>
          <w:trHeight w:val="161"/>
        </w:trPr>
        <w:tc>
          <w:tcPr>
            <w:tcW w:w="40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Parent</w:t>
            </w: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Parent</w:t>
            </w:r>
          </w:p>
        </w:tc>
        <w:tc>
          <w:tcPr>
            <w:tcW w:w="9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Parents</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Holdings</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w w:val="99"/>
              </w:rPr>
              <w:t>Corporation</w:t>
            </w: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Activities</w:t>
            </w:r>
          </w:p>
        </w:tc>
        <w:tc>
          <w:tcPr>
            <w:tcW w:w="48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w w:val="96"/>
              </w:rPr>
              <w:t>Net cash provided by (used in) operating activities</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5"/>
              </w:rPr>
              <w:t>(202)</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(71)</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3"/>
              </w:rPr>
              <w:t>(78)</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(147)</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2,484</w:t>
            </w:r>
          </w:p>
        </w:tc>
        <w:tc>
          <w:tcPr>
            <w:tcW w:w="3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r>
      <w:tr>
        <w:trPr>
          <w:trHeight w:val="210"/>
        </w:trPr>
        <w:tc>
          <w:tcPr>
            <w:tcW w:w="20" w:type="dxa"/>
            <w:vAlign w:val="bottom"/>
          </w:tcPr>
          <w:p>
            <w:pPr>
              <w:spacing w:after="0"/>
              <w:rPr>
                <w:sz w:val="18"/>
                <w:szCs w:val="18"/>
                <w:color w:val="auto"/>
              </w:rPr>
            </w:pPr>
          </w:p>
        </w:tc>
        <w:tc>
          <w:tcPr>
            <w:tcW w:w="40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48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Retirements and repayments of debt</w:t>
            </w: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5"/>
              </w:rPr>
              <w:t>(200)</w:t>
            </w: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(226)</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(278)</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(704)</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48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w w:val="95"/>
              </w:rPr>
              <w:t>(500)</w:t>
            </w:r>
          </w:p>
        </w:tc>
        <w:tc>
          <w:tcPr>
            <w:tcW w:w="26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40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w w:val="97"/>
              </w:rPr>
              <w:t>Net cash provided by (used in) financing activities</w:t>
            </w:r>
          </w:p>
        </w:tc>
        <w:tc>
          <w:tcPr>
            <w:tcW w:w="4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95"/>
              </w:rPr>
              <w:t>(466)</w:t>
            </w:r>
          </w:p>
        </w:tc>
        <w:tc>
          <w:tcPr>
            <w:tcW w:w="2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(226)</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(287)</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(979)</w:t>
            </w: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601</w:t>
            </w: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71</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78</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373</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21</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(1,144)</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48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(1,451)</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(1,454)</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48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40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392</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392</w:t>
            </w: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48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40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w w:val="97"/>
              </w:rPr>
              <w:t>Net cash provided by (used in) investing activities</w:t>
            </w: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598</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78</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373</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(2,329)</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r>
      <w:tr>
        <w:trPr>
          <w:trHeight w:val="210"/>
        </w:trPr>
        <w:tc>
          <w:tcPr>
            <w:tcW w:w="20" w:type="dxa"/>
            <w:vAlign w:val="bottom"/>
          </w:tcPr>
          <w:p>
            <w:pPr>
              <w:spacing w:after="0"/>
              <w:rPr>
                <w:sz w:val="18"/>
                <w:szCs w:val="18"/>
                <w:color w:val="auto"/>
              </w:rPr>
            </w:pPr>
          </w:p>
        </w:tc>
        <w:tc>
          <w:tcPr>
            <w:tcW w:w="406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(70)</w:t>
            </w:r>
          </w:p>
        </w:tc>
        <w:tc>
          <w:tcPr>
            <w:tcW w:w="2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77</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1,162</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r>
      <w:tr>
        <w:trPr>
          <w:trHeight w:val="217"/>
        </w:trPr>
        <w:tc>
          <w:tcPr>
            <w:tcW w:w="20" w:type="dxa"/>
            <w:vAlign w:val="bottom"/>
          </w:tcPr>
          <w:p>
            <w:pPr>
              <w:spacing w:after="0"/>
              <w:rPr>
                <w:sz w:val="18"/>
                <w:szCs w:val="18"/>
                <w:color w:val="auto"/>
              </w:rPr>
            </w:pPr>
          </w:p>
        </w:tc>
        <w:tc>
          <w:tcPr>
            <w:tcW w:w="4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8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1,030</w:t>
            </w:r>
          </w:p>
        </w:tc>
        <w:tc>
          <w:tcPr>
            <w:tcW w:w="32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1,037</w:t>
            </w:r>
          </w:p>
        </w:tc>
      </w:tr>
      <w:tr>
        <w:trPr>
          <w:trHeight w:val="36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08"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the largest cable operator in the United States and offer a variety of entertainment and communications products and services. As of March 31, 2008, our cable systems served approximately 24.7 million video subscribers, 14.1 million high-speed Internet subscribers and 5.2 million phone subscribers and passed approximately 49.9 million homes in 39 states and the District of Columbia.</w:t>
      </w:r>
    </w:p>
    <w:p>
      <w:pPr>
        <w:spacing w:after="0" w:line="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classify our operations in two reportable segments: Cable and Programming. Our Cable segment, which generates approximately 95% of our consolidated revenue, manages and operates our cable systems, including video, high-speed Internet and phone services (“cable services”). The majority of our Cable segment revenue is earned from monthly subscriptions for these cable services. Other revenue sources include advertising and the operation of our regional sports and news networks. Our Programming segment consists primarily of our consolidated national programming networks, including E!, The Golf Channel, VERSUS, G4 and Style. Revenue from our Programming segment is earned primarily from the sale of advertising and from monthly per subscriber license fees paid by multichannel video programming distributors.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Highlights and business developments for the three months ended March 31, 2008 include the following:</w:t>
      </w:r>
    </w:p>
    <w:p>
      <w:pPr>
        <w:spacing w:after="0" w:line="77" w:lineRule="exact"/>
        <w:rPr>
          <w:sz w:val="20"/>
          <w:szCs w:val="20"/>
          <w:color w:val="auto"/>
        </w:rPr>
      </w:pPr>
    </w:p>
    <w:p>
      <w:pPr>
        <w:ind w:left="1020" w:right="1240" w:hanging="215"/>
        <w:spacing w:after="0" w:line="26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revenue increased 13.5% to approximately $8.4 billion and consolidated operating income increased 23.3% to approximately $1.6 billion</w:t>
      </w:r>
    </w:p>
    <w:p>
      <w:pPr>
        <w:spacing w:after="0" w:line="37" w:lineRule="exact"/>
        <w:rPr>
          <w:rFonts w:ascii="Arial" w:cs="Arial" w:eastAsia="Arial" w:hAnsi="Arial"/>
          <w:sz w:val="18"/>
          <w:szCs w:val="18"/>
          <w:color w:val="auto"/>
        </w:rPr>
      </w:pPr>
    </w:p>
    <w:p>
      <w:pPr>
        <w:jc w:val="both"/>
        <w:ind w:left="1020" w:right="1260" w:hanging="215"/>
        <w:spacing w:after="0" w:line="25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Cable segment revenue increased 13.1% to approximately $7.9 billion and operating income before depreciation and amortization increased 12.5% to approximately $3.1 billion, both driven by growth in subscribers, acquisitions and the success of our bundled offerings</w:t>
      </w:r>
    </w:p>
    <w:p>
      <w:pPr>
        <w:spacing w:after="0" w:line="45"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repurchase of approximately 53 million shares of our Class A and Class A Special common stock under our Board-authorized share repurchase program for approximately $1.0 billion</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 of the cable systems serving Illinois and Indiana (approximately 696,000 video subscribers), resulting from the dissolution of Insight Midwest, LP (the “Insight transaction”), in January 2008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w w:val="98"/>
              </w:rPr>
              <w:t>Three Months Ended</w:t>
            </w: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rPr>
              <w:t>Increase/</w:t>
            </w:r>
          </w:p>
        </w:tc>
      </w:tr>
      <w:tr>
        <w:trPr>
          <w:trHeight w:val="175"/>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(Decrease)</w:t>
            </w:r>
          </w:p>
        </w:tc>
      </w:tr>
      <w:tr>
        <w:trPr>
          <w:trHeight w:val="237"/>
        </w:trPr>
        <w:tc>
          <w:tcPr>
            <w:tcW w:w="65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20"/>
                <w:szCs w:val="20"/>
                <w:color w:val="auto"/>
              </w:rPr>
            </w:pPr>
          </w:p>
        </w:tc>
        <w:tc>
          <w:tcPr>
            <w:tcW w:w="1040" w:type="dxa"/>
            <w:vAlign w:val="bottom"/>
          </w:tcPr>
          <w:p>
            <w:pPr>
              <w:jc w:val="right"/>
              <w:ind w:right="657"/>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20"/>
                <w:szCs w:val="20"/>
                <w:color w:val="auto"/>
              </w:rPr>
            </w:pPr>
          </w:p>
        </w:tc>
        <w:tc>
          <w:tcPr>
            <w:tcW w:w="780" w:type="dxa"/>
            <w:vAlign w:val="bottom"/>
          </w:tcPr>
          <w:p>
            <w:pPr>
              <w:jc w:val="right"/>
              <w:ind w:right="394"/>
              <w:spacing w:after="0"/>
              <w:rPr>
                <w:sz w:val="20"/>
                <w:szCs w:val="20"/>
                <w:color w:val="auto"/>
              </w:rPr>
            </w:pPr>
            <w:r>
              <w:rPr>
                <w:rFonts w:ascii="Arial" w:cs="Arial" w:eastAsia="Arial" w:hAnsi="Arial"/>
                <w:sz w:val="14"/>
                <w:szCs w:val="14"/>
                <w:b w:val="1"/>
                <w:bCs w:val="1"/>
                <w:color w:val="auto"/>
                <w:w w:val="89"/>
              </w:rPr>
              <w:t>2007</w:t>
            </w:r>
          </w:p>
        </w:tc>
        <w:tc>
          <w:tcPr>
            <w:tcW w:w="10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Revenues</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E5E5E5"/>
          </w:tcPr>
          <w:p>
            <w:pPr>
              <w:jc w:val="right"/>
              <w:ind w:right="517"/>
              <w:spacing w:after="0"/>
              <w:rPr>
                <w:sz w:val="20"/>
                <w:szCs w:val="20"/>
                <w:color w:val="auto"/>
              </w:rPr>
            </w:pPr>
            <w:r>
              <w:rPr>
                <w:rFonts w:ascii="Arial" w:cs="Arial" w:eastAsia="Arial" w:hAnsi="Arial"/>
                <w:sz w:val="18"/>
                <w:szCs w:val="18"/>
                <w:color w:val="auto"/>
                <w:w w:val="93"/>
              </w:rPr>
              <w:t>8,389</w:t>
            </w:r>
          </w:p>
        </w:tc>
        <w:tc>
          <w:tcPr>
            <w:tcW w:w="1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w w:val="93"/>
              </w:rPr>
              <w:t>7,388</w:t>
            </w:r>
          </w:p>
        </w:tc>
        <w:tc>
          <w:tcPr>
            <w:tcW w:w="10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Costs and expenses:</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E5E5E5"/>
          </w:tcPr>
          <w:p>
            <w:pPr>
              <w:spacing w:after="0"/>
              <w:rPr>
                <w:sz w:val="20"/>
                <w:szCs w:val="20"/>
                <w:color w:val="auto"/>
              </w:rPr>
            </w:pPr>
            <w:r>
              <w:rPr>
                <w:rFonts w:ascii="Arial" w:cs="Arial" w:eastAsia="Arial" w:hAnsi="Arial"/>
                <w:sz w:val="18"/>
                <w:szCs w:val="18"/>
                <w:color w:val="auto"/>
                <w:w w:val="96"/>
              </w:rPr>
              <w:t>Operating, selling, general and administrative expenses (excluding depreciation and</w:t>
            </w:r>
          </w:p>
        </w:tc>
        <w:tc>
          <w:tcPr>
            <w:tcW w:w="76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760" w:type="dxa"/>
            <w:vAlign w:val="bottom"/>
            <w:shd w:val="clear" w:color="auto" w:fill="E5E5E5"/>
          </w:tcPr>
          <w:p>
            <w:pPr>
              <w:spacing w:after="0"/>
              <w:rPr>
                <w:sz w:val="19"/>
                <w:szCs w:val="19"/>
                <w:color w:val="auto"/>
              </w:rPr>
            </w:pPr>
          </w:p>
        </w:tc>
        <w:tc>
          <w:tcPr>
            <w:tcW w:w="1040" w:type="dxa"/>
            <w:vAlign w:val="bottom"/>
            <w:shd w:val="clear" w:color="auto" w:fill="E5E5E5"/>
          </w:tcPr>
          <w:p>
            <w:pPr>
              <w:jc w:val="right"/>
              <w:ind w:right="517"/>
              <w:spacing w:after="0"/>
              <w:rPr>
                <w:sz w:val="20"/>
                <w:szCs w:val="20"/>
                <w:color w:val="auto"/>
              </w:rPr>
            </w:pPr>
            <w:r>
              <w:rPr>
                <w:rFonts w:ascii="Arial" w:cs="Arial" w:eastAsia="Arial" w:hAnsi="Arial"/>
                <w:sz w:val="18"/>
                <w:szCs w:val="18"/>
                <w:color w:val="auto"/>
                <w:w w:val="93"/>
              </w:rPr>
              <w:t>5,215</w:t>
            </w:r>
          </w:p>
        </w:tc>
        <w:tc>
          <w:tcPr>
            <w:tcW w:w="14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93"/>
              </w:rPr>
              <w:t>4,625</w:t>
            </w:r>
          </w:p>
        </w:tc>
        <w:tc>
          <w:tcPr>
            <w:tcW w:w="106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12.7</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Depreciation</w:t>
            </w:r>
          </w:p>
        </w:tc>
        <w:tc>
          <w:tcPr>
            <w:tcW w:w="760" w:type="dxa"/>
            <w:vAlign w:val="bottom"/>
          </w:tcPr>
          <w:p>
            <w:pPr>
              <w:spacing w:after="0"/>
              <w:rPr>
                <w:sz w:val="18"/>
                <w:szCs w:val="18"/>
                <w:color w:val="auto"/>
              </w:rPr>
            </w:pPr>
          </w:p>
        </w:tc>
        <w:tc>
          <w:tcPr>
            <w:tcW w:w="1040" w:type="dxa"/>
            <w:vAlign w:val="bottom"/>
          </w:tcPr>
          <w:p>
            <w:pPr>
              <w:jc w:val="right"/>
              <w:ind w:right="517"/>
              <w:spacing w:after="0"/>
              <w:rPr>
                <w:sz w:val="20"/>
                <w:szCs w:val="20"/>
                <w:color w:val="auto"/>
              </w:rPr>
            </w:pPr>
            <w:r>
              <w:rPr>
                <w:rFonts w:ascii="Arial" w:cs="Arial" w:eastAsia="Arial" w:hAnsi="Arial"/>
                <w:sz w:val="18"/>
                <w:szCs w:val="18"/>
                <w:color w:val="auto"/>
                <w:w w:val="93"/>
              </w:rPr>
              <w:t>1,390</w:t>
            </w:r>
          </w:p>
        </w:tc>
        <w:tc>
          <w:tcPr>
            <w:tcW w:w="14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Arial" w:cs="Arial" w:eastAsia="Arial" w:hAnsi="Arial"/>
                <w:sz w:val="18"/>
                <w:szCs w:val="18"/>
                <w:color w:val="auto"/>
                <w:w w:val="93"/>
              </w:rPr>
              <w:t>1,225</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13.4</w:t>
            </w:r>
          </w:p>
        </w:tc>
      </w:tr>
      <w:tr>
        <w:trPr>
          <w:trHeight w:val="216"/>
        </w:trPr>
        <w:tc>
          <w:tcPr>
            <w:tcW w:w="20" w:type="dxa"/>
            <w:vAlign w:val="bottom"/>
          </w:tcPr>
          <w:p>
            <w:pPr>
              <w:spacing w:after="0"/>
              <w:rPr>
                <w:sz w:val="18"/>
                <w:szCs w:val="18"/>
                <w:color w:val="auto"/>
              </w:rPr>
            </w:pPr>
          </w:p>
        </w:tc>
        <w:tc>
          <w:tcPr>
            <w:tcW w:w="64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Amortization</w:t>
            </w:r>
          </w:p>
        </w:tc>
        <w:tc>
          <w:tcPr>
            <w:tcW w:w="76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517"/>
              <w:spacing w:after="0"/>
              <w:rPr>
                <w:sz w:val="20"/>
                <w:szCs w:val="20"/>
                <w:color w:val="auto"/>
              </w:rPr>
            </w:pPr>
            <w:r>
              <w:rPr>
                <w:rFonts w:ascii="Arial" w:cs="Arial" w:eastAsia="Arial" w:hAnsi="Arial"/>
                <w:sz w:val="18"/>
                <w:szCs w:val="18"/>
                <w:color w:val="auto"/>
              </w:rPr>
              <w:t>229</w:t>
            </w:r>
          </w:p>
        </w:tc>
        <w:tc>
          <w:tcPr>
            <w:tcW w:w="1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277</w:t>
            </w:r>
          </w:p>
        </w:tc>
        <w:tc>
          <w:tcPr>
            <w:tcW w:w="10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(17.1)</w:t>
            </w: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760" w:type="dxa"/>
            <w:vAlign w:val="bottom"/>
          </w:tcPr>
          <w:p>
            <w:pPr>
              <w:spacing w:after="0"/>
              <w:rPr>
                <w:sz w:val="18"/>
                <w:szCs w:val="18"/>
                <w:color w:val="auto"/>
              </w:rPr>
            </w:pPr>
          </w:p>
        </w:tc>
        <w:tc>
          <w:tcPr>
            <w:tcW w:w="1040" w:type="dxa"/>
            <w:vAlign w:val="bottom"/>
          </w:tcPr>
          <w:p>
            <w:pPr>
              <w:jc w:val="right"/>
              <w:ind w:right="517"/>
              <w:spacing w:after="0"/>
              <w:rPr>
                <w:sz w:val="20"/>
                <w:szCs w:val="20"/>
                <w:color w:val="auto"/>
              </w:rPr>
            </w:pPr>
            <w:r>
              <w:rPr>
                <w:rFonts w:ascii="Arial" w:cs="Arial" w:eastAsia="Arial" w:hAnsi="Arial"/>
                <w:sz w:val="18"/>
                <w:szCs w:val="18"/>
                <w:color w:val="auto"/>
                <w:w w:val="93"/>
              </w:rPr>
              <w:t>1,555</w:t>
            </w:r>
          </w:p>
        </w:tc>
        <w:tc>
          <w:tcPr>
            <w:tcW w:w="14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Arial" w:cs="Arial" w:eastAsia="Arial" w:hAnsi="Arial"/>
                <w:sz w:val="18"/>
                <w:szCs w:val="18"/>
                <w:color w:val="auto"/>
                <w:w w:val="93"/>
              </w:rPr>
              <w:t>1,261</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23.3</w:t>
            </w:r>
          </w:p>
        </w:tc>
      </w:tr>
      <w:tr>
        <w:trPr>
          <w:trHeight w:val="216"/>
        </w:trPr>
        <w:tc>
          <w:tcPr>
            <w:tcW w:w="20" w:type="dxa"/>
            <w:vAlign w:val="bottom"/>
          </w:tcPr>
          <w:p>
            <w:pPr>
              <w:spacing w:after="0"/>
              <w:rPr>
                <w:sz w:val="18"/>
                <w:szCs w:val="18"/>
                <w:color w:val="auto"/>
              </w:rPr>
            </w:pPr>
          </w:p>
        </w:tc>
        <w:tc>
          <w:tcPr>
            <w:tcW w:w="64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76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457"/>
              <w:spacing w:after="0"/>
              <w:rPr>
                <w:sz w:val="20"/>
                <w:szCs w:val="20"/>
                <w:color w:val="auto"/>
              </w:rPr>
            </w:pPr>
            <w:r>
              <w:rPr>
                <w:rFonts w:ascii="Arial" w:cs="Arial" w:eastAsia="Arial" w:hAnsi="Arial"/>
                <w:sz w:val="18"/>
                <w:szCs w:val="18"/>
                <w:color w:val="auto"/>
              </w:rPr>
              <w:t>(309)</w:t>
            </w:r>
          </w:p>
        </w:tc>
        <w:tc>
          <w:tcPr>
            <w:tcW w:w="1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98</w:t>
            </w:r>
          </w:p>
        </w:tc>
        <w:tc>
          <w:tcPr>
            <w:tcW w:w="10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(415.7)</w:t>
            </w: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Income before income taxes and minority interest</w:t>
            </w:r>
          </w:p>
        </w:tc>
        <w:tc>
          <w:tcPr>
            <w:tcW w:w="760" w:type="dxa"/>
            <w:vAlign w:val="bottom"/>
          </w:tcPr>
          <w:p>
            <w:pPr>
              <w:spacing w:after="0"/>
              <w:rPr>
                <w:sz w:val="18"/>
                <w:szCs w:val="18"/>
                <w:color w:val="auto"/>
              </w:rPr>
            </w:pPr>
          </w:p>
        </w:tc>
        <w:tc>
          <w:tcPr>
            <w:tcW w:w="1040" w:type="dxa"/>
            <w:vAlign w:val="bottom"/>
          </w:tcPr>
          <w:p>
            <w:pPr>
              <w:jc w:val="right"/>
              <w:ind w:right="517"/>
              <w:spacing w:after="0"/>
              <w:rPr>
                <w:sz w:val="20"/>
                <w:szCs w:val="20"/>
                <w:color w:val="auto"/>
              </w:rPr>
            </w:pPr>
            <w:r>
              <w:rPr>
                <w:rFonts w:ascii="Arial" w:cs="Arial" w:eastAsia="Arial" w:hAnsi="Arial"/>
                <w:sz w:val="18"/>
                <w:szCs w:val="18"/>
                <w:color w:val="auto"/>
                <w:w w:val="93"/>
              </w:rPr>
              <w:t>1,246</w:t>
            </w:r>
          </w:p>
        </w:tc>
        <w:tc>
          <w:tcPr>
            <w:tcW w:w="14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Arial" w:cs="Arial" w:eastAsia="Arial" w:hAnsi="Arial"/>
                <w:sz w:val="18"/>
                <w:szCs w:val="18"/>
                <w:color w:val="auto"/>
                <w:w w:val="93"/>
              </w:rPr>
              <w:t>1,359</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64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76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457"/>
              <w:spacing w:after="0"/>
              <w:rPr>
                <w:sz w:val="20"/>
                <w:szCs w:val="20"/>
                <w:color w:val="auto"/>
              </w:rPr>
            </w:pPr>
            <w:r>
              <w:rPr>
                <w:rFonts w:ascii="Arial" w:cs="Arial" w:eastAsia="Arial" w:hAnsi="Arial"/>
                <w:sz w:val="18"/>
                <w:szCs w:val="18"/>
                <w:color w:val="auto"/>
              </w:rPr>
              <w:t>(508)</w:t>
            </w:r>
          </w:p>
        </w:tc>
        <w:tc>
          <w:tcPr>
            <w:tcW w:w="1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(526)</w:t>
            </w:r>
          </w:p>
        </w:tc>
        <w:tc>
          <w:tcPr>
            <w:tcW w:w="10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(3.5)</w:t>
            </w: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Income before minority interest</w:t>
            </w:r>
          </w:p>
        </w:tc>
        <w:tc>
          <w:tcPr>
            <w:tcW w:w="760" w:type="dxa"/>
            <w:vAlign w:val="bottom"/>
          </w:tcPr>
          <w:p>
            <w:pPr>
              <w:spacing w:after="0"/>
              <w:rPr>
                <w:sz w:val="18"/>
                <w:szCs w:val="18"/>
                <w:color w:val="auto"/>
              </w:rPr>
            </w:pPr>
          </w:p>
        </w:tc>
        <w:tc>
          <w:tcPr>
            <w:tcW w:w="1040" w:type="dxa"/>
            <w:vAlign w:val="bottom"/>
          </w:tcPr>
          <w:p>
            <w:pPr>
              <w:jc w:val="right"/>
              <w:ind w:right="517"/>
              <w:spacing w:after="0"/>
              <w:rPr>
                <w:sz w:val="20"/>
                <w:szCs w:val="20"/>
                <w:color w:val="auto"/>
              </w:rPr>
            </w:pPr>
            <w:r>
              <w:rPr>
                <w:rFonts w:ascii="Arial" w:cs="Arial" w:eastAsia="Arial" w:hAnsi="Arial"/>
                <w:sz w:val="18"/>
                <w:szCs w:val="18"/>
                <w:color w:val="auto"/>
              </w:rPr>
              <w:t>738</w:t>
            </w:r>
          </w:p>
        </w:tc>
        <w:tc>
          <w:tcPr>
            <w:tcW w:w="14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Arial" w:cs="Arial" w:eastAsia="Arial" w:hAnsi="Arial"/>
                <w:sz w:val="18"/>
                <w:szCs w:val="18"/>
                <w:color w:val="auto"/>
              </w:rPr>
              <w:t>833</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64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76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457"/>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4</w:t>
            </w:r>
          </w:p>
        </w:tc>
        <w:tc>
          <w:tcPr>
            <w:tcW w:w="106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n/m</w:t>
            </w:r>
          </w:p>
        </w:tc>
      </w:tr>
      <w:tr>
        <w:trPr>
          <w:trHeight w:val="217"/>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b w:val="1"/>
                <w:bCs w:val="1"/>
                <w:color w:val="auto"/>
              </w:rPr>
              <w:t>732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837</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(12.5)</w:t>
            </w:r>
          </w:p>
        </w:tc>
      </w:tr>
    </w:tbl>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percentages are calculated based on actual amounts. Minor differences may exist due to rounding.</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Revenues</w:t>
      </w:r>
    </w:p>
    <w:p>
      <w:pPr>
        <w:spacing w:after="0" w:line="7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Our Cable and Programming segments accounted for substantially all of the increases in consolidated revenues for the three months ended March 31, 2008 compared to the same period in 2007. Cable segment and Programming segment revenues are discussed separately below in “Segment Operating Results.” The remaining changes relate to our other business activities, primarily the growth of Comcast Interactive Media and Comcast Spectacor.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and Programming segments accounted for substantially all of the increases in consolidated operating, selling, general and administrative expenses for the three months ended March 31, 2008 compared to the same period in 2007. Cable segment and Programming segment operating, selling, general and administrative expenses are discussed separately below in “Segment Operating Results.” The remaining changes relate to our other business activities, including expanding our Comcast Interactive Media business and Comcast Spectacor.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depreciation expense for the three months ended March 31, 2008 compared to the same period in 2007 is primarily a result of the increase in property and equipment and the depreciation associated with the cable systems acquired in the Insight transaction.</w:t>
      </w:r>
    </w:p>
    <w:p>
      <w:pPr>
        <w:spacing w:after="0" w:line="3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decrease in amortization expense for the three months ended March 31, 2008 compared to the same period in 2007 is primarily due to the customer relationship intangible assets associated with the AT&amp;T Broadband acquisition in 2002 being fully amortized.</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measure the performance of our operating segments, we use operating income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11). You should not consider this measure a substitute for operating income (loss), net income (loss), net cash provided by operating activities, or other measures of performance or liquidity we have reported in accordance with GAAP.</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Operating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Cable segment operating results:</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w w:val="92"/>
              </w:rPr>
              <w:t>Three Months Ended</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294"/>
              <w:spacing w:after="0"/>
              <w:rPr>
                <w:sz w:val="20"/>
                <w:szCs w:val="20"/>
                <w:color w:val="auto"/>
              </w:rPr>
            </w:pPr>
            <w:r>
              <w:rPr>
                <w:rFonts w:ascii="Arial" w:cs="Arial" w:eastAsia="Arial" w:hAnsi="Arial"/>
                <w:sz w:val="14"/>
                <w:szCs w:val="14"/>
                <w:b w:val="1"/>
                <w:bCs w:val="1"/>
                <w:color w:val="auto"/>
                <w:w w:val="89"/>
              </w:rPr>
              <w:t>Increase/(Decrease)</w:t>
            </w:r>
          </w:p>
        </w:tc>
        <w:tc>
          <w:tcPr>
            <w:tcW w:w="0" w:type="dxa"/>
            <w:vAlign w:val="bottom"/>
          </w:tcPr>
          <w:p>
            <w:pPr>
              <w:spacing w:after="0"/>
              <w:rPr>
                <w:sz w:val="1"/>
                <w:szCs w:val="1"/>
                <w:color w:val="auto"/>
              </w:rPr>
            </w:pPr>
          </w:p>
        </w:tc>
      </w:tr>
      <w:tr>
        <w:trPr>
          <w:trHeight w:val="142"/>
        </w:trPr>
        <w:tc>
          <w:tcPr>
            <w:tcW w:w="60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w w:val="89"/>
              </w:rPr>
              <w:t>2008</w:t>
            </w:r>
          </w:p>
        </w:tc>
        <w:tc>
          <w:tcPr>
            <w:tcW w:w="360" w:type="dxa"/>
            <w:vAlign w:val="bottom"/>
          </w:tcPr>
          <w:p>
            <w:pPr>
              <w:spacing w:after="0"/>
              <w:rPr>
                <w:sz w:val="12"/>
                <w:szCs w:val="12"/>
                <w:color w:val="auto"/>
              </w:rPr>
            </w:pPr>
          </w:p>
        </w:tc>
        <w:tc>
          <w:tcPr>
            <w:tcW w:w="70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w w:val="89"/>
              </w:rPr>
              <w:t>2007</w:t>
            </w:r>
          </w:p>
        </w:tc>
        <w:tc>
          <w:tcPr>
            <w:tcW w:w="380" w:type="dxa"/>
            <w:vAlign w:val="bottom"/>
          </w:tcPr>
          <w:p>
            <w:pPr>
              <w:spacing w:after="0"/>
              <w:rPr>
                <w:sz w:val="12"/>
                <w:szCs w:val="12"/>
                <w:color w:val="auto"/>
              </w:rPr>
            </w:pPr>
          </w:p>
        </w:tc>
        <w:tc>
          <w:tcPr>
            <w:tcW w:w="700" w:type="dxa"/>
            <w:vAlign w:val="bottom"/>
          </w:tcPr>
          <w:p>
            <w:pPr>
              <w:jc w:val="right"/>
              <w:ind w:right="476"/>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w w:val="93"/>
              </w:rPr>
              <w:t>4,706</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4,362</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344</w:t>
            </w:r>
          </w:p>
        </w:tc>
        <w:tc>
          <w:tcPr>
            <w:tcW w:w="8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High-speed Internet</w:t>
            </w:r>
          </w:p>
        </w:tc>
        <w:tc>
          <w:tcPr>
            <w:tcW w:w="580" w:type="dxa"/>
            <w:vAlign w:val="bottom"/>
          </w:tcPr>
          <w:p>
            <w:pPr>
              <w:spacing w:after="0"/>
              <w:rPr>
                <w:sz w:val="18"/>
                <w:szCs w:val="18"/>
                <w:color w:val="auto"/>
              </w:rPr>
            </w:pPr>
          </w:p>
        </w:tc>
        <w:tc>
          <w:tcPr>
            <w:tcW w:w="680" w:type="dxa"/>
            <w:vAlign w:val="bottom"/>
          </w:tcPr>
          <w:p>
            <w:pPr>
              <w:jc w:val="right"/>
              <w:ind w:right="157"/>
              <w:spacing w:after="0"/>
              <w:rPr>
                <w:sz w:val="20"/>
                <w:szCs w:val="20"/>
                <w:color w:val="auto"/>
              </w:rPr>
            </w:pPr>
            <w:r>
              <w:rPr>
                <w:rFonts w:ascii="Arial" w:cs="Arial" w:eastAsia="Arial" w:hAnsi="Arial"/>
                <w:sz w:val="18"/>
                <w:szCs w:val="18"/>
                <w:color w:val="auto"/>
                <w:w w:val="93"/>
              </w:rPr>
              <w:t>1,750</w:t>
            </w:r>
          </w:p>
        </w:tc>
        <w:tc>
          <w:tcPr>
            <w:tcW w:w="36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1,527</w:t>
            </w:r>
          </w:p>
        </w:tc>
        <w:tc>
          <w:tcPr>
            <w:tcW w:w="380" w:type="dxa"/>
            <w:vAlign w:val="bottom"/>
          </w:tcPr>
          <w:p>
            <w:pPr>
              <w:spacing w:after="0"/>
              <w:rPr>
                <w:sz w:val="18"/>
                <w:szCs w:val="18"/>
                <w:color w:val="auto"/>
              </w:rPr>
            </w:pPr>
          </w:p>
        </w:tc>
        <w:tc>
          <w:tcPr>
            <w:tcW w:w="700" w:type="dxa"/>
            <w:vAlign w:val="bottom"/>
          </w:tcPr>
          <w:p>
            <w:pPr>
              <w:jc w:val="right"/>
              <w:ind w:right="256"/>
              <w:spacing w:after="0"/>
              <w:rPr>
                <w:sz w:val="20"/>
                <w:szCs w:val="20"/>
                <w:color w:val="auto"/>
              </w:rPr>
            </w:pPr>
            <w:r>
              <w:rPr>
                <w:rFonts w:ascii="Arial" w:cs="Arial" w:eastAsia="Arial" w:hAnsi="Arial"/>
                <w:sz w:val="18"/>
                <w:szCs w:val="18"/>
                <w:color w:val="auto"/>
              </w:rPr>
              <w:t>223</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587</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353</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234</w:t>
            </w:r>
          </w:p>
        </w:tc>
        <w:tc>
          <w:tcPr>
            <w:tcW w:w="8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Advertising</w:t>
            </w:r>
          </w:p>
        </w:tc>
        <w:tc>
          <w:tcPr>
            <w:tcW w:w="580" w:type="dxa"/>
            <w:vAlign w:val="bottom"/>
          </w:tcPr>
          <w:p>
            <w:pPr>
              <w:spacing w:after="0"/>
              <w:rPr>
                <w:sz w:val="18"/>
                <w:szCs w:val="18"/>
                <w:color w:val="auto"/>
              </w:rPr>
            </w:pPr>
          </w:p>
        </w:tc>
        <w:tc>
          <w:tcPr>
            <w:tcW w:w="680" w:type="dxa"/>
            <w:vAlign w:val="bottom"/>
          </w:tcPr>
          <w:p>
            <w:pPr>
              <w:jc w:val="right"/>
              <w:ind w:right="157"/>
              <w:spacing w:after="0"/>
              <w:rPr>
                <w:sz w:val="20"/>
                <w:szCs w:val="20"/>
                <w:color w:val="auto"/>
              </w:rPr>
            </w:pPr>
            <w:r>
              <w:rPr>
                <w:rFonts w:ascii="Arial" w:cs="Arial" w:eastAsia="Arial" w:hAnsi="Arial"/>
                <w:sz w:val="18"/>
                <w:szCs w:val="18"/>
                <w:color w:val="auto"/>
              </w:rPr>
              <w:t>344</w:t>
            </w:r>
          </w:p>
        </w:tc>
        <w:tc>
          <w:tcPr>
            <w:tcW w:w="36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18"/>
                <w:szCs w:val="18"/>
                <w:color w:val="auto"/>
              </w:rPr>
            </w:pPr>
          </w:p>
        </w:tc>
        <w:tc>
          <w:tcPr>
            <w:tcW w:w="700" w:type="dxa"/>
            <w:vAlign w:val="bottom"/>
          </w:tcPr>
          <w:p>
            <w:pPr>
              <w:jc w:val="right"/>
              <w:ind w:right="256"/>
              <w:spacing w:after="0"/>
              <w:rPr>
                <w:sz w:val="20"/>
                <w:szCs w:val="20"/>
                <w:color w:val="auto"/>
              </w:rPr>
            </w:pPr>
            <w:r>
              <w:rPr>
                <w:rFonts w:ascii="Arial" w:cs="Arial" w:eastAsia="Arial" w:hAnsi="Arial"/>
                <w:sz w:val="18"/>
                <w:szCs w:val="18"/>
                <w:color w:val="auto"/>
              </w:rPr>
              <w:t>31</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305</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242</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63</w:t>
            </w:r>
          </w:p>
        </w:tc>
        <w:tc>
          <w:tcPr>
            <w:tcW w:w="8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Franchise fees</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224</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201</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23</w:t>
            </w: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w w:val="93"/>
              </w:rPr>
              <w:t>7,916</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6,998</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918</w:t>
            </w:r>
          </w:p>
        </w:tc>
        <w:tc>
          <w:tcPr>
            <w:tcW w:w="8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8"/>
                <w:szCs w:val="18"/>
                <w:color w:val="auto"/>
              </w:rPr>
            </w:pPr>
          </w:p>
        </w:tc>
        <w:tc>
          <w:tcPr>
            <w:tcW w:w="680" w:type="dxa"/>
            <w:vAlign w:val="bottom"/>
          </w:tcPr>
          <w:p>
            <w:pPr>
              <w:jc w:val="right"/>
              <w:ind w:right="157"/>
              <w:spacing w:after="0"/>
              <w:rPr>
                <w:sz w:val="20"/>
                <w:szCs w:val="20"/>
                <w:color w:val="auto"/>
              </w:rPr>
            </w:pPr>
            <w:r>
              <w:rPr>
                <w:rFonts w:ascii="Arial" w:cs="Arial" w:eastAsia="Arial" w:hAnsi="Arial"/>
                <w:sz w:val="18"/>
                <w:szCs w:val="18"/>
                <w:color w:val="auto"/>
                <w:w w:val="93"/>
              </w:rPr>
              <w:t>2,909</w:t>
            </w:r>
          </w:p>
        </w:tc>
        <w:tc>
          <w:tcPr>
            <w:tcW w:w="36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2,550</w:t>
            </w:r>
          </w:p>
        </w:tc>
        <w:tc>
          <w:tcPr>
            <w:tcW w:w="380" w:type="dxa"/>
            <w:vAlign w:val="bottom"/>
          </w:tcPr>
          <w:p>
            <w:pPr>
              <w:spacing w:after="0"/>
              <w:rPr>
                <w:sz w:val="18"/>
                <w:szCs w:val="18"/>
                <w:color w:val="auto"/>
              </w:rPr>
            </w:pPr>
          </w:p>
        </w:tc>
        <w:tc>
          <w:tcPr>
            <w:tcW w:w="700" w:type="dxa"/>
            <w:vAlign w:val="bottom"/>
          </w:tcPr>
          <w:p>
            <w:pPr>
              <w:jc w:val="right"/>
              <w:ind w:right="256"/>
              <w:spacing w:after="0"/>
              <w:rPr>
                <w:sz w:val="20"/>
                <w:szCs w:val="20"/>
                <w:color w:val="auto"/>
              </w:rPr>
            </w:pPr>
            <w:r>
              <w:rPr>
                <w:rFonts w:ascii="Arial" w:cs="Arial" w:eastAsia="Arial" w:hAnsi="Arial"/>
                <w:sz w:val="18"/>
                <w:szCs w:val="18"/>
                <w:color w:val="auto"/>
              </w:rPr>
              <w:t>359</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Selling, general and administrative expenses</w:t>
            </w:r>
          </w:p>
        </w:tc>
        <w:tc>
          <w:tcPr>
            <w:tcW w:w="5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w w:val="93"/>
              </w:rPr>
              <w:t>1,865</w:t>
            </w:r>
          </w:p>
        </w:tc>
        <w:tc>
          <w:tcPr>
            <w:tcW w:w="3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1,655</w:t>
            </w:r>
          </w:p>
        </w:tc>
        <w:tc>
          <w:tcPr>
            <w:tcW w:w="3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210</w:t>
            </w:r>
          </w:p>
        </w:tc>
        <w:tc>
          <w:tcPr>
            <w:tcW w:w="8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w w:val="93"/>
              </w:rPr>
              <w:t>3,142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2,793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349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Revenues</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u w:val="single" w:color="auto"/>
          <w:color w:val="auto"/>
        </w:rPr>
        <w:t>Video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video revenues continued to grow due to rate increases, subscriber growth in our digital cable services, including the demand for digital features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on demand, DVR and HDTV, and the addition of the cable systems acquired in the Insight transaction. During the three months ended March 31, 2008, we added approximately 494,000 digital cable subscribers. As of March 31, 2008, approximately 65% of our 24.7 million video subscribers subscribed to at least one of our digital cable services. During the three months ended March 31, 2008, the number of basic subscribers decreased by approximately 57,000 primarily as a result of increased competition in our service areas. Our average monthly video revenue per video subscriber increased from approximately $61 as of December 31, 2007 to approximately $63 during the three months ended March 31, 2008, which has been impacted by additional promotional offers.</w:t>
      </w:r>
    </w:p>
    <w:p>
      <w:pPr>
        <w:spacing w:after="0" w:line="2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u w:val="single" w:color="auto"/>
          <w:color w:val="auto"/>
        </w:rPr>
        <w:t>High-Speed Internet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increase in high-speed Internet revenue for the three months ended March 31, 2008 compared to the same period in 2007 reflects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subscribers and the addition of the cable systems acquired in the Insight transaction. During the three months ended March 31, 2008, we added approximately 492,000 high-speed Internet subscribers. Average monthly revenue per subscriber has declined slightly as a result of additional promotional offers.</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u w:val="single" w:color="auto"/>
          <w:color w:val="auto"/>
        </w:rPr>
        <w:t>Phone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phone revenues increased as a result of subscriber growth in our digital phone service, partially offset by the loss of circuit-switched phone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subscribers. During the three months ended March 31, 2008, we added 639,000 digital phone subscribers. The number of circuit-switched phone subscribers will continue to decrease as we phase out this service during 2008.</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u w:val="single" w:color="auto"/>
          <w:color w:val="auto"/>
        </w:rPr>
        <w:t>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advertising revenue for the three months ended March 31, 2008 compared to the same period in 2007 is primarily due to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week in the broadcast advertising calendar, an increase in political advertising related to the U.S. primary elections and the addition of the cable systems acquired in the Insight transaction. Absent this growth, advertising revenue decreased, reflecting softness in the advertising marketplace, particularly in the automobile and housing-related industries.</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u w:val="single" w:color="auto"/>
          <w:color w:val="auto"/>
        </w:rPr>
        <w:t>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also generate revenues from our regional sports and news networks, video installation services, commissions from third-party electronic retailing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for other services, such as providing businesses with data connectivity and networked applications. The increase in other revenue for the three months ended March 31, 2008 compared to the same period in 2007 is primarily a result of the regional sports network acquisitions of Comcast SportsNet Bay Area and Comcast SportsNet New England.</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u w:val="single" w:color="auto"/>
          <w:color w:val="auto"/>
        </w:rPr>
        <w:t>Franchise Fees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franchise fees collected from our cable subscribers for the three months ended March 31, 2008 compared to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2007 is primarily a result of the increases in our revenues upon which the fees apply.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Operating Expenses</w:t>
      </w:r>
    </w:p>
    <w:p>
      <w:pPr>
        <w:spacing w:after="0" w:line="7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Operating expenses increased primarily as a result of growth in the number of subscribers to our cable services and the addition of the cable systems acquired in the Insight transaction. The remaining increases were primarily a result of costs associated with the delivery of these services and additional personnel to handle service calls and provide customer support.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Selling, General and Administrative Expenses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primarily as a result of growth in the number of subscribers to our cable services. The remaining increase was primarily a result of additional employees needed to provide customer and other administrative services, as well as additional marketing costs associated with attracting new subscribers.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Operating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Programming segment operating results:</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40" w:type="dxa"/>
            <w:vAlign w:val="bottom"/>
            <w:gridSpan w:val="3"/>
          </w:tcPr>
          <w:p>
            <w:pPr>
              <w:jc w:val="right"/>
              <w:ind w:right="477"/>
              <w:spacing w:after="0"/>
              <w:rPr>
                <w:sz w:val="20"/>
                <w:szCs w:val="20"/>
                <w:color w:val="auto"/>
              </w:rPr>
            </w:pPr>
            <w:r>
              <w:rPr>
                <w:rFonts w:ascii="Arial" w:cs="Arial" w:eastAsia="Arial" w:hAnsi="Arial"/>
                <w:sz w:val="14"/>
                <w:szCs w:val="14"/>
                <w:b w:val="1"/>
                <w:bCs w:val="1"/>
                <w:color w:val="auto"/>
                <w:w w:val="98"/>
              </w:rPr>
              <w:t>Three Months Ended</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2"/>
              </w:rPr>
              <w:t>March 31</w:t>
            </w: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ind w:right="80"/>
              <w:spacing w:after="0" w:line="142" w:lineRule="exact"/>
              <w:rPr>
                <w:sz w:val="20"/>
                <w:szCs w:val="20"/>
                <w:color w:val="auto"/>
              </w:rPr>
            </w:pPr>
            <w:r>
              <w:rPr>
                <w:rFonts w:ascii="Arial" w:cs="Arial" w:eastAsia="Arial" w:hAnsi="Arial"/>
                <w:sz w:val="14"/>
                <w:szCs w:val="14"/>
                <w:b w:val="1"/>
                <w:bCs w:val="1"/>
                <w:color w:val="auto"/>
                <w:w w:val="89"/>
              </w:rPr>
              <w:t>2008</w:t>
            </w:r>
          </w:p>
        </w:tc>
        <w:tc>
          <w:tcPr>
            <w:tcW w:w="720" w:type="dxa"/>
            <w:vAlign w:val="bottom"/>
          </w:tcPr>
          <w:p>
            <w:pPr>
              <w:spacing w:after="0"/>
              <w:rPr>
                <w:sz w:val="12"/>
                <w:szCs w:val="12"/>
                <w:color w:val="auto"/>
              </w:rPr>
            </w:pPr>
          </w:p>
        </w:tc>
        <w:tc>
          <w:tcPr>
            <w:tcW w:w="760" w:type="dxa"/>
            <w:vAlign w:val="bottom"/>
          </w:tcPr>
          <w:p>
            <w:pPr>
              <w:jc w:val="right"/>
              <w:ind w:right="377"/>
              <w:spacing w:after="0" w:line="142" w:lineRule="exact"/>
              <w:rPr>
                <w:sz w:val="20"/>
                <w:szCs w:val="20"/>
                <w:color w:val="auto"/>
              </w:rPr>
            </w:pPr>
            <w:r>
              <w:rPr>
                <w:rFonts w:ascii="Arial" w:cs="Arial" w:eastAsia="Arial" w:hAnsi="Arial"/>
                <w:sz w:val="14"/>
                <w:szCs w:val="14"/>
                <w:b w:val="1"/>
                <w:bCs w:val="1"/>
                <w:color w:val="auto"/>
                <w:w w:val="89"/>
              </w:rPr>
              <w:t>2007</w:t>
            </w:r>
          </w:p>
        </w:tc>
        <w:tc>
          <w:tcPr>
            <w:tcW w:w="460" w:type="dxa"/>
            <w:vAlign w:val="bottom"/>
          </w:tcPr>
          <w:p>
            <w:pPr>
              <w:spacing w:after="0"/>
              <w:rPr>
                <w:sz w:val="12"/>
                <w:szCs w:val="12"/>
                <w:color w:val="auto"/>
              </w:rPr>
            </w:pPr>
          </w:p>
        </w:tc>
        <w:tc>
          <w:tcPr>
            <w:tcW w:w="74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337"/>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7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363</w:t>
            </w:r>
          </w:p>
        </w:tc>
        <w:tc>
          <w:tcPr>
            <w:tcW w:w="7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color w:val="auto"/>
              </w:rPr>
              <w:t>302</w:t>
            </w: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rPr>
              <w:t>61</w:t>
            </w:r>
          </w:p>
        </w:tc>
        <w:tc>
          <w:tcPr>
            <w:tcW w:w="9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237</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113</w:t>
            </w: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b w:val="1"/>
                <w:bCs w:val="1"/>
                <w:color w:val="auto"/>
              </w:rPr>
              <w:t>65</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48</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75.6%</w:t>
            </w:r>
          </w:p>
        </w:tc>
        <w:tc>
          <w:tcPr>
            <w:tcW w:w="0" w:type="dxa"/>
            <w:vAlign w:val="bottom"/>
          </w:tcPr>
          <w:p>
            <w:pPr>
              <w:spacing w:after="0"/>
              <w:rPr>
                <w:sz w:val="1"/>
                <w:szCs w:val="1"/>
                <w:color w:val="auto"/>
              </w:rPr>
            </w:pPr>
          </w:p>
        </w:tc>
      </w:tr>
    </w:tbl>
    <w:p>
      <w:pPr>
        <w:spacing w:after="0" w:line="3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increase in revenues for the three months ended March 31, 2008 compared to the same period in 2007 is primarily a result of increases in advertising revenues, including one additional week in the broadcast advertising calendar, and license fee revenues. For the three months ended March 31, 2008 and 2007, approximately 13% and 14%, respectively, of our Programming segment revenues were generated from our Cable segment. These amounts are eliminated in our consolidated financial statements but are included in the amounts presented in the table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Other Income (Expense) Items</w:t>
      </w:r>
    </w:p>
    <w:p>
      <w:pPr>
        <w:spacing w:after="0" w:line="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w w:val="89"/>
              </w:rPr>
              <w:t>2008</w:t>
            </w:r>
          </w:p>
        </w:tc>
        <w:tc>
          <w:tcPr>
            <w:tcW w:w="780" w:type="dxa"/>
            <w:vAlign w:val="bottom"/>
          </w:tcPr>
          <w:p>
            <w:pPr>
              <w:spacing w:after="0"/>
              <w:rPr>
                <w:sz w:val="12"/>
                <w:szCs w:val="12"/>
                <w:color w:val="auto"/>
              </w:rPr>
            </w:pPr>
          </w:p>
        </w:tc>
        <w:tc>
          <w:tcPr>
            <w:tcW w:w="54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8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(621)</w:t>
            </w:r>
          </w:p>
        </w:tc>
        <w:tc>
          <w:tcPr>
            <w:tcW w:w="7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E5E5E5"/>
          </w:tcPr>
          <w:p>
            <w:pPr>
              <w:spacing w:after="0"/>
              <w:rPr>
                <w:sz w:val="20"/>
                <w:szCs w:val="20"/>
                <w:color w:val="auto"/>
              </w:rPr>
            </w:pPr>
            <w:r>
              <w:rPr>
                <w:rFonts w:ascii="Arial" w:cs="Arial" w:eastAsia="Arial" w:hAnsi="Arial"/>
                <w:sz w:val="18"/>
                <w:szCs w:val="18"/>
                <w:color w:val="auto"/>
              </w:rPr>
              <w:t>Equity in net (losses) income of affiliates, net</w:t>
            </w: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w:t>
            </w:r>
          </w:p>
        </w:tc>
        <w:tc>
          <w:tcPr>
            <w:tcW w:w="78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(309)</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increase in interest expense for the three months ended March 31, 2008 compared to the same period in 2007 is primarily the result of an increase in our average debt outstanding and early extinguishment costs associated with the repayment and redemption of certain debt obligations.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 (Loss), Net</w:t>
      </w:r>
    </w:p>
    <w:p>
      <w:pPr>
        <w:spacing w:after="0" w:line="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components of investment income (loss), net for the three months ended March 31, 2008 and 2007 are presented in a table in Note 5 to our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income for the three months ended March 31, 2008 consists primarily of a gain of approximately $235 million on the sale of our 50% interest in the Insight Asset Pool in connection with the Insight transaction (see Note 4). Other income for the three months ended March 31, 2007 consists primarily of a gain of approximately $500 million on the sale of our 50% interest in the Kansas City Asset Pool in connection with the Texas and Kansas City Cable Partners transaction.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Income tax expense for the three months ended March 31, 2008 and 2007 reflect income tax rates higher than the federal statutory rate primarily as a result of state income taxes and interest on uncertain tax positions. We expect our 2008 annual effective tax rate to be in the range of 40% to 45%.</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businesses generate significant cash flow from operating activities. We believe that we will be able to meet our current and long-term liquidity and capital requirements, including fixed charges, through our cash flows from operating activities, existing cash, cash equivalents and investments; through available borrowings under our existing credit facilities; and through our ability to obtain future external financing. We anticipate continuing to use a substantial portion of our cash flow to fund our capital expenditures, invest in business opportunities and return capital to investors through stock repurchases and dividends. The credit markets have been and continue to be volatile due primarily to difficulties in the residential mortgage markets as well as the slowing economy. We do not hold any cash equivalents or short-term investments whose liquidity or value has been affected by these negative trends in the financial markets.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cash provided by operating activities are presented in the table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2120" w:type="dxa"/>
            <w:vAlign w:val="bottom"/>
            <w:gridSpan w:val="3"/>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r>
      <w:tr>
        <w:trPr>
          <w:trHeight w:val="174"/>
        </w:trPr>
        <w:tc>
          <w:tcPr>
            <w:tcW w:w="20" w:type="dxa"/>
            <w:vAlign w:val="bottom"/>
          </w:tcPr>
          <w:p>
            <w:pPr>
              <w:spacing w:after="0"/>
              <w:rPr>
                <w:sz w:val="15"/>
                <w:szCs w:val="15"/>
                <w:color w:val="auto"/>
              </w:rPr>
            </w:pPr>
          </w:p>
        </w:tc>
        <w:tc>
          <w:tcPr>
            <w:tcW w:w="9280" w:type="dxa"/>
            <w:vAlign w:val="bottom"/>
          </w:tcPr>
          <w:p>
            <w:pPr>
              <w:spacing w:after="0"/>
              <w:rPr>
                <w:sz w:val="15"/>
                <w:szCs w:val="15"/>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5"/>
                <w:szCs w:val="15"/>
                <w:color w:val="auto"/>
              </w:rPr>
            </w:pPr>
          </w:p>
        </w:tc>
      </w:tr>
      <w:tr>
        <w:trPr>
          <w:trHeight w:val="143"/>
        </w:trPr>
        <w:tc>
          <w:tcPr>
            <w:tcW w:w="930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1260" w:type="dxa"/>
            <w:vAlign w:val="bottom"/>
          </w:tcPr>
          <w:p>
            <w:pPr>
              <w:jc w:val="right"/>
              <w:ind w:right="337"/>
              <w:spacing w:after="0" w:line="143"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520" w:type="dxa"/>
            <w:vAlign w:val="bottom"/>
          </w:tcPr>
          <w:p>
            <w:pPr>
              <w:jc w:val="right"/>
              <w:ind w:right="134"/>
              <w:spacing w:after="0" w:line="143" w:lineRule="exact"/>
              <w:rPr>
                <w:sz w:val="20"/>
                <w:szCs w:val="20"/>
                <w:color w:val="auto"/>
              </w:rPr>
            </w:pPr>
            <w:r>
              <w:rPr>
                <w:rFonts w:ascii="Arial" w:cs="Arial" w:eastAsia="Arial" w:hAnsi="Arial"/>
                <w:sz w:val="14"/>
                <w:szCs w:val="14"/>
                <w:b w:val="1"/>
                <w:bCs w:val="1"/>
                <w:color w:val="auto"/>
                <w:w w:val="89"/>
              </w:rPr>
              <w:t>2007</w:t>
            </w:r>
          </w:p>
        </w:tc>
      </w:tr>
      <w:tr>
        <w:trPr>
          <w:trHeight w:val="210"/>
        </w:trPr>
        <w:tc>
          <w:tcPr>
            <w:tcW w:w="20" w:type="dxa"/>
            <w:vAlign w:val="bottom"/>
          </w:tcPr>
          <w:p>
            <w:pPr>
              <w:spacing w:after="0"/>
              <w:rPr>
                <w:sz w:val="18"/>
                <w:szCs w:val="18"/>
                <w:color w:val="auto"/>
              </w:rPr>
            </w:pPr>
          </w:p>
        </w:tc>
        <w:tc>
          <w:tcPr>
            <w:tcW w:w="92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260" w:type="dxa"/>
            <w:vAlign w:val="bottom"/>
            <w:tcBorders>
              <w:top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$ 1,555</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7"/>
              </w:rPr>
              <w:t>1,261</w:t>
            </w: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1,619</w:t>
            </w: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1,502</w:t>
            </w:r>
          </w:p>
        </w:tc>
      </w:tr>
      <w:tr>
        <w:trPr>
          <w:trHeight w:val="210"/>
        </w:trPr>
        <w:tc>
          <w:tcPr>
            <w:tcW w:w="20" w:type="dxa"/>
            <w:vAlign w:val="bottom"/>
          </w:tcPr>
          <w:p>
            <w:pPr>
              <w:spacing w:after="0"/>
              <w:rPr>
                <w:sz w:val="18"/>
                <w:szCs w:val="18"/>
                <w:color w:val="auto"/>
              </w:rPr>
            </w:pPr>
          </w:p>
        </w:tc>
        <w:tc>
          <w:tcPr>
            <w:tcW w:w="9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income before depreciation and amortization</w:t>
            </w:r>
          </w:p>
        </w:tc>
        <w:tc>
          <w:tcPr>
            <w:tcW w:w="12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3,174</w:t>
            </w:r>
          </w:p>
        </w:tc>
        <w:tc>
          <w:tcPr>
            <w:tcW w:w="3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2,763</w:t>
            </w: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Noncash share-based compensation and contribution expense</w:t>
            </w:r>
          </w:p>
        </w:tc>
        <w:tc>
          <w:tcPr>
            <w:tcW w:w="1260" w:type="dxa"/>
            <w:vAlign w:val="bottom"/>
          </w:tcPr>
          <w:p>
            <w:pPr>
              <w:jc w:val="right"/>
              <w:ind w:right="197"/>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92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(279)</w:t>
            </w:r>
          </w:p>
        </w:tc>
        <w:tc>
          <w:tcPr>
            <w:tcW w:w="3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(158)</w:t>
            </w:r>
          </w:p>
        </w:tc>
      </w:tr>
      <w:tr>
        <w:trPr>
          <w:trHeight w:val="210"/>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Cash basis operating income</w:t>
            </w:r>
          </w:p>
        </w:tc>
        <w:tc>
          <w:tcPr>
            <w:tcW w:w="1260" w:type="dxa"/>
            <w:vAlign w:val="bottom"/>
          </w:tcPr>
          <w:p>
            <w:pPr>
              <w:jc w:val="right"/>
              <w:ind w:right="197"/>
              <w:spacing w:after="0"/>
              <w:rPr>
                <w:sz w:val="20"/>
                <w:szCs w:val="20"/>
                <w:color w:val="auto"/>
              </w:rPr>
            </w:pPr>
            <w:r>
              <w:rPr>
                <w:rFonts w:ascii="Arial" w:cs="Arial" w:eastAsia="Arial" w:hAnsi="Arial"/>
                <w:sz w:val="18"/>
                <w:szCs w:val="18"/>
                <w:color w:val="auto"/>
              </w:rPr>
              <w:t>2,957</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2,638</w:t>
            </w:r>
          </w:p>
        </w:tc>
      </w:tr>
      <w:tr>
        <w:trPr>
          <w:trHeight w:val="216"/>
        </w:trPr>
        <w:tc>
          <w:tcPr>
            <w:tcW w:w="20" w:type="dxa"/>
            <w:vAlign w:val="bottom"/>
          </w:tcPr>
          <w:p>
            <w:pPr>
              <w:spacing w:after="0"/>
              <w:rPr>
                <w:sz w:val="18"/>
                <w:szCs w:val="18"/>
                <w:color w:val="auto"/>
              </w:rPr>
            </w:pPr>
          </w:p>
        </w:tc>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26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(708)</w:t>
            </w:r>
          </w:p>
        </w:tc>
        <w:tc>
          <w:tcPr>
            <w:tcW w:w="3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(662)</w:t>
            </w: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Proceeds from interest, dividends and other nonoperating items</w:t>
            </w:r>
          </w:p>
        </w:tc>
        <w:tc>
          <w:tcPr>
            <w:tcW w:w="12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31</w:t>
            </w:r>
          </w:p>
        </w:tc>
        <w:tc>
          <w:tcPr>
            <w:tcW w:w="3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Excess tax benefit under SFAS No. 123R presented in financing activities</w:t>
            </w:r>
          </w:p>
        </w:tc>
        <w:tc>
          <w:tcPr>
            <w:tcW w:w="12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7"/>
        </w:trPr>
        <w:tc>
          <w:tcPr>
            <w:tcW w:w="20" w:type="dxa"/>
            <w:vAlign w:val="bottom"/>
          </w:tcPr>
          <w:p>
            <w:pPr>
              <w:spacing w:after="0"/>
              <w:rPr>
                <w:sz w:val="18"/>
                <w:szCs w:val="18"/>
                <w:color w:val="auto"/>
              </w:rPr>
            </w:pPr>
          </w:p>
        </w:tc>
        <w:tc>
          <w:tcPr>
            <w:tcW w:w="92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6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b w:val="1"/>
                <w:bCs w:val="1"/>
                <w:color w:val="auto"/>
              </w:rPr>
              <w:t>$ 2,259</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7"/>
              </w:rPr>
              <w:t>1,965</w:t>
            </w: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operating assets and liabilities for the three months ended March 31, 2008 increased primarily due to the upfront payment of a long-term programming rights agreement. The increase in interest payments for the three months ended March 31, 2008 compared to the same period in 2007 was primarily a result of an increase in our average debt outstanding.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Net cash used in financing activities for the three months ended March 31, 2008 consisted primarily of cash paid for the repurchase of approximately 53 million shares of our Class A and Class A Special common stock for $1.0 billion (recognized on a settlement date or cash basis).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in the past made and may from time to time in the future make optional repayments on our debt obligations depending on various factors, such as market conditions. These repayments may include repurchases of our outstanding public notes and debentures.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traditionally maintain significant availability under our lines of credit and commercial paper program to meet our short-term liquidity requirements. In January 2008, we entered into an amended and restated revolving bank credit facility that may be used for general corporate purposes. This amendment increased the size of the credit facility from $5.0 billion to $7.0 billion and extended the maturity of the loan commitment from October 2010 to January 2013. As of March 31, 2008, amounts available under our facilities totaled approximately $6.2 billion.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 and Dividends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2008, the maximum dollar value of shares that may be repurchased under our Board-authorized share repurchase program is approximately $5.9 billion. We expect to fully utilize our remaining share repurchase authorization by the end of 2009, subject to market conditions. In February 2008, our Board of Directors approved a quarterly dividend of $0.0625 per share, totaling approximately $185 million. This amount was paid in April 2008 and represents the first payment of a planned annual dividend of $0.25 per share.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for the three months ended March 31, 2008 consisted primarily of cash paid for capital expenditures of $1.4 billion and cash paid for intangible assets of $126 million. Our most significant recurring investing activity has been capital expenditures and we expect that this will continue in the future.</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that affect the reported amounts of assets, liabilities, revenues and expenses, and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income taxes and legal contingencies are critical in the preparation of our financial statements.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full discussion of the accounting judgments and estimates that we have identified as critical in the preparation of our consolidated financial statements, please refer to our 2007 Annual Report on Form 10-K.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significant changes to the information required under this item from what was disclosed in our 2007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Conclusions regarding disclosure controls and procedures</w:t>
      </w:r>
    </w:p>
    <w:p>
      <w:pPr>
        <w:spacing w:after="0" w:line="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chief executive officer and our chief financial officer, after evaluating the effectiveness of our 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 AND SUBSIDIARIES — FORM 10-Q</w:t>
      </w:r>
    </w:p>
    <w:p>
      <w:pPr>
        <w:jc w:val="center"/>
        <w:spacing w:after="0"/>
        <w:rPr>
          <w:sz w:val="20"/>
          <w:szCs w:val="20"/>
          <w:color w:val="auto"/>
        </w:rPr>
      </w:pPr>
      <w:r>
        <w:rPr>
          <w:rFonts w:ascii="Arial" w:cs="Arial" w:eastAsia="Arial" w:hAnsi="Arial"/>
          <w:sz w:val="18"/>
          <w:szCs w:val="18"/>
          <w:color w:val="auto"/>
        </w:rPr>
        <w:t>QUARTER ENDED MARCH 31, 2008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Refer to Note 10 to our consolidated financial statements of this Quarterly Report on Form 10-Q for a discussion of recent developments related to our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2007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repurchases under our Board-authorized share repurchase program during the three months ended March 31, 2008 is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Purchases of Equity Securities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320" w:type="dxa"/>
            <w:vAlign w:val="bottom"/>
          </w:tcPr>
          <w:p>
            <w:pPr>
              <w:spacing w:after="0"/>
              <w:rPr>
                <w:sz w:val="14"/>
                <w:szCs w:val="14"/>
                <w:color w:val="auto"/>
              </w:rPr>
            </w:pPr>
          </w:p>
        </w:tc>
        <w:tc>
          <w:tcPr>
            <w:tcW w:w="1240" w:type="dxa"/>
            <w:vAlign w:val="bottom"/>
            <w:vMerge w:val="restart"/>
          </w:tcPr>
          <w:p>
            <w:pPr>
              <w:jc w:val="center"/>
              <w:ind w:right="242"/>
              <w:spacing w:after="0"/>
              <w:rPr>
                <w:sz w:val="20"/>
                <w:szCs w:val="20"/>
                <w:color w:val="auto"/>
              </w:rPr>
            </w:pPr>
            <w:r>
              <w:rPr>
                <w:rFonts w:ascii="Arial" w:cs="Arial" w:eastAsia="Arial" w:hAnsi="Arial"/>
                <w:sz w:val="14"/>
                <w:szCs w:val="14"/>
                <w:b w:val="1"/>
                <w:bCs w:val="1"/>
                <w:color w:val="auto"/>
                <w:w w:val="89"/>
              </w:rPr>
              <w:t>Total Dollars</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460" w:type="dxa"/>
            <w:vAlign w:val="bottom"/>
          </w:tcPr>
          <w:p>
            <w:pPr>
              <w:jc w:val="center"/>
              <w:ind w:left="162"/>
              <w:spacing w:after="0" w:line="135" w:lineRule="exact"/>
              <w:rPr>
                <w:sz w:val="20"/>
                <w:szCs w:val="20"/>
                <w:color w:val="auto"/>
              </w:rPr>
            </w:pPr>
            <w:r>
              <w:rPr>
                <w:rFonts w:ascii="Arial" w:cs="Arial" w:eastAsia="Arial" w:hAnsi="Arial"/>
                <w:sz w:val="14"/>
                <w:szCs w:val="14"/>
                <w:b w:val="1"/>
                <w:bCs w:val="1"/>
                <w:color w:val="auto"/>
                <w:w w:val="89"/>
              </w:rPr>
              <w:t>Total</w:t>
            </w: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Shares Purchased as</w:t>
            </w:r>
          </w:p>
        </w:tc>
        <w:tc>
          <w:tcPr>
            <w:tcW w:w="3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640" w:type="dxa"/>
            <w:vAlign w:val="bottom"/>
            <w:gridSpan w:val="3"/>
          </w:tcPr>
          <w:p>
            <w:pPr>
              <w:ind w:left="240"/>
              <w:spacing w:after="0" w:line="135" w:lineRule="exact"/>
              <w:rPr>
                <w:sz w:val="20"/>
                <w:szCs w:val="20"/>
                <w:color w:val="auto"/>
              </w:rPr>
            </w:pPr>
            <w:r>
              <w:rPr>
                <w:rFonts w:ascii="Arial" w:cs="Arial" w:eastAsia="Arial" w:hAnsi="Arial"/>
                <w:sz w:val="14"/>
                <w:szCs w:val="14"/>
                <w:b w:val="1"/>
                <w:bCs w:val="1"/>
                <w:color w:val="auto"/>
                <w:w w:val="92"/>
              </w:rPr>
              <w:t>Maximum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60" w:type="dxa"/>
            <w:vAlign w:val="bottom"/>
          </w:tcPr>
          <w:p>
            <w:pPr>
              <w:jc w:val="center"/>
              <w:ind w:left="142"/>
              <w:spacing w:after="0" w:line="149" w:lineRule="exact"/>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320" w:type="dxa"/>
            <w:vAlign w:val="bottom"/>
          </w:tcPr>
          <w:p>
            <w:pPr>
              <w:spacing w:after="0"/>
              <w:rPr>
                <w:sz w:val="12"/>
                <w:szCs w:val="12"/>
                <w:color w:val="auto"/>
              </w:rPr>
            </w:pPr>
          </w:p>
        </w:tc>
        <w:tc>
          <w:tcPr>
            <w:tcW w:w="12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83"/>
              </w:rPr>
              <w:t>Purchased</w:t>
            </w:r>
          </w:p>
        </w:tc>
        <w:tc>
          <w:tcPr>
            <w:tcW w:w="164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w w:val="89"/>
              </w:rPr>
              <w:t>of 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60" w:type="dxa"/>
            <w:vAlign w:val="bottom"/>
          </w:tcPr>
          <w:p>
            <w:pPr>
              <w:jc w:val="center"/>
              <w:ind w:left="162"/>
              <w:spacing w:after="0" w:line="149" w:lineRule="exact"/>
              <w:rPr>
                <w:sz w:val="20"/>
                <w:szCs w:val="20"/>
                <w:color w:val="auto"/>
              </w:rPr>
            </w:pPr>
            <w:r>
              <w:rPr>
                <w:rFonts w:ascii="Arial" w:cs="Arial" w:eastAsia="Arial" w:hAnsi="Arial"/>
                <w:sz w:val="14"/>
                <w:szCs w:val="14"/>
                <w:b w:val="1"/>
                <w:bCs w:val="1"/>
                <w:color w:val="auto"/>
                <w:w w:val="84"/>
              </w:rPr>
              <w:t>of Shares</w:t>
            </w:r>
          </w:p>
        </w:tc>
        <w:tc>
          <w:tcPr>
            <w:tcW w:w="12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Average Price</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320" w:type="dxa"/>
            <w:vAlign w:val="bottom"/>
          </w:tcPr>
          <w:p>
            <w:pPr>
              <w:spacing w:after="0"/>
              <w:rPr>
                <w:sz w:val="12"/>
                <w:szCs w:val="12"/>
                <w:color w:val="auto"/>
              </w:rPr>
            </w:pPr>
          </w:p>
        </w:tc>
        <w:tc>
          <w:tcPr>
            <w:tcW w:w="12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88"/>
              </w:rPr>
              <w:t>Under</w:t>
            </w:r>
          </w:p>
        </w:tc>
        <w:tc>
          <w:tcPr>
            <w:tcW w:w="32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 Purchased Under</w:t>
            </w:r>
          </w:p>
        </w:tc>
        <w:tc>
          <w:tcPr>
            <w:tcW w:w="0" w:type="dxa"/>
            <w:vAlign w:val="bottom"/>
          </w:tcPr>
          <w:p>
            <w:pPr>
              <w:spacing w:after="0"/>
              <w:rPr>
                <w:sz w:val="1"/>
                <w:szCs w:val="1"/>
                <w:color w:val="auto"/>
              </w:rPr>
            </w:pPr>
          </w:p>
        </w:tc>
      </w:tr>
      <w:tr>
        <w:trPr>
          <w:trHeight w:val="175"/>
        </w:trPr>
        <w:tc>
          <w:tcPr>
            <w:tcW w:w="3880" w:type="dxa"/>
            <w:vAlign w:val="bottom"/>
            <w:gridSpan w:val="3"/>
          </w:tcPr>
          <w:p>
            <w:pPr>
              <w:spacing w:after="0"/>
              <w:rPr>
                <w:sz w:val="20"/>
                <w:szCs w:val="20"/>
                <w:color w:val="auto"/>
              </w:rPr>
            </w:pPr>
            <w:r>
              <w:rPr>
                <w:rFonts w:ascii="Arial" w:cs="Arial" w:eastAsia="Arial" w:hAnsi="Arial"/>
                <w:sz w:val="14"/>
                <w:szCs w:val="14"/>
                <w:color w:val="auto"/>
              </w:rPr>
              <w:t>Period</w:t>
            </w:r>
          </w:p>
        </w:tc>
        <w:tc>
          <w:tcPr>
            <w:tcW w:w="1460" w:type="dxa"/>
            <w:vAlign w:val="bottom"/>
          </w:tcPr>
          <w:p>
            <w:pPr>
              <w:jc w:val="center"/>
              <w:ind w:left="162"/>
              <w:spacing w:after="0"/>
              <w:rPr>
                <w:sz w:val="20"/>
                <w:szCs w:val="20"/>
                <w:color w:val="auto"/>
              </w:rPr>
            </w:pPr>
            <w:r>
              <w:rPr>
                <w:rFonts w:ascii="Arial" w:cs="Arial" w:eastAsia="Arial" w:hAnsi="Arial"/>
                <w:sz w:val="14"/>
                <w:szCs w:val="14"/>
                <w:b w:val="1"/>
                <w:bCs w:val="1"/>
                <w:color w:val="auto"/>
                <w:w w:val="86"/>
              </w:rPr>
              <w:t>Purchased</w:t>
            </w:r>
          </w:p>
        </w:tc>
        <w:tc>
          <w:tcPr>
            <w:tcW w:w="340" w:type="dxa"/>
            <w:vAlign w:val="bottom"/>
          </w:tcPr>
          <w:p>
            <w:pPr>
              <w:spacing w:after="0"/>
              <w:rPr>
                <w:sz w:val="15"/>
                <w:szCs w:val="15"/>
                <w:color w:val="auto"/>
              </w:rPr>
            </w:pPr>
          </w:p>
        </w:tc>
        <w:tc>
          <w:tcPr>
            <w:tcW w:w="920" w:type="dxa"/>
            <w:vAlign w:val="bottom"/>
          </w:tcPr>
          <w:p>
            <w:pPr>
              <w:jc w:val="right"/>
              <w:ind w:right="256"/>
              <w:spacing w:after="0"/>
              <w:rPr>
                <w:sz w:val="20"/>
                <w:szCs w:val="20"/>
                <w:color w:val="auto"/>
              </w:rPr>
            </w:pPr>
            <w:r>
              <w:rPr>
                <w:rFonts w:ascii="Arial" w:cs="Arial" w:eastAsia="Arial" w:hAnsi="Arial"/>
                <w:sz w:val="14"/>
                <w:szCs w:val="14"/>
                <w:b w:val="1"/>
                <w:bCs w:val="1"/>
                <w:color w:val="auto"/>
                <w:w w:val="85"/>
              </w:rPr>
              <w:t>Per Share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0"/>
              </w:rPr>
              <w:t>Program</w:t>
            </w:r>
          </w:p>
        </w:tc>
        <w:tc>
          <w:tcPr>
            <w:tcW w:w="320" w:type="dxa"/>
            <w:vAlign w:val="bottom"/>
          </w:tcPr>
          <w:p>
            <w:pPr>
              <w:spacing w:after="0"/>
              <w:rPr>
                <w:sz w:val="15"/>
                <w:szCs w:val="15"/>
                <w:color w:val="auto"/>
              </w:rPr>
            </w:pPr>
          </w:p>
        </w:tc>
        <w:tc>
          <w:tcPr>
            <w:tcW w:w="1240" w:type="dxa"/>
            <w:vAlign w:val="bottom"/>
          </w:tcPr>
          <w:p>
            <w:pPr>
              <w:jc w:val="center"/>
              <w:ind w:right="242"/>
              <w:spacing w:after="0"/>
              <w:rPr>
                <w:sz w:val="20"/>
                <w:szCs w:val="20"/>
                <w:color w:val="auto"/>
              </w:rPr>
            </w:pPr>
            <w:r>
              <w:rPr>
                <w:rFonts w:ascii="Arial" w:cs="Arial" w:eastAsia="Arial" w:hAnsi="Arial"/>
                <w:sz w:val="14"/>
                <w:szCs w:val="14"/>
                <w:b w:val="1"/>
                <w:bCs w:val="1"/>
                <w:color w:val="auto"/>
                <w:w w:val="87"/>
              </w:rPr>
              <w:t>the Program</w:t>
            </w:r>
          </w:p>
        </w:tc>
        <w:tc>
          <w:tcPr>
            <w:tcW w:w="320" w:type="dxa"/>
            <w:vAlign w:val="bottom"/>
          </w:tcPr>
          <w:p>
            <w:pPr>
              <w:spacing w:after="0"/>
              <w:rPr>
                <w:sz w:val="15"/>
                <w:szCs w:val="15"/>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the Program(a)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January 1-31, 2008</w:t>
            </w:r>
          </w:p>
        </w:tc>
        <w:tc>
          <w:tcPr>
            <w:tcW w:w="1460" w:type="dxa"/>
            <w:vAlign w:val="bottom"/>
            <w:tcBorders>
              <w:top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color w:val="auto"/>
              </w:rPr>
              <w:t>132,021</w:t>
            </w:r>
          </w:p>
        </w:tc>
        <w:tc>
          <w:tcPr>
            <w:tcW w:w="34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17.07</w:t>
            </w:r>
          </w:p>
        </w:tc>
        <w:tc>
          <w:tcPr>
            <w:tcW w:w="1640" w:type="dxa"/>
            <w:vAlign w:val="bottom"/>
            <w:tcBorders>
              <w:top w:val="single" w:sz="8" w:color="auto"/>
            </w:tcBorders>
            <w:shd w:val="clear" w:color="auto" w:fill="E5E5E5"/>
          </w:tcPr>
          <w:p>
            <w:pPr>
              <w:jc w:val="right"/>
              <w:ind w:right="143"/>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6,906,133,015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February 1-29, 2008</w:t>
            </w:r>
          </w:p>
        </w:tc>
        <w:tc>
          <w:tcPr>
            <w:tcW w:w="1460" w:type="dxa"/>
            <w:vAlign w:val="bottom"/>
          </w:tcPr>
          <w:p>
            <w:pPr>
              <w:jc w:val="right"/>
              <w:ind w:right="142"/>
              <w:spacing w:after="0"/>
              <w:rPr>
                <w:sz w:val="20"/>
                <w:szCs w:val="20"/>
                <w:color w:val="auto"/>
              </w:rPr>
            </w:pPr>
            <w:r>
              <w:rPr>
                <w:rFonts w:ascii="Arial" w:cs="Arial" w:eastAsia="Arial" w:hAnsi="Arial"/>
                <w:sz w:val="18"/>
                <w:szCs w:val="18"/>
                <w:color w:val="auto"/>
              </w:rPr>
              <w:t>14,622,184</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6"/>
              <w:spacing w:after="0"/>
              <w:rPr>
                <w:sz w:val="20"/>
                <w:szCs w:val="20"/>
                <w:color w:val="auto"/>
              </w:rPr>
            </w:pPr>
            <w:r>
              <w:rPr>
                <w:rFonts w:ascii="Arial" w:cs="Arial" w:eastAsia="Arial" w:hAnsi="Arial"/>
                <w:sz w:val="18"/>
                <w:szCs w:val="18"/>
                <w:color w:val="auto"/>
              </w:rPr>
              <w:t>17.10</w:t>
            </w:r>
          </w:p>
        </w:tc>
        <w:tc>
          <w:tcPr>
            <w:tcW w:w="1640" w:type="dxa"/>
            <w:vAlign w:val="bottom"/>
          </w:tcPr>
          <w:p>
            <w:pPr>
              <w:jc w:val="right"/>
              <w:ind w:right="143"/>
              <w:spacing w:after="0"/>
              <w:rPr>
                <w:sz w:val="20"/>
                <w:szCs w:val="20"/>
                <w:color w:val="auto"/>
              </w:rPr>
            </w:pPr>
            <w:r>
              <w:rPr>
                <w:rFonts w:ascii="Arial" w:cs="Arial" w:eastAsia="Arial" w:hAnsi="Arial"/>
                <w:sz w:val="18"/>
                <w:szCs w:val="18"/>
                <w:color w:val="auto"/>
              </w:rPr>
              <w:t>14,622,184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2"/>
              <w:spacing w:after="0"/>
              <w:rPr>
                <w:sz w:val="20"/>
                <w:szCs w:val="20"/>
                <w:color w:val="auto"/>
              </w:rPr>
            </w:pPr>
            <w:r>
              <w:rPr>
                <w:rFonts w:ascii="Arial" w:cs="Arial" w:eastAsia="Arial" w:hAnsi="Arial"/>
                <w:sz w:val="18"/>
                <w:szCs w:val="18"/>
                <w:color w:val="auto"/>
                <w:w w:val="99"/>
              </w:rPr>
              <w:t>250,000,000</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6,656,133,015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8"/>
                <w:szCs w:val="18"/>
                <w:color w:val="auto"/>
              </w:rPr>
              <w:t>March 1-31, 2008</w:t>
            </w:r>
          </w:p>
        </w:tc>
        <w:tc>
          <w:tcPr>
            <w:tcW w:w="146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color w:val="auto"/>
              </w:rPr>
              <w:t>38,486,247</w:t>
            </w:r>
          </w:p>
        </w:tc>
        <w:tc>
          <w:tcPr>
            <w:tcW w:w="3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19.49</w:t>
            </w:r>
          </w:p>
        </w:tc>
        <w:tc>
          <w:tcPr>
            <w:tcW w:w="1640" w:type="dxa"/>
            <w:vAlign w:val="bottom"/>
            <w:tcBorders>
              <w:bottom w:val="single" w:sz="8" w:color="auto"/>
            </w:tcBorders>
            <w:shd w:val="clear" w:color="auto" w:fill="E5E5E5"/>
          </w:tcPr>
          <w:p>
            <w:pPr>
              <w:jc w:val="right"/>
              <w:ind w:right="143"/>
              <w:spacing w:after="0"/>
              <w:rPr>
                <w:sz w:val="20"/>
                <w:szCs w:val="20"/>
                <w:color w:val="auto"/>
              </w:rPr>
            </w:pPr>
            <w:r>
              <w:rPr>
                <w:rFonts w:ascii="Arial" w:cs="Arial" w:eastAsia="Arial" w:hAnsi="Arial"/>
                <w:sz w:val="18"/>
                <w:szCs w:val="18"/>
                <w:color w:val="auto"/>
              </w:rPr>
              <w:t>38,486,247</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color w:val="auto"/>
                <w:w w:val="99"/>
              </w:rPr>
              <w:t>750,000,000</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5,906,133,015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b w:val="1"/>
                <w:bCs w:val="1"/>
                <w:color w:val="auto"/>
              </w:rPr>
              <w:t>53,240,452</w:t>
            </w: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18.83</w:t>
            </w:r>
          </w:p>
        </w:tc>
        <w:tc>
          <w:tcPr>
            <w:tcW w:w="1640" w:type="dxa"/>
            <w:vAlign w:val="bottom"/>
            <w:tcBorders>
              <w:bottom w:val="single" w:sz="8" w:color="auto"/>
            </w:tcBorders>
          </w:tcPr>
          <w:p>
            <w:pPr>
              <w:jc w:val="right"/>
              <w:ind w:right="143"/>
              <w:spacing w:after="0"/>
              <w:rPr>
                <w:sz w:val="20"/>
                <w:szCs w:val="20"/>
                <w:color w:val="auto"/>
              </w:rPr>
            </w:pPr>
            <w:r>
              <w:rPr>
                <w:rFonts w:ascii="Arial" w:cs="Arial" w:eastAsia="Arial" w:hAnsi="Arial"/>
                <w:sz w:val="18"/>
                <w:szCs w:val="18"/>
                <w:b w:val="1"/>
                <w:bCs w:val="1"/>
                <w:color w:val="auto"/>
              </w:rPr>
              <w:t>53,108,431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b w:val="1"/>
                <w:bCs w:val="1"/>
                <w:color w:val="auto"/>
                <w:w w:val="86"/>
              </w:rPr>
              <w:t>1,000,000,000</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5,906,133,015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7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2007, the Board of Directors authorized a $7 billion addition to the existing share repurchase program. Under the authorization, we may repurchase shares in the open market or in private transactions, subject to market conditions. As of March 31, 2008, the maximum dollar value of shares that is available under our Board-authorized share repurchase program was approximately $5.9 billion. We plan to fully utilize our remaining share repurchase authorization by the end of 2009, subject to market conditions.</w:t>
      </w:r>
    </w:p>
    <w:p>
      <w:pPr>
        <w:spacing w:after="0" w:line="4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March 31, 2008 includes 132,021 shares received in the administration of employee share-based compensation plans.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COMCAST CORPORATION AND SUBSIDIARIES — FORM 10-Q</w:t>
      </w:r>
    </w:p>
    <w:p>
      <w:pPr>
        <w:jc w:val="center"/>
        <w:ind w:right="-1220"/>
        <w:spacing w:after="0"/>
        <w:rPr>
          <w:sz w:val="20"/>
          <w:szCs w:val="20"/>
          <w:color w:val="auto"/>
        </w:rPr>
      </w:pPr>
      <w:r>
        <w:rPr>
          <w:rFonts w:ascii="Arial" w:cs="Arial" w:eastAsia="Arial" w:hAnsi="Arial"/>
          <w:sz w:val="18"/>
          <w:szCs w:val="18"/>
          <w:color w:val="auto"/>
        </w:rPr>
        <w:t>QUARTER ENDED MARCH 31, 2008</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(a) Exhibits required to be filed by Item 601 of Regulation S-K:</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 *  Comcast Corporation 2003 Stock Option Plan, as amended and restated effective March 24, 2008.</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 *  Comcast Corporation 2002 Restricted Stock Plan, as amended and restated effective March 24, 2008.</w:t>
      </w:r>
    </w:p>
    <w:p>
      <w:pPr>
        <w:spacing w:after="0" w:line="117"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Certifications of Chief Executive Officer and Chief Financial Officer pursuant to Section 302 of the Sarbanes-Oxley Act of 2002.</w:t>
      </w:r>
    </w:p>
    <w:p>
      <w:pPr>
        <w:spacing w:after="0" w:line="140" w:lineRule="exact"/>
        <w:rPr>
          <w:rFonts w:ascii="Arial" w:cs="Arial" w:eastAsia="Arial" w:hAnsi="Arial"/>
          <w:sz w:val="16"/>
          <w:szCs w:val="16"/>
          <w:color w:val="auto"/>
        </w:rPr>
      </w:pPr>
    </w:p>
    <w:p>
      <w:pPr>
        <w:ind w:right="499" w:firstLine="8"/>
        <w:spacing w:after="0" w:line="429" w:lineRule="auto"/>
        <w:tabs>
          <w:tab w:leader="none" w:pos="6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Financial Officer pursuant to Section 906 of the Sarbanes-Oxley Act of 2002. * 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45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 AND SUBSIDIARIES — FORM 10-Q</w:t>
      </w:r>
    </w:p>
    <w:p>
      <w:pPr>
        <w:jc w:val="center"/>
        <w:ind w:right="-19"/>
        <w:spacing w:after="0"/>
        <w:rPr>
          <w:sz w:val="20"/>
          <w:szCs w:val="20"/>
          <w:color w:val="auto"/>
        </w:rPr>
      </w:pPr>
      <w:r>
        <w:rPr>
          <w:rFonts w:ascii="Arial" w:cs="Arial" w:eastAsia="Arial" w:hAnsi="Arial"/>
          <w:sz w:val="18"/>
          <w:szCs w:val="18"/>
          <w:color w:val="auto"/>
        </w:rPr>
        <w:t>QUARTER ENDED MARCH 31, 2008</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 2008</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STOCK OPTION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MARCH 24, 2008)</w:t>
      </w:r>
    </w:p>
    <w:p>
      <w:pPr>
        <w:spacing w:after="0" w:line="212" w:lineRule="exact"/>
        <w:rPr>
          <w:sz w:val="20"/>
          <w:szCs w:val="20"/>
          <w:color w:val="auto"/>
        </w:rPr>
      </w:pPr>
    </w:p>
    <w:p>
      <w:pPr>
        <w:ind w:left="900" w:hanging="446"/>
        <w:spacing w:after="0"/>
        <w:tabs>
          <w:tab w:leader="none" w:pos="90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 of Plan</w:t>
      </w:r>
    </w:p>
    <w:p>
      <w:pPr>
        <w:spacing w:after="0" w:line="96" w:lineRule="exact"/>
        <w:rPr>
          <w:rFonts w:ascii="Arial" w:cs="Arial" w:eastAsia="Arial" w:hAnsi="Arial"/>
          <w:sz w:val="18"/>
          <w:szCs w:val="18"/>
          <w:b w:val="1"/>
          <w:bCs w:val="1"/>
          <w:color w:val="auto"/>
        </w:rPr>
      </w:pPr>
    </w:p>
    <w:p>
      <w:pPr>
        <w:ind w:right="40" w:firstLine="921"/>
        <w:spacing w:after="0" w:line="268" w:lineRule="auto"/>
        <w:tabs>
          <w:tab w:leader="none" w:pos="1152" w:val="left"/>
        </w:tabs>
        <w:numPr>
          <w:ilvl w:val="2"/>
          <w:numId w:val="16"/>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COMCAST CORPORATION, a Pennsylvania corporation hereby amends and restates the Comcast Corporation 2003 Stock Option Plan, (the “Plan”), effective March 24, 2008.</w:t>
      </w:r>
    </w:p>
    <w:p>
      <w:pPr>
        <w:spacing w:after="0" w:line="131" w:lineRule="exact"/>
        <w:rPr>
          <w:rFonts w:ascii="Arial" w:cs="Arial" w:eastAsia="Arial" w:hAnsi="Arial"/>
          <w:sz w:val="18"/>
          <w:szCs w:val="18"/>
          <w:color w:val="auto"/>
        </w:rPr>
      </w:pPr>
    </w:p>
    <w:p>
      <w:pPr>
        <w:ind w:right="20" w:firstLine="921"/>
        <w:spacing w:after="0" w:line="259" w:lineRule="auto"/>
        <w:tabs>
          <w:tab w:leader="none" w:pos="1161" w:val="left"/>
        </w:tabs>
        <w:numPr>
          <w:ilvl w:val="2"/>
          <w:numId w:val="16"/>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255" w:lineRule="exact"/>
        <w:rPr>
          <w:rFonts w:ascii="Arial" w:cs="Arial" w:eastAsia="Arial" w:hAnsi="Arial"/>
          <w:sz w:val="18"/>
          <w:szCs w:val="18"/>
          <w:color w:val="auto"/>
        </w:rPr>
      </w:pPr>
    </w:p>
    <w:p>
      <w:pPr>
        <w:ind w:left="900" w:hanging="446"/>
        <w:spacing w:after="0"/>
        <w:tabs>
          <w:tab w:leader="none" w:pos="90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77" w:lineRule="exact"/>
        <w:rPr>
          <w:rFonts w:ascii="Arial" w:cs="Arial" w:eastAsia="Arial" w:hAnsi="Arial"/>
          <w:sz w:val="18"/>
          <w:szCs w:val="18"/>
          <w:b w:val="1"/>
          <w:bCs w:val="1"/>
          <w:color w:val="auto"/>
        </w:rPr>
      </w:pPr>
    </w:p>
    <w:p>
      <w:pPr>
        <w:jc w:val="both"/>
        <w:ind w:right="200" w:firstLine="921"/>
        <w:spacing w:after="0" w:line="256" w:lineRule="auto"/>
        <w:tabs>
          <w:tab w:leader="none" w:pos="1152" w:val="left"/>
        </w:tabs>
        <w:numPr>
          <w:ilvl w:val="2"/>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right="240" w:firstLine="921"/>
        <w:spacing w:after="0" w:line="268" w:lineRule="auto"/>
        <w:tabs>
          <w:tab w:leader="none" w:pos="1162" w:val="left"/>
        </w:tabs>
        <w:numPr>
          <w:ilvl w:val="2"/>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Sponsor.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Right</w:t>
      </w:r>
      <w:r>
        <w:rPr>
          <w:rFonts w:ascii="Arial" w:cs="Arial" w:eastAsia="Arial" w:hAnsi="Arial"/>
          <w:sz w:val="18"/>
          <w:szCs w:val="18"/>
          <w:color w:val="auto"/>
        </w:rPr>
        <w:t>” means any right to receive cash in lieu of Shares granted under the Plan and described in Paragraph 3(a)(iii).</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fraud; (ii) misappropriation; (iii) embezzlement; (iv) gross negligence in the performance of duties; (v) self-dealing;</w:t>
      </w:r>
    </w:p>
    <w:p>
      <w:pPr>
        <w:spacing w:after="0" w:line="38" w:lineRule="exact"/>
        <w:rPr>
          <w:rFonts w:ascii="Arial" w:cs="Arial" w:eastAsia="Arial" w:hAnsi="Arial"/>
          <w:sz w:val="16"/>
          <w:szCs w:val="16"/>
          <w:color w:val="auto"/>
        </w:rPr>
      </w:pPr>
    </w:p>
    <w:p>
      <w:pPr>
        <w:ind w:right="80" w:firstLine="8"/>
        <w:spacing w:after="0" w:line="254" w:lineRule="auto"/>
        <w:tabs>
          <w:tab w:leader="none" w:pos="2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0" w:name="page31"/>
    <w:bookmarkEnd w:id="30"/>
    <w:p>
      <w:pPr>
        <w:ind w:right="220" w:firstLine="921"/>
        <w:spacing w:after="0" w:line="298" w:lineRule="auto"/>
        <w:tabs>
          <w:tab w:leader="none" w:pos="1132"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right="180" w:firstLine="921"/>
        <w:spacing w:after="0" w:line="306" w:lineRule="auto"/>
        <w:tabs>
          <w:tab w:leader="none" w:pos="11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Comcast Plan</w:t>
      </w:r>
      <w:r>
        <w:rPr>
          <w:rFonts w:ascii="Arial" w:cs="Arial" w:eastAsia="Arial" w:hAnsi="Arial"/>
          <w:sz w:val="16"/>
          <w:szCs w:val="16"/>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106" w:lineRule="exact"/>
        <w:rPr>
          <w:rFonts w:ascii="Arial" w:cs="Arial" w:eastAsia="Arial" w:hAnsi="Arial"/>
          <w:sz w:val="16"/>
          <w:szCs w:val="16"/>
          <w:color w:val="auto"/>
        </w:rPr>
      </w:pPr>
    </w:p>
    <w:p>
      <w:pPr>
        <w:ind w:left="1140" w:hanging="21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described in Paragraph 5, provided that for purposes of Paragraph 7:</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references to the Committee shall be treated as references to the Board with respect to any Option granted to or held by a Non-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 Director; and</w:t>
      </w:r>
    </w:p>
    <w:p>
      <w:pPr>
        <w:spacing w:after="0" w:line="164" w:lineRule="exact"/>
        <w:rPr>
          <w:rFonts w:ascii="Arial" w:cs="Arial" w:eastAsia="Arial" w:hAnsi="Arial"/>
          <w:sz w:val="16"/>
          <w:szCs w:val="16"/>
          <w:color w:val="auto"/>
        </w:rPr>
      </w:pPr>
    </w:p>
    <w:p>
      <w:pPr>
        <w:ind w:right="140" w:firstLine="1492"/>
        <w:spacing w:after="0" w:line="268" w:lineRule="auto"/>
        <w:tabs>
          <w:tab w:leader="none" w:pos="174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Committee’s delegate with respect to any Option granted within the scope of the delegate’s authority pursuant to Paragraph 5(b).</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Sponsor’s Class A Common Stock, par value, $.01.</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the Subsidiary Companies.</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as of which an Option is granted.</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disability within the meaning of section 22(e)(3) of the Code.</w:t>
      </w:r>
    </w:p>
    <w:p>
      <w:pPr>
        <w:spacing w:after="0" w:line="171" w:lineRule="exact"/>
        <w:rPr>
          <w:rFonts w:ascii="Arial" w:cs="Arial" w:eastAsia="Arial" w:hAnsi="Arial"/>
          <w:sz w:val="18"/>
          <w:szCs w:val="18"/>
          <w:color w:val="auto"/>
        </w:rPr>
      </w:pPr>
    </w:p>
    <w:p>
      <w:pPr>
        <w:ind w:firstLine="921"/>
        <w:spacing w:after="0" w:line="294" w:lineRule="auto"/>
        <w:tabs>
          <w:tab w:leader="none" w:pos="11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1" w:name="page32"/>
    <w:bookmarkEnd w:id="31"/>
    <w:p>
      <w:pPr>
        <w:ind w:right="600" w:firstLine="921"/>
        <w:spacing w:after="0" w:line="268" w:lineRule="auto"/>
        <w:tabs>
          <w:tab w:leader="none" w:pos="1162"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Family Member</w:t>
      </w:r>
      <w:r>
        <w:rPr>
          <w:rFonts w:ascii="Arial" w:cs="Arial" w:eastAsia="Arial" w:hAnsi="Arial"/>
          <w:sz w:val="18"/>
          <w:szCs w:val="18"/>
          <w:color w:val="auto"/>
        </w:rPr>
        <w:t>” has the meaning given to such term in General Instructions A.1(a)(5) to Form S-8 under the Securities Act of 1933, as amended, and any successor thereto.</w:t>
      </w:r>
    </w:p>
    <w:p>
      <w:pPr>
        <w:spacing w:after="0" w:line="131" w:lineRule="exact"/>
        <w:rPr>
          <w:rFonts w:ascii="Arial" w:cs="Arial" w:eastAsia="Arial" w:hAnsi="Arial"/>
          <w:sz w:val="18"/>
          <w:szCs w:val="18"/>
          <w:color w:val="auto"/>
        </w:rPr>
      </w:pPr>
    </w:p>
    <w:p>
      <w:pPr>
        <w:ind w:firstLine="921"/>
        <w:spacing w:after="0" w:line="298" w:lineRule="auto"/>
        <w:tabs>
          <w:tab w:leader="none" w:pos="1162"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12" w:lineRule="exact"/>
        <w:rPr>
          <w:rFonts w:ascii="Arial" w:cs="Arial" w:eastAsia="Arial" w:hAnsi="Arial"/>
          <w:sz w:val="16"/>
          <w:szCs w:val="16"/>
          <w:color w:val="auto"/>
        </w:rPr>
      </w:pPr>
    </w:p>
    <w:p>
      <w:pPr>
        <w:ind w:right="700" w:firstLine="921"/>
        <w:spacing w:after="0" w:line="332" w:lineRule="auto"/>
        <w:tabs>
          <w:tab w:leader="none" w:pos="1162"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85" w:lineRule="exact"/>
        <w:rPr>
          <w:rFonts w:ascii="Arial" w:cs="Arial" w:eastAsia="Arial" w:hAnsi="Arial"/>
          <w:sz w:val="16"/>
          <w:szCs w:val="16"/>
          <w:color w:val="auto"/>
        </w:rPr>
      </w:pPr>
    </w:p>
    <w:p>
      <w:pPr>
        <w:ind w:left="1140" w:hanging="219"/>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right="240" w:firstLine="1492"/>
        <w:spacing w:after="0" w:line="268" w:lineRule="auto"/>
        <w:tabs>
          <w:tab w:leader="none" w:pos="169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Option granted under the Plan, designated by the Committee at the time of such grant as a Non-Qualified Option and containing the terms specified herein for Non-Qualified Options; and</w:t>
      </w:r>
    </w:p>
    <w:p>
      <w:pPr>
        <w:spacing w:after="0" w:line="131" w:lineRule="exact"/>
        <w:rPr>
          <w:rFonts w:ascii="Arial" w:cs="Arial" w:eastAsia="Arial" w:hAnsi="Arial"/>
          <w:sz w:val="18"/>
          <w:szCs w:val="18"/>
          <w:color w:val="auto"/>
        </w:rPr>
      </w:pPr>
    </w:p>
    <w:p>
      <w:pPr>
        <w:ind w:right="160" w:firstLine="1492"/>
        <w:spacing w:after="0" w:line="268" w:lineRule="auto"/>
        <w:tabs>
          <w:tab w:leader="none" w:pos="174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 officer of the Sponsor (as defined in section 16 of the 1934 Act).</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stock option granted under the Plan and described in Paragraph 3(a)(i) or Paragraph 3(a)(ii).</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Optionee</w:t>
      </w:r>
      <w:r>
        <w:rPr>
          <w:rFonts w:ascii="Arial" w:cs="Arial" w:eastAsia="Arial" w:hAnsi="Arial"/>
          <w:sz w:val="15"/>
          <w:szCs w:val="15"/>
          <w:color w:val="auto"/>
        </w:rPr>
        <w:t>” means a person to whom an Option has been granted under the Plan, which Option has not been exercised in full and has not expired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or terminated.</w:t>
      </w:r>
    </w:p>
    <w:p>
      <w:pPr>
        <w:spacing w:after="0" w:line="164" w:lineRule="exact"/>
        <w:rPr>
          <w:rFonts w:ascii="Arial" w:cs="Arial" w:eastAsia="Arial" w:hAnsi="Arial"/>
          <w:sz w:val="15"/>
          <w:szCs w:val="15"/>
          <w:color w:val="auto"/>
        </w:rPr>
      </w:pPr>
    </w:p>
    <w:p>
      <w:pPr>
        <w:ind w:left="1160" w:hanging="239"/>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right="280" w:firstLine="1492"/>
        <w:spacing w:after="0" w:line="268" w:lineRule="auto"/>
        <w:tabs>
          <w:tab w:leader="none" w:pos="1693"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total number of Shares owned by an Optionee that were not acquired by such Optionee pursuant to a Comcast Plan or otherwise in connection with the performance of services to the Sponsor or an Affiliate; plus</w:t>
      </w:r>
    </w:p>
    <w:p>
      <w:pPr>
        <w:spacing w:after="0" w:line="131" w:lineRule="exact"/>
        <w:rPr>
          <w:rFonts w:ascii="Arial" w:cs="Arial" w:eastAsia="Arial" w:hAnsi="Arial"/>
          <w:sz w:val="18"/>
          <w:szCs w:val="18"/>
          <w:color w:val="auto"/>
        </w:rPr>
      </w:pPr>
    </w:p>
    <w:p>
      <w:pPr>
        <w:ind w:left="1760" w:hanging="268"/>
        <w:spacing w:after="0"/>
        <w:tabs>
          <w:tab w:leader="none" w:pos="1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2240" w:hanging="292"/>
        <w:spacing w:after="0"/>
        <w:tabs>
          <w:tab w:leader="none" w:pos="224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total number of Shares owned by an Optionee other than the Shares described in Paragraph 2(v)(i); over</w:t>
      </w:r>
    </w:p>
    <w:p>
      <w:pPr>
        <w:spacing w:after="0" w:line="171" w:lineRule="exact"/>
        <w:rPr>
          <w:rFonts w:ascii="Arial" w:cs="Arial" w:eastAsia="Arial" w:hAnsi="Arial"/>
          <w:sz w:val="18"/>
          <w:szCs w:val="18"/>
          <w:color w:val="auto"/>
        </w:rPr>
      </w:pPr>
    </w:p>
    <w:p>
      <w:pPr>
        <w:ind w:left="2220" w:hanging="272"/>
        <w:spacing w:after="0"/>
        <w:tabs>
          <w:tab w:leader="none" w:pos="22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2660" w:hanging="256"/>
        <w:spacing w:after="0"/>
        <w:tabs>
          <w:tab w:leader="none" w:pos="2660" w:val="left"/>
        </w:tabs>
        <w:numPr>
          <w:ilvl w:val="3"/>
          <w:numId w:val="19"/>
        </w:numPr>
        <w:rPr>
          <w:rFonts w:ascii="Arial" w:cs="Arial" w:eastAsia="Arial" w:hAnsi="Arial"/>
          <w:sz w:val="18"/>
          <w:szCs w:val="18"/>
          <w:color w:val="auto"/>
        </w:rPr>
      </w:pPr>
      <w:r>
        <w:rPr>
          <w:rFonts w:ascii="Arial" w:cs="Arial" w:eastAsia="Arial" w:hAnsi="Arial"/>
          <w:sz w:val="18"/>
          <w:szCs w:val="18"/>
          <w:color w:val="auto"/>
        </w:rPr>
        <w:t>the number of such Shares owned by such Optionee for less than six months; plus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2" w:name="page33"/>
    <w:bookmarkEnd w:id="32"/>
    <w:p>
      <w:pPr>
        <w:ind w:right="660" w:firstLine="2404"/>
        <w:spacing w:after="0" w:line="332" w:lineRule="auto"/>
        <w:tabs>
          <w:tab w:leader="none" w:pos="2645"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number of such Shares owned by such Optionee that has, within the preceding six months, been the subject of a withholding certification pursuant to Paragraph 15(b) or any similar withholding certification under any other Comcast Plan; plus</w:t>
      </w:r>
    </w:p>
    <w:p>
      <w:pPr>
        <w:spacing w:after="0" w:line="85" w:lineRule="exact"/>
        <w:rPr>
          <w:rFonts w:ascii="Arial" w:cs="Arial" w:eastAsia="Arial" w:hAnsi="Arial"/>
          <w:sz w:val="16"/>
          <w:szCs w:val="16"/>
          <w:color w:val="auto"/>
        </w:rPr>
      </w:pPr>
    </w:p>
    <w:p>
      <w:pPr>
        <w:ind w:firstLine="2404"/>
        <w:spacing w:after="0" w:line="256" w:lineRule="auto"/>
        <w:tabs>
          <w:tab w:leader="none" w:pos="26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such Shares owned by such Optionee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143" w:lineRule="exact"/>
        <w:rPr>
          <w:rFonts w:ascii="Arial" w:cs="Arial" w:eastAsia="Arial" w:hAnsi="Arial"/>
          <w:sz w:val="18"/>
          <w:szCs w:val="18"/>
          <w:color w:val="auto"/>
        </w:rPr>
      </w:pPr>
    </w:p>
    <w:p>
      <w:pPr>
        <w:ind w:right="340" w:firstLine="2404"/>
        <w:spacing w:after="0" w:line="259" w:lineRule="auto"/>
        <w:tabs>
          <w:tab w:leader="none" w:pos="26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such Shares owned by such Optionee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14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 purposes of this Paragraph 2(v),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For purposes of determining the number of Other Available Shares, the term “Shares” shall also include the securities held by a Participant immediately before the consummation of the AT&amp;T Broadband Transaction that became Common Stock or Special Common Stock as a result of the AT&amp;T Broadband Transaction.</w:t>
      </w:r>
    </w:p>
    <w:p>
      <w:pPr>
        <w:spacing w:after="0" w:line="143" w:lineRule="exact"/>
        <w:rPr>
          <w:sz w:val="20"/>
          <w:szCs w:val="20"/>
          <w:color w:val="auto"/>
        </w:rPr>
      </w:pPr>
    </w:p>
    <w:p>
      <w:pPr>
        <w:ind w:right="420" w:firstLine="921"/>
        <w:spacing w:after="0" w:line="268"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an “outside director” within the meaning of section 162(m)(4)(C) of the Code and applicable Treasury Regulations issued thereunder.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Stock Option Plan.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Except as provided in this Paragraph 2(z), a share or shares Common Stock;</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21"/>
        </w:numPr>
        <w:rPr>
          <w:rFonts w:ascii="Arial" w:cs="Arial" w:eastAsia="Arial" w:hAnsi="Arial"/>
          <w:sz w:val="15"/>
          <w:szCs w:val="15"/>
          <w:color w:val="auto"/>
        </w:rPr>
      </w:pPr>
      <w:r>
        <w:rPr>
          <w:rFonts w:ascii="Arial" w:cs="Arial" w:eastAsia="Arial" w:hAnsi="Arial"/>
          <w:sz w:val="15"/>
          <w:szCs w:val="15"/>
          <w:color w:val="auto"/>
        </w:rPr>
        <w:t>For purposes of Paragraphs 2(v), 7(d) and Paragraph 15, the term “Share” or “Shares” also means a share or shares of Special Common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3" w:name="page34"/>
    <w:bookmarkEnd w:id="33"/>
    <w:p>
      <w:pPr>
        <w:ind w:left="-20" w:right="240" w:firstLine="1492"/>
        <w:spacing w:after="0" w:line="259" w:lineRule="auto"/>
        <w:tabs>
          <w:tab w:leader="none" w:pos="1771"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 “Share” or “Shares” also means such other securities issued by the Sponsor as may be the subject of an adjustment under Paragraph 10, or for purposes of Paragraph 2(v) and Paragraph 15, as may have been the subject of a similar adjustment under similar provisions of a Comcast Plan as now in effect or as may have been in effect before the AT&amp;T Broadband Transaction.</w:t>
      </w:r>
    </w:p>
    <w:p>
      <w:pPr>
        <w:spacing w:after="0" w:line="140" w:lineRule="exact"/>
        <w:rPr>
          <w:rFonts w:ascii="Arial" w:cs="Arial" w:eastAsia="Arial" w:hAnsi="Arial"/>
          <w:sz w:val="18"/>
          <w:szCs w:val="18"/>
          <w:color w:val="auto"/>
        </w:rPr>
      </w:pPr>
    </w:p>
    <w:p>
      <w:pPr>
        <w:ind w:left="1220" w:hanging="319"/>
        <w:spacing w:after="0"/>
        <w:tabs>
          <w:tab w:leader="none" w:pos="1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Common Stock</w:t>
      </w:r>
      <w:r>
        <w:rPr>
          <w:rFonts w:ascii="Arial" w:cs="Arial" w:eastAsia="Arial" w:hAnsi="Arial"/>
          <w:sz w:val="16"/>
          <w:szCs w:val="16"/>
          <w:color w:val="auto"/>
        </w:rPr>
        <w:t>” means the Sponsor’s Class A Special Common Stock, par value $0.01.</w:t>
      </w:r>
    </w:p>
    <w:p>
      <w:pPr>
        <w:spacing w:after="0" w:line="194" w:lineRule="exact"/>
        <w:rPr>
          <w:rFonts w:ascii="Arial" w:cs="Arial" w:eastAsia="Arial" w:hAnsi="Arial"/>
          <w:sz w:val="16"/>
          <w:szCs w:val="16"/>
          <w:color w:val="auto"/>
        </w:rPr>
      </w:pPr>
    </w:p>
    <w:p>
      <w:pPr>
        <w:ind w:left="-20" w:right="20" w:firstLine="921"/>
        <w:spacing w:after="0" w:line="268" w:lineRule="auto"/>
        <w:tabs>
          <w:tab w:leader="none" w:pos="122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left="-20" w:right="200" w:firstLine="921"/>
        <w:spacing w:after="0" w:line="268" w:lineRule="auto"/>
        <w:tabs>
          <w:tab w:leader="none" w:pos="12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Sponsor within the meaning of section 424(f) of the Code.</w:t>
      </w:r>
    </w:p>
    <w:p>
      <w:pPr>
        <w:spacing w:after="0" w:line="131" w:lineRule="exact"/>
        <w:rPr>
          <w:rFonts w:ascii="Arial" w:cs="Arial" w:eastAsia="Arial" w:hAnsi="Arial"/>
          <w:sz w:val="18"/>
          <w:szCs w:val="18"/>
          <w:color w:val="auto"/>
        </w:rPr>
      </w:pPr>
    </w:p>
    <w:p>
      <w:pPr>
        <w:ind w:left="-20" w:firstLine="921"/>
        <w:spacing w:after="0" w:line="306" w:lineRule="auto"/>
        <w:tabs>
          <w:tab w:leader="none" w:pos="12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 Percent Shareholder</w:t>
      </w:r>
      <w:r>
        <w:rPr>
          <w:rFonts w:ascii="Arial" w:cs="Arial" w:eastAsia="Arial" w:hAnsi="Arial"/>
          <w:sz w:val="16"/>
          <w:szCs w:val="16"/>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06" w:lineRule="exact"/>
        <w:rPr>
          <w:rFonts w:ascii="Arial" w:cs="Arial" w:eastAsia="Arial" w:hAnsi="Arial"/>
          <w:sz w:val="16"/>
          <w:szCs w:val="16"/>
          <w:color w:val="auto"/>
        </w:rPr>
      </w:pPr>
    </w:p>
    <w:p>
      <w:pPr>
        <w:ind w:left="1220" w:hanging="319"/>
        <w:spacing w:after="0"/>
        <w:tabs>
          <w:tab w:leader="none" w:pos="1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1680" w:hanging="208"/>
        <w:spacing w:after="0"/>
        <w:tabs>
          <w:tab w:leader="none" w:pos="16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liquidation of the Sponsor; or</w:t>
      </w:r>
    </w:p>
    <w:p>
      <w:pPr>
        <w:spacing w:after="0" w:line="171" w:lineRule="exact"/>
        <w:rPr>
          <w:sz w:val="20"/>
          <w:szCs w:val="20"/>
          <w:color w:val="auto"/>
        </w:rPr>
      </w:pPr>
    </w:p>
    <w:p>
      <w:pPr>
        <w:ind w:left="1740" w:hanging="268"/>
        <w:spacing w:after="0"/>
        <w:tabs>
          <w:tab w:leader="none" w:pos="174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left="-20" w:right="320" w:firstLine="921"/>
        <w:spacing w:after="0" w:line="268" w:lineRule="auto"/>
        <w:tabs>
          <w:tab w:leader="none" w:pos="1167"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Company, together with such Person’s Affiliates, provided that the term “Third Party” shall not include the Sponsor or an Affiliate of the Sponsor.</w:t>
      </w:r>
    </w:p>
    <w:p>
      <w:pPr>
        <w:spacing w:after="0" w:line="131" w:lineRule="exact"/>
        <w:rPr>
          <w:rFonts w:ascii="Arial" w:cs="Arial" w:eastAsia="Arial" w:hAnsi="Arial"/>
          <w:sz w:val="18"/>
          <w:szCs w:val="18"/>
          <w:color w:val="auto"/>
        </w:rPr>
      </w:pPr>
    </w:p>
    <w:p>
      <w:pPr>
        <w:ind w:left="1240" w:hanging="339"/>
        <w:spacing w:after="0"/>
        <w:tabs>
          <w:tab w:leader="none" w:pos="12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171" w:lineRule="exact"/>
        <w:rPr>
          <w:rFonts w:ascii="Arial" w:cs="Arial" w:eastAsia="Arial" w:hAnsi="Arial"/>
          <w:sz w:val="18"/>
          <w:szCs w:val="18"/>
          <w:color w:val="auto"/>
        </w:rPr>
      </w:pPr>
    </w:p>
    <w:p>
      <w:pPr>
        <w:ind w:left="1240" w:hanging="339"/>
        <w:spacing w:after="0"/>
        <w:tabs>
          <w:tab w:leader="none" w:pos="12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86" w:lineRule="exact"/>
        <w:rPr>
          <w:rFonts w:ascii="Arial" w:cs="Arial" w:eastAsia="Arial" w:hAnsi="Arial"/>
          <w:sz w:val="18"/>
          <w:szCs w:val="18"/>
          <w:color w:val="auto"/>
        </w:rPr>
      </w:pPr>
    </w:p>
    <w:p>
      <w:pPr>
        <w:ind w:left="880" w:hanging="446"/>
        <w:spacing w:after="0"/>
        <w:tabs>
          <w:tab w:leader="none" w:pos="8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96" w:lineRule="exact"/>
        <w:rPr>
          <w:rFonts w:ascii="Arial" w:cs="Arial" w:eastAsia="Arial" w:hAnsi="Arial"/>
          <w:sz w:val="18"/>
          <w:szCs w:val="18"/>
          <w:b w:val="1"/>
          <w:bCs w:val="1"/>
          <w:color w:val="auto"/>
        </w:rPr>
      </w:pPr>
    </w:p>
    <w:p>
      <w:pPr>
        <w:ind w:left="1140" w:hanging="239"/>
        <w:spacing w:after="0"/>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Types of Options and Other Rights Available for Grant. Rights that may be granted under the Plan are:</w:t>
      </w:r>
    </w:p>
    <w:p>
      <w:pPr>
        <w:spacing w:after="0" w:line="90" w:lineRule="exact"/>
        <w:rPr>
          <w:rFonts w:ascii="Arial" w:cs="Arial" w:eastAsia="Arial" w:hAnsi="Arial"/>
          <w:sz w:val="18"/>
          <w:szCs w:val="18"/>
          <w:color w:val="auto"/>
        </w:rPr>
      </w:pPr>
    </w:p>
    <w:p>
      <w:pPr>
        <w:ind w:left="-20" w:right="260" w:firstLine="1492"/>
        <w:spacing w:after="0" w:line="268" w:lineRule="auto"/>
        <w:tabs>
          <w:tab w:leader="none" w:pos="1673" w:val="left"/>
        </w:tabs>
        <w:numPr>
          <w:ilvl w:val="2"/>
          <w:numId w:val="26"/>
        </w:numPr>
        <w:rPr>
          <w:rFonts w:ascii="Arial" w:cs="Arial" w:eastAsia="Arial" w:hAnsi="Arial"/>
          <w:sz w:val="18"/>
          <w:szCs w:val="18"/>
          <w:color w:val="auto"/>
        </w:rPr>
      </w:pPr>
      <w:r>
        <w:rPr>
          <w:rFonts w:ascii="Arial" w:cs="Arial" w:eastAsia="Arial" w:hAnsi="Arial"/>
          <w:sz w:val="18"/>
          <w:szCs w:val="18"/>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34" w:name="page35"/>
    <w:bookmarkEnd w:id="34"/>
    <w:p>
      <w:pPr>
        <w:ind w:firstLine="1492"/>
        <w:spacing w:after="0" w:line="268" w:lineRule="auto"/>
        <w:tabs>
          <w:tab w:leader="none" w:pos="1742" w:val="left"/>
        </w:tabs>
        <w:numPr>
          <w:ilvl w:val="1"/>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Non-Qualified Options, which give the Optionee the right for a specified time period to purchase a specified number of Shares for a price determined by the Committee; and</w:t>
      </w:r>
    </w:p>
    <w:p>
      <w:pPr>
        <w:spacing w:after="0" w:line="131" w:lineRule="exact"/>
        <w:rPr>
          <w:rFonts w:ascii="Arial" w:cs="Arial" w:eastAsia="Arial" w:hAnsi="Arial"/>
          <w:sz w:val="18"/>
          <w:szCs w:val="18"/>
          <w:color w:val="auto"/>
        </w:rPr>
      </w:pPr>
    </w:p>
    <w:p>
      <w:pPr>
        <w:jc w:val="both"/>
        <w:ind w:right="120" w:firstLine="1492"/>
        <w:spacing w:after="0" w:line="259" w:lineRule="auto"/>
        <w:tabs>
          <w:tab w:leader="none" w:pos="1791" w:val="left"/>
        </w:tabs>
        <w:numPr>
          <w:ilvl w:val="1"/>
          <w:numId w:val="27"/>
        </w:numPr>
        <w:rPr>
          <w:rFonts w:ascii="Arial" w:cs="Arial" w:eastAsia="Arial" w:hAnsi="Arial"/>
          <w:sz w:val="18"/>
          <w:szCs w:val="18"/>
          <w:color w:val="auto"/>
        </w:rPr>
      </w:pPr>
      <w:r>
        <w:rPr>
          <w:rFonts w:ascii="Arial" w:cs="Arial" w:eastAsia="Arial" w:hAnsi="Arial"/>
          <w:sz w:val="18"/>
          <w:szCs w:val="18"/>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40" w:lineRule="exact"/>
        <w:rPr>
          <w:rFonts w:ascii="Arial" w:cs="Arial" w:eastAsia="Arial" w:hAnsi="Arial"/>
          <w:sz w:val="18"/>
          <w:szCs w:val="18"/>
          <w:color w:val="auto"/>
        </w:rPr>
      </w:pPr>
    </w:p>
    <w:p>
      <w:pPr>
        <w:ind w:right="340" w:firstLine="921"/>
        <w:spacing w:after="0" w:line="268" w:lineRule="auto"/>
        <w:tabs>
          <w:tab w:leader="none" w:pos="116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Limit on Grant of Options</w:t>
      </w:r>
      <w:r>
        <w:rPr>
          <w:rFonts w:ascii="Arial" w:cs="Arial" w:eastAsia="Arial" w:hAnsi="Arial"/>
          <w:sz w:val="18"/>
          <w:szCs w:val="18"/>
          <w:color w:val="auto"/>
        </w:rPr>
        <w:t>. The maximum number of Shares for which Options may be granted to any single individual in any calendar year, adjusted as provided in Paragraph 10, shall be 15,000,000 Shares.</w:t>
      </w:r>
    </w:p>
    <w:p>
      <w:pPr>
        <w:spacing w:after="0" w:line="248"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Plan</w:t>
      </w:r>
    </w:p>
    <w:p>
      <w:pPr>
        <w:spacing w:after="0" w:line="96"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Subject to adjustment as provided in Paragraph 10, not more than 105 million Shares in the aggregate may be issued pursuant to the Plan upon exercise of Options, provided that subject to the approval of the Sponsor’s shareholders at the Sponsor’s Annual Meeting of Shareholders to be held in 2008 (the “2008 Annual Meeting”), the number of Shares in the aggregate that may be issued under the Plan, pursuant to the grant of Awards, subject to adjustment in accordance with Paragraph 10, shall be increased from 105 million to 139 million. Shares delivered pursuant to the exercise of an Option may, at the Sponsor’s option, be either treasury Shares or Shares originally issued for such purpose. If (a) an Option covering Shares terminates or expires without having been exercised in full,</w:t>
      </w:r>
    </w:p>
    <w:p>
      <w:pPr>
        <w:spacing w:after="0" w:line="2" w:lineRule="exact"/>
        <w:rPr>
          <w:sz w:val="20"/>
          <w:szCs w:val="20"/>
          <w:color w:val="auto"/>
        </w:rPr>
      </w:pPr>
    </w:p>
    <w:p>
      <w:pPr>
        <w:ind w:right="460" w:firstLine="8"/>
        <w:spacing w:after="0" w:line="253" w:lineRule="auto"/>
        <w:tabs>
          <w:tab w:leader="none" w:pos="2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Sponsor withholds Shares to satisfy its minimum tax withholding requirements as provided in Paragraph 15(b) and Paragraph 15(c) or (c) effective February 28, 2007, an Option covering Shares is exercised pursuant to the cashless exercise provisions of Paragraph 7(d)(iv), other Options may be granted covering the Shares as to which the Option terminated or expired, covering the Shares so withheld to satisfy the Sponsor’s minimum tax withholding requirements or covering the Shares that were subject to such Option but not delivered because of the application of such cashless exercise provisions, as applicable.</w:t>
      </w:r>
    </w:p>
    <w:p>
      <w:pPr>
        <w:spacing w:after="0" w:line="260"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Plan</w:t>
      </w:r>
    </w:p>
    <w:p>
      <w:pPr>
        <w:spacing w:after="0" w:line="96" w:lineRule="exact"/>
        <w:rPr>
          <w:rFonts w:ascii="Arial" w:cs="Arial" w:eastAsia="Arial" w:hAnsi="Arial"/>
          <w:sz w:val="18"/>
          <w:szCs w:val="18"/>
          <w:b w:val="1"/>
          <w:bCs w:val="1"/>
          <w:color w:val="auto"/>
        </w:rPr>
      </w:pPr>
    </w:p>
    <w:p>
      <w:pPr>
        <w:ind w:right="20" w:firstLine="921"/>
        <w:spacing w:after="0" w:line="259" w:lineRule="auto"/>
        <w:tabs>
          <w:tab w:leader="none" w:pos="1152" w:val="left"/>
        </w:tabs>
        <w:numPr>
          <w:ilvl w:val="2"/>
          <w:numId w:val="30"/>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The Plan shall be administered by the 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2"/>
          <w:numId w:val="30"/>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80" w:firstLine="1492"/>
        <w:spacing w:after="0" w:line="256" w:lineRule="auto"/>
        <w:tabs>
          <w:tab w:leader="none" w:pos="1693" w:val="left"/>
        </w:tabs>
        <w:numPr>
          <w:ilvl w:val="3"/>
          <w:numId w:val="30"/>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Options with respect to any employee or officer of a Company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subject to the short-swing profit recapture rules of section 16(b) of the 1934 Act, is reserved to the Committee.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5" w:name="page36"/>
    <w:bookmarkEnd w:id="35"/>
    <w:p>
      <w:pPr>
        <w:ind w:right="220" w:firstLine="1492"/>
        <w:spacing w:after="0" w:line="294" w:lineRule="auto"/>
        <w:tabs>
          <w:tab w:leader="none" w:pos="1742"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Officers and Highly Compensated Employees</w:t>
      </w:r>
      <w:r>
        <w:rPr>
          <w:rFonts w:ascii="Arial" w:cs="Arial" w:eastAsia="Arial" w:hAnsi="Arial"/>
          <w:sz w:val="16"/>
          <w:szCs w:val="16"/>
          <w:color w:val="auto"/>
        </w:rPr>
        <w:t>. The Committee may delegate to a committee consisting of the Chairman of the Committee and one or more officers of the Company designated by the Committee, discretion under the Plan to grant, amend, interpret and administer Options with respect to any employee or officer of a Company who (x) holds a position with Comcast Corporation of Senior Vice President or a position of higher rank than Senior Vice President or (y) has a base salary of $500,000 or more, provided that an Option granted pursuant to this delegated authority may not have an exercise price per Share that is less than the Fair Market Value on the Date of Grant.</w:t>
      </w:r>
    </w:p>
    <w:p>
      <w:pPr>
        <w:spacing w:after="0" w:line="115" w:lineRule="exact"/>
        <w:rPr>
          <w:rFonts w:ascii="Arial" w:cs="Arial" w:eastAsia="Arial" w:hAnsi="Arial"/>
          <w:sz w:val="16"/>
          <w:szCs w:val="16"/>
          <w:color w:val="auto"/>
        </w:rPr>
      </w:pPr>
    </w:p>
    <w:p>
      <w:pPr>
        <w:ind w:right="300" w:firstLine="1948"/>
        <w:spacing w:after="0" w:line="256" w:lineRule="auto"/>
        <w:tabs>
          <w:tab w:leader="none" w:pos="2247" w:val="left"/>
        </w:tabs>
        <w:numPr>
          <w:ilvl w:val="2"/>
          <w:numId w:val="31"/>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 administer Options with respect to any employee or officer of a Company other than an employee or officer described in Paragraph 5(b)(i) or Paragraph 5(b)(ii), provided that an Option granted pursuant to this delegated authority may not have an exercise price per Share that is less than the Fair Market Value on the Date of Grant.</w:t>
      </w:r>
    </w:p>
    <w:p>
      <w:pPr>
        <w:spacing w:after="0" w:line="143" w:lineRule="exact"/>
        <w:rPr>
          <w:rFonts w:ascii="Arial" w:cs="Arial" w:eastAsia="Arial" w:hAnsi="Arial"/>
          <w:sz w:val="18"/>
          <w:szCs w:val="18"/>
          <w:color w:val="auto"/>
        </w:rPr>
      </w:pPr>
    </w:p>
    <w:p>
      <w:pPr>
        <w:ind w:left="2240" w:hanging="292"/>
        <w:spacing w:after="0"/>
        <w:tabs>
          <w:tab w:leader="none" w:pos="2240" w:val="left"/>
        </w:tabs>
        <w:numPr>
          <w:ilvl w:val="2"/>
          <w:numId w:val="31"/>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Delegation of authority as provided under this Paragraph 5(b) shall continue in effect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until the earliest of:</w:t>
      </w:r>
    </w:p>
    <w:p>
      <w:pPr>
        <w:spacing w:after="0" w:line="164" w:lineRule="exact"/>
        <w:rPr>
          <w:rFonts w:ascii="Arial" w:cs="Arial" w:eastAsia="Arial" w:hAnsi="Arial"/>
          <w:sz w:val="16"/>
          <w:szCs w:val="16"/>
          <w:color w:val="auto"/>
        </w:rPr>
      </w:pPr>
    </w:p>
    <w:p>
      <w:pPr>
        <w:ind w:left="2660" w:hanging="256"/>
        <w:spacing w:after="0"/>
        <w:tabs>
          <w:tab w:leader="none" w:pos="2660" w:val="left"/>
        </w:tabs>
        <w:numPr>
          <w:ilvl w:val="3"/>
          <w:numId w:val="31"/>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171" w:lineRule="exact"/>
        <w:rPr>
          <w:rFonts w:ascii="Arial" w:cs="Arial" w:eastAsia="Arial" w:hAnsi="Arial"/>
          <w:sz w:val="18"/>
          <w:szCs w:val="18"/>
          <w:color w:val="auto"/>
        </w:rPr>
      </w:pPr>
    </w:p>
    <w:p>
      <w:pPr>
        <w:jc w:val="both"/>
        <w:ind w:right="120" w:firstLine="2404"/>
        <w:spacing w:after="0" w:line="259" w:lineRule="auto"/>
        <w:tabs>
          <w:tab w:leader="none" w:pos="2645" w:val="left"/>
        </w:tabs>
        <w:numPr>
          <w:ilvl w:val="3"/>
          <w:numId w:val="31"/>
        </w:numPr>
        <w:rPr>
          <w:rFonts w:ascii="Arial" w:cs="Arial" w:eastAsia="Arial" w:hAnsi="Arial"/>
          <w:sz w:val="18"/>
          <w:szCs w:val="18"/>
          <w:color w:val="auto"/>
        </w:rPr>
      </w:pPr>
      <w:r>
        <w:rPr>
          <w:rFonts w:ascii="Arial" w:cs="Arial" w:eastAsia="Arial" w:hAnsi="Arial"/>
          <w:sz w:val="18"/>
          <w:szCs w:val="18"/>
          <w:color w:val="auto"/>
        </w:rPr>
        <w:t>in the case of delegation under Paragraph 5(b)(ii), the delegate shall cease to serve as Chairman of the Committee or serve as an employee of the Company for any reason, as the case may be and in the case of delegation under Paragraph 5(b)(iii), the delegate shall cease to serve as an employee of the Company for any reason; or</w:t>
      </w:r>
    </w:p>
    <w:p>
      <w:pPr>
        <w:spacing w:after="0" w:line="140" w:lineRule="exact"/>
        <w:rPr>
          <w:rFonts w:ascii="Arial" w:cs="Arial" w:eastAsia="Arial" w:hAnsi="Arial"/>
          <w:sz w:val="18"/>
          <w:szCs w:val="18"/>
          <w:color w:val="auto"/>
        </w:rPr>
      </w:pPr>
    </w:p>
    <w:p>
      <w:pPr>
        <w:ind w:left="2640" w:hanging="236"/>
        <w:spacing w:after="0"/>
        <w:tabs>
          <w:tab w:leader="none" w:pos="2640" w:val="left"/>
        </w:tabs>
        <w:numPr>
          <w:ilvl w:val="3"/>
          <w:numId w:val="31"/>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171" w:lineRule="exact"/>
        <w:rPr>
          <w:rFonts w:ascii="Arial" w:cs="Arial" w:eastAsia="Arial" w:hAnsi="Arial"/>
          <w:sz w:val="18"/>
          <w:szCs w:val="18"/>
          <w:color w:val="auto"/>
        </w:rPr>
      </w:pPr>
    </w:p>
    <w:p>
      <w:pPr>
        <w:ind w:right="400" w:firstLine="921"/>
        <w:spacing w:after="0" w:line="332" w:lineRule="auto"/>
        <w:tabs>
          <w:tab w:leader="none" w:pos="115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85" w:lineRule="exact"/>
        <w:rPr>
          <w:rFonts w:ascii="Arial" w:cs="Arial" w:eastAsia="Arial" w:hAnsi="Arial"/>
          <w:sz w:val="16"/>
          <w:szCs w:val="16"/>
          <w:color w:val="auto"/>
        </w:rPr>
      </w:pPr>
    </w:p>
    <w:p>
      <w:pPr>
        <w:jc w:val="both"/>
        <w:ind w:firstLine="921"/>
        <w:spacing w:after="0" w:line="298" w:lineRule="auto"/>
        <w:tabs>
          <w:tab w:leader="none" w:pos="116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provisions of this Paragraph 5(d) shall not apply to the responsibility or liability of a member of the Committee pursuant to any criminal statute.</w:t>
      </w:r>
    </w:p>
    <w:p>
      <w:pPr>
        <w:spacing w:after="0" w:line="112" w:lineRule="exact"/>
        <w:rPr>
          <w:rFonts w:ascii="Arial" w:cs="Arial" w:eastAsia="Arial" w:hAnsi="Arial"/>
          <w:sz w:val="16"/>
          <w:szCs w:val="16"/>
          <w:color w:val="auto"/>
        </w:rPr>
      </w:pPr>
    </w:p>
    <w:p>
      <w:pPr>
        <w:ind w:right="220" w:firstLine="921"/>
        <w:spacing w:after="0" w:line="259" w:lineRule="auto"/>
        <w:tabs>
          <w:tab w:leader="none" w:pos="115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36" w:name="page37"/>
    <w:bookmarkEnd w:id="36"/>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20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rFonts w:ascii="Arial" w:cs="Arial" w:eastAsia="Arial" w:hAnsi="Arial"/>
          <w:sz w:val="18"/>
          <w:szCs w:val="18"/>
          <w:b w:val="1"/>
          <w:bCs w:val="1"/>
          <w:color w:val="auto"/>
        </w:rPr>
      </w:pPr>
    </w:p>
    <w:p>
      <w:pPr>
        <w:ind w:right="80" w:firstLine="921"/>
        <w:spacing w:after="0" w:line="294" w:lineRule="auto"/>
        <w:tabs>
          <w:tab w:leader="none" w:pos="1152" w:val="left"/>
        </w:tabs>
        <w:numPr>
          <w:ilvl w:val="1"/>
          <w:numId w:val="33"/>
        </w:numPr>
        <w:rPr>
          <w:rFonts w:ascii="Arial" w:cs="Arial" w:eastAsia="Arial" w:hAnsi="Arial"/>
          <w:sz w:val="16"/>
          <w:szCs w:val="16"/>
          <w:color w:val="auto"/>
        </w:rPr>
      </w:pPr>
      <w:r>
        <w:rPr>
          <w:rFonts w:ascii="Arial" w:cs="Arial" w:eastAsia="Arial" w:hAnsi="Arial"/>
          <w:sz w:val="16"/>
          <w:szCs w:val="16"/>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115" w:lineRule="exact"/>
        <w:rPr>
          <w:rFonts w:ascii="Arial" w:cs="Arial" w:eastAsia="Arial" w:hAnsi="Arial"/>
          <w:sz w:val="16"/>
          <w:szCs w:val="16"/>
          <w:color w:val="auto"/>
        </w:rPr>
      </w:pPr>
    </w:p>
    <w:p>
      <w:pPr>
        <w:ind w:right="180" w:firstLine="921"/>
        <w:spacing w:after="0" w:line="298" w:lineRule="auto"/>
        <w:tabs>
          <w:tab w:leader="none" w:pos="1162"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228"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Option Documents and Terms—In General</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59" w:lineRule="exact"/>
        <w:rPr>
          <w:sz w:val="20"/>
          <w:szCs w:val="20"/>
          <w:color w:val="auto"/>
        </w:rPr>
      </w:pPr>
    </w:p>
    <w:p>
      <w:pPr>
        <w:ind w:firstLine="921"/>
        <w:spacing w:after="0" w:line="259" w:lineRule="auto"/>
        <w:tabs>
          <w:tab w:leader="none" w:pos="115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Options shall be granted on or before February 25, 2013, provided that subject to the approval of the Sponsor’s shareholders at the 2008 Annual Meeting, the last day on which Options may be granted under the Plan shall be extended from February 25, 2013 to the day before the tenth anniversary of the 2008 Annual Meeting.</w:t>
      </w:r>
    </w:p>
    <w:p>
      <w:pPr>
        <w:spacing w:after="0" w:line="140" w:lineRule="exact"/>
        <w:rPr>
          <w:rFonts w:ascii="Arial" w:cs="Arial" w:eastAsia="Arial" w:hAnsi="Arial"/>
          <w:sz w:val="18"/>
          <w:szCs w:val="18"/>
          <w:color w:val="auto"/>
        </w:rPr>
      </w:pPr>
    </w:p>
    <w:p>
      <w:pPr>
        <w:ind w:right="160" w:firstLine="921"/>
        <w:spacing w:after="0" w:line="298" w:lineRule="auto"/>
        <w:tabs>
          <w:tab w:leader="none" w:pos="116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Option Price</w:t>
      </w:r>
      <w:r>
        <w:rPr>
          <w:rFonts w:ascii="Arial" w:cs="Arial" w:eastAsia="Arial" w:hAnsi="Arial"/>
          <w:sz w:val="16"/>
          <w:szCs w:val="16"/>
          <w:color w:val="auto"/>
        </w:rPr>
        <w:t xml:space="preserve">. Except as otherwise provided in Section 13(b), the option price per Share with respect to any Option shall be determined by the Committee,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with respect to any Incentive Stock Options, the option price per share shall not be less than 100% of the Fair Market Value of such Share on the Date of Grant,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112" w:lineRule="exact"/>
        <w:rPr>
          <w:rFonts w:ascii="Arial" w:cs="Arial" w:eastAsia="Arial" w:hAnsi="Arial"/>
          <w:sz w:val="16"/>
          <w:szCs w:val="16"/>
          <w:color w:val="auto"/>
        </w:rPr>
      </w:pPr>
    </w:p>
    <w:p>
      <w:pPr>
        <w:ind w:right="140" w:firstLine="921"/>
        <w:spacing w:after="0" w:line="259" w:lineRule="auto"/>
        <w:tabs>
          <w:tab w:leader="none" w:pos="115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Restrictions on Transferability</w:t>
      </w:r>
      <w:r>
        <w:rPr>
          <w:rFonts w:ascii="Arial" w:cs="Arial" w:eastAsia="Arial" w:hAnsi="Arial"/>
          <w:sz w:val="18"/>
          <w:szCs w:val="18"/>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Committee may, in its discretion, at the time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37" w:name="page38"/>
    <w:bookmarkEnd w:id="37"/>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(i) any such transfer is without consideration and (ii) each transferee is a Family Member with respect to the Optionee; and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18" w:lineRule="exact"/>
        <w:rPr>
          <w:sz w:val="20"/>
          <w:szCs w:val="20"/>
          <w:color w:val="auto"/>
        </w:rPr>
      </w:pPr>
    </w:p>
    <w:p>
      <w:pPr>
        <w:ind w:right="80" w:firstLine="921"/>
        <w:spacing w:after="0" w:line="357" w:lineRule="auto"/>
        <w:tabs>
          <w:tab w:leader="none" w:pos="1161"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Payment Upon Exercise of Options</w:t>
      </w:r>
      <w:r>
        <w:rPr>
          <w:rFonts w:ascii="Arial" w:cs="Arial" w:eastAsia="Arial" w:hAnsi="Arial"/>
          <w:sz w:val="15"/>
          <w:szCs w:val="15"/>
          <w:color w:val="auto"/>
        </w:rPr>
        <w:t>. With respect to Options granted on and after February 28, 2007, full payment for Shares purchased upon the exercise of an Option shall be made pursuant to one or more of the following methods as determined by the Committee and set forth in the Option document:</w:t>
      </w:r>
    </w:p>
    <w:p>
      <w:pPr>
        <w:ind w:left="1700" w:hanging="208"/>
        <w:spacing w:after="0"/>
        <w:tabs>
          <w:tab w:leader="none" w:pos="1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cash;</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By certified check payable to the order of the Sponsor;</w:t>
      </w:r>
    </w:p>
    <w:p>
      <w:pPr>
        <w:spacing w:after="0" w:line="171" w:lineRule="exact"/>
        <w:rPr>
          <w:rFonts w:ascii="Arial" w:cs="Arial" w:eastAsia="Arial" w:hAnsi="Arial"/>
          <w:sz w:val="18"/>
          <w:szCs w:val="18"/>
          <w:color w:val="auto"/>
        </w:rPr>
      </w:pPr>
    </w:p>
    <w:p>
      <w:pPr>
        <w:ind w:firstLine="1492"/>
        <w:spacing w:after="0" w:line="285" w:lineRule="auto"/>
        <w:tabs>
          <w:tab w:leader="none" w:pos="1791"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By surrendering or attesting to ownership of Shares with an aggregate Fair Market Value equal to the aggregate option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with respect to Options granted before February 28, 2007,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The Committee may impose such limitations and prohibitions on attestation or ownership of Shares and the use of Shares to exercise an Option as it deems appropriate; or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38" w:name="page39"/>
    <w:bookmarkEnd w:id="38"/>
    <w:p>
      <w:pPr>
        <w:ind w:right="20" w:firstLine="1492"/>
        <w:spacing w:after="0" w:line="290" w:lineRule="auto"/>
        <w:tabs>
          <w:tab w:leader="none" w:pos="1781"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Via cashless exercise, such that subject to the other terms and conditions of the Plan, following the date of exercise, the Company shall deliver to the Optionee Shares having a Fair Market Value, as of the date of exercise, equal to the excess, if any, of (A) the Fair Market Value of such Shares on the date of exercise of the Option over (B) the sum of (I) the aggregate Option Price for such Shares, plus (II)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Except as authorized by the Committee and agreed to by an Optionee, with respect to Options granted before February 28, 2007, the payment methods described in Paragraph 7(d)(i), (ii) and (iii) shall, to the extent so provided in an Option document, be the exclusive payment methods, provided that the Committee may, in its sole discretion, and subject to the Optionee’s written consent on a form provided by the Committee, authorize Option documents covering Options granted before February 28, 2007 to be amended to provide that the payment method described in Paragraph 7(d)(iv) shall be an additional or the exclusive payment method.</w:t>
      </w:r>
    </w:p>
    <w:p>
      <w:pPr>
        <w:spacing w:after="0" w:line="143" w:lineRule="exact"/>
        <w:rPr>
          <w:sz w:val="20"/>
          <w:szCs w:val="20"/>
          <w:color w:val="auto"/>
        </w:rPr>
      </w:pPr>
    </w:p>
    <w:p>
      <w:pPr>
        <w:ind w:firstLine="921"/>
        <w:spacing w:after="0" w:line="291" w:lineRule="auto"/>
        <w:tabs>
          <w:tab w:leader="none" w:pos="1152"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Issuance of Certificate Upon Exercise of Options; Payment of Cash</w:t>
      </w:r>
      <w:r>
        <w:rPr>
          <w:rFonts w:ascii="Arial" w:cs="Arial" w:eastAsia="Arial" w:hAnsi="Arial"/>
          <w:sz w:val="16"/>
          <w:szCs w:val="16"/>
          <w:color w:val="auto"/>
        </w:rPr>
        <w:t>. For purposes of the Plan, the Sponsor may satisfy its obligation to deliver Shares following the exercise of Options either by (i) delivery of a physical certificate for Shares issuable on the exercise of Options or (ii) arranging for the recording of Optionee’s ownership of Shares issuable on the exercise of Options on a book entry recordkeeping system maintained on behalf of the Sponsor. Only whole Shares shall be issuable upon exercise of Options. No fractional Shares shall be issued. Any right to a 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120" w:lineRule="exact"/>
        <w:rPr>
          <w:rFonts w:ascii="Arial" w:cs="Arial" w:eastAsia="Arial" w:hAnsi="Arial"/>
          <w:sz w:val="16"/>
          <w:szCs w:val="16"/>
          <w:color w:val="auto"/>
        </w:rPr>
      </w:pPr>
    </w:p>
    <w:p>
      <w:pPr>
        <w:ind w:right="80" w:firstLine="921"/>
        <w:spacing w:after="0" w:line="310" w:lineRule="auto"/>
        <w:tabs>
          <w:tab w:leader="none" w:pos="1132"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w:t>
      </w:r>
      <w:r>
        <w:rPr>
          <w:rFonts w:ascii="Arial" w:cs="Arial" w:eastAsia="Arial" w:hAnsi="Arial"/>
          <w:sz w:val="15"/>
          <w:szCs w:val="15"/>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For an Optionee who is a Non-Employee Director, all references to any termination of employment shall be treated as a termination of service to the Sponsor as a Non-Employee Director.</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39" w:name="page40"/>
    <w:bookmarkEnd w:id="39"/>
    <w:p>
      <w:pPr>
        <w:ind w:left="-40" w:firstLine="921"/>
        <w:spacing w:after="0" w:line="294" w:lineRule="auto"/>
        <w:tabs>
          <w:tab w:leader="none" w:pos="1121"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Periods of Exercise of Options</w:t>
      </w:r>
      <w:r>
        <w:rPr>
          <w:rFonts w:ascii="Arial" w:cs="Arial" w:eastAsia="Arial" w:hAnsi="Arial"/>
          <w:sz w:val="16"/>
          <w:szCs w:val="16"/>
          <w:color w:val="auto"/>
        </w:rPr>
        <w:t>.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34" w:lineRule="exact"/>
        <w:rPr>
          <w:rFonts w:ascii="Arial" w:cs="Arial" w:eastAsia="Arial" w:hAnsi="Arial"/>
          <w:sz w:val="16"/>
          <w:szCs w:val="16"/>
          <w:color w:val="auto"/>
        </w:rPr>
      </w:pPr>
    </w:p>
    <w:p>
      <w:pPr>
        <w:ind w:left="-40" w:right="80" w:firstLine="1492"/>
        <w:spacing w:after="0" w:line="253" w:lineRule="auto"/>
        <w:tabs>
          <w:tab w:leader="none" w:pos="16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47" w:lineRule="exact"/>
        <w:rPr>
          <w:rFonts w:ascii="Arial" w:cs="Arial" w:eastAsia="Arial" w:hAnsi="Arial"/>
          <w:sz w:val="18"/>
          <w:szCs w:val="18"/>
          <w:color w:val="auto"/>
        </w:rPr>
      </w:pPr>
    </w:p>
    <w:p>
      <w:pPr>
        <w:ind w:left="-40" w:right="20" w:firstLine="1492"/>
        <w:spacing w:after="0" w:line="255" w:lineRule="auto"/>
        <w:tabs>
          <w:tab w:leader="none" w:pos="1702"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142" w:lineRule="exact"/>
        <w:rPr>
          <w:rFonts w:ascii="Arial" w:cs="Arial" w:eastAsia="Arial" w:hAnsi="Arial"/>
          <w:sz w:val="18"/>
          <w:szCs w:val="18"/>
          <w:color w:val="auto"/>
        </w:rPr>
      </w:pPr>
    </w:p>
    <w:p>
      <w:pPr>
        <w:ind w:left="-40" w:right="60" w:firstLine="1492"/>
        <w:spacing w:after="0" w:line="256" w:lineRule="auto"/>
        <w:tabs>
          <w:tab w:leader="none" w:pos="1751"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43" w:lineRule="exact"/>
        <w:rPr>
          <w:rFonts w:ascii="Arial" w:cs="Arial" w:eastAsia="Arial" w:hAnsi="Arial"/>
          <w:sz w:val="18"/>
          <w:szCs w:val="18"/>
          <w:color w:val="auto"/>
        </w:rPr>
      </w:pPr>
    </w:p>
    <w:p>
      <w:pPr>
        <w:ind w:left="-40" w:right="220" w:firstLine="921"/>
        <w:spacing w:after="0" w:line="294" w:lineRule="auto"/>
        <w:tabs>
          <w:tab w:leader="none" w:pos="1121"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Date of Exercise</w:t>
      </w:r>
      <w:r>
        <w:rPr>
          <w:rFonts w:ascii="Arial" w:cs="Arial" w:eastAsia="Arial" w:hAnsi="Arial"/>
          <w:sz w:val="16"/>
          <w:szCs w:val="16"/>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80" w:top="280" w:right="259" w:bottom="1440" w:gutter="0" w:footer="0" w:header="0"/>
        </w:sectPr>
      </w:pPr>
    </w:p>
    <w:bookmarkStart w:id="40" w:name="page41"/>
    <w:bookmarkEnd w:id="40"/>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binding on and irrevocable by the Optionee but shall not be binding on the Committee) as to the manner in which payment to the Sponsor shall be made. Each notice of exercise shall also comply with the requirements of Paragraph 15.</w:t>
      </w:r>
    </w:p>
    <w:p>
      <w:pPr>
        <w:spacing w:after="0" w:line="132" w:lineRule="exact"/>
        <w:rPr>
          <w:sz w:val="20"/>
          <w:szCs w:val="20"/>
          <w:color w:val="auto"/>
        </w:rPr>
      </w:pPr>
    </w:p>
    <w:p>
      <w:pPr>
        <w:ind w:firstLine="921"/>
        <w:spacing w:after="0" w:line="332" w:lineRule="auto"/>
        <w:tabs>
          <w:tab w:leader="none" w:pos="1122"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Cash Rights</w:t>
      </w:r>
      <w:r>
        <w:rPr>
          <w:rFonts w:ascii="Arial" w:cs="Arial" w:eastAsia="Arial" w:hAnsi="Arial"/>
          <w:sz w:val="16"/>
          <w:szCs w:val="16"/>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4" w:lineRule="exact"/>
        <w:rPr>
          <w:rFonts w:ascii="Arial" w:cs="Arial" w:eastAsia="Arial" w:hAnsi="Arial"/>
          <w:sz w:val="16"/>
          <w:szCs w:val="16"/>
          <w:color w:val="auto"/>
        </w:rPr>
      </w:pPr>
    </w:p>
    <w:p>
      <w:pPr>
        <w:ind w:left="1700" w:hanging="208"/>
        <w:spacing w:after="0"/>
        <w:tabs>
          <w:tab w:leader="none" w:pos="17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Such Cash Right shall expire no later than the Non-Qualified Option to which it is attached.</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2"/>
          <w:numId w:val="39"/>
        </w:numPr>
        <w:rPr>
          <w:rFonts w:ascii="Arial" w:cs="Arial" w:eastAsia="Arial" w:hAnsi="Arial"/>
          <w:sz w:val="15"/>
          <w:szCs w:val="15"/>
          <w:color w:val="auto"/>
        </w:rPr>
      </w:pPr>
      <w:r>
        <w:rPr>
          <w:rFonts w:ascii="Arial" w:cs="Arial" w:eastAsia="Arial" w:hAnsi="Arial"/>
          <w:sz w:val="15"/>
          <w:szCs w:val="15"/>
          <w:color w:val="auto"/>
        </w:rPr>
        <w:t>Such Cash Right shall provide for the cash payment of such amount per Share as shall be determined by the Committee and stated in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option document.</w:t>
      </w:r>
    </w:p>
    <w:p>
      <w:pPr>
        <w:spacing w:after="0" w:line="164" w:lineRule="exact"/>
        <w:rPr>
          <w:rFonts w:ascii="Arial" w:cs="Arial" w:eastAsia="Arial" w:hAnsi="Arial"/>
          <w:sz w:val="15"/>
          <w:szCs w:val="15"/>
          <w:color w:val="auto"/>
        </w:rPr>
      </w:pPr>
    </w:p>
    <w:p>
      <w:pPr>
        <w:ind w:left="1800" w:hanging="308"/>
        <w:spacing w:after="0"/>
        <w:tabs>
          <w:tab w:leader="none" w:pos="1800" w:val="left"/>
        </w:tabs>
        <w:numPr>
          <w:ilvl w:val="2"/>
          <w:numId w:val="39"/>
        </w:numPr>
        <w:rPr>
          <w:rFonts w:ascii="Arial" w:cs="Arial" w:eastAsia="Arial" w:hAnsi="Arial"/>
          <w:sz w:val="16"/>
          <w:szCs w:val="16"/>
          <w:color w:val="auto"/>
        </w:rPr>
      </w:pPr>
      <w:r>
        <w:rPr>
          <w:rFonts w:ascii="Arial" w:cs="Arial" w:eastAsia="Arial" w:hAnsi="Arial"/>
          <w:sz w:val="16"/>
          <w:szCs w:val="16"/>
          <w:color w:val="auto"/>
        </w:rPr>
        <w:t>Such Cash Right shall be subject to the same restrictions on transferability as the Non-Qualified Option to which it is attached.</w:t>
      </w:r>
    </w:p>
    <w:p>
      <w:pPr>
        <w:spacing w:after="0" w:line="194" w:lineRule="exact"/>
        <w:rPr>
          <w:rFonts w:ascii="Arial" w:cs="Arial" w:eastAsia="Arial" w:hAnsi="Arial"/>
          <w:sz w:val="16"/>
          <w:szCs w:val="16"/>
          <w:color w:val="auto"/>
        </w:rPr>
      </w:pPr>
    </w:p>
    <w:p>
      <w:pPr>
        <w:ind w:right="160" w:firstLine="1492"/>
        <w:spacing w:after="0" w:line="268" w:lineRule="auto"/>
        <w:tabs>
          <w:tab w:leader="none" w:pos="1781" w:val="left"/>
        </w:tabs>
        <w:numPr>
          <w:ilvl w:val="2"/>
          <w:numId w:val="39"/>
        </w:numPr>
        <w:rPr>
          <w:rFonts w:ascii="Arial" w:cs="Arial" w:eastAsia="Arial" w:hAnsi="Arial"/>
          <w:sz w:val="18"/>
          <w:szCs w:val="18"/>
          <w:color w:val="auto"/>
        </w:rPr>
      </w:pPr>
      <w:r>
        <w:rPr>
          <w:rFonts w:ascii="Arial" w:cs="Arial" w:eastAsia="Arial" w:hAnsi="Arial"/>
          <w:sz w:val="18"/>
          <w:szCs w:val="18"/>
          <w:color w:val="auto"/>
        </w:rPr>
        <w:t>Such Cash Right shall be exercisable only when such conditions to exercise as shall be determined by the Committee and stated in the option document, if any, have been satisfied.</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Such Cash Right shall expire upon the exercise of the Non-Qualified Option to which it is attached.</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2"/>
          <w:numId w:val="39"/>
        </w:numPr>
        <w:rPr>
          <w:rFonts w:ascii="Arial" w:cs="Arial" w:eastAsia="Arial" w:hAnsi="Arial"/>
          <w:sz w:val="16"/>
          <w:szCs w:val="16"/>
          <w:color w:val="auto"/>
        </w:rPr>
      </w:pPr>
      <w:r>
        <w:rPr>
          <w:rFonts w:ascii="Arial" w:cs="Arial" w:eastAsia="Arial" w:hAnsi="Arial"/>
          <w:sz w:val="16"/>
          <w:szCs w:val="16"/>
          <w:color w:val="auto"/>
        </w:rPr>
        <w:t>Upon exercise of a Cash Right that is attached to a Non-Qualified Option, the Option to which the Cash Right is attached shall expire.</w:t>
      </w:r>
    </w:p>
    <w:p>
      <w:pPr>
        <w:spacing w:after="0" w:line="309"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Exercise of Incentive Stock Options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234"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Shareholders</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41" w:name="page42"/>
    <w:bookmarkEnd w:id="41"/>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number of Shares in respect of which the Option was exercised and the Optionee shall have made arrangements acceptable to the Sponsor for the payment of applicable taxes consistent with Paragraph 15.</w:t>
      </w:r>
    </w:p>
    <w:p>
      <w:pPr>
        <w:spacing w:after="0" w:line="248"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96"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234"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96" w:lineRule="exact"/>
        <w:rPr>
          <w:rFonts w:ascii="Arial" w:cs="Arial" w:eastAsia="Arial" w:hAnsi="Arial"/>
          <w:sz w:val="18"/>
          <w:szCs w:val="18"/>
          <w:b w:val="1"/>
          <w:bCs w:val="1"/>
          <w:color w:val="auto"/>
        </w:rPr>
      </w:pPr>
    </w:p>
    <w:p>
      <w:pPr>
        <w:ind w:firstLine="921"/>
        <w:spacing w:after="0" w:line="291" w:lineRule="auto"/>
        <w:tabs>
          <w:tab w:leader="none" w:pos="1152"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Arial" w:cs="Arial" w:eastAsia="Arial" w:hAnsi="Arial"/>
          <w:sz w:val="16"/>
          <w:szCs w:val="16"/>
          <w:u w:val="single" w:color="auto"/>
          <w:color w:val="auto"/>
        </w:rPr>
        <w:t>provided that</w:t>
      </w:r>
      <w:r>
        <w:rPr>
          <w:rFonts w:ascii="Arial" w:cs="Arial" w:eastAsia="Arial" w:hAnsi="Arial"/>
          <w:sz w:val="16"/>
          <w:szCs w:val="16"/>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120" w:lineRule="exact"/>
        <w:rPr>
          <w:rFonts w:ascii="Arial" w:cs="Arial" w:eastAsia="Arial" w:hAnsi="Arial"/>
          <w:sz w:val="16"/>
          <w:szCs w:val="16"/>
          <w:color w:val="auto"/>
        </w:rPr>
      </w:pPr>
    </w:p>
    <w:p>
      <w:pPr>
        <w:ind w:firstLine="921"/>
        <w:spacing w:after="0" w:line="268" w:lineRule="auto"/>
        <w:tabs>
          <w:tab w:leader="none" w:pos="1162"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247"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42" w:name="page43"/>
    <w:bookmarkEnd w:id="42"/>
    <w:p>
      <w:pPr>
        <w:ind w:left="860" w:hanging="446"/>
        <w:spacing w:after="0"/>
        <w:tabs>
          <w:tab w:leader="none" w:pos="8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w:t>
      </w:r>
    </w:p>
    <w:p>
      <w:pPr>
        <w:spacing w:after="0" w:line="96" w:lineRule="exact"/>
        <w:rPr>
          <w:rFonts w:ascii="Arial" w:cs="Arial" w:eastAsia="Arial" w:hAnsi="Arial"/>
          <w:sz w:val="18"/>
          <w:szCs w:val="18"/>
          <w:b w:val="1"/>
          <w:bCs w:val="1"/>
          <w:color w:val="auto"/>
        </w:rPr>
      </w:pPr>
    </w:p>
    <w:p>
      <w:pPr>
        <w:ind w:left="-40" w:right="20" w:firstLine="921"/>
        <w:spacing w:after="0" w:line="290" w:lineRule="auto"/>
        <w:tabs>
          <w:tab w:leader="none" w:pos="1112"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118" w:lineRule="exact"/>
        <w:rPr>
          <w:rFonts w:ascii="Arial" w:cs="Arial" w:eastAsia="Arial" w:hAnsi="Arial"/>
          <w:sz w:val="16"/>
          <w:szCs w:val="16"/>
          <w:color w:val="auto"/>
        </w:rPr>
      </w:pPr>
    </w:p>
    <w:p>
      <w:pPr>
        <w:ind w:left="-40" w:right="80" w:firstLine="921"/>
        <w:spacing w:after="0" w:line="256" w:lineRule="auto"/>
        <w:tabs>
          <w:tab w:leader="none" w:pos="1121"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Repricing of Options</w:t>
      </w:r>
      <w:r>
        <w:rPr>
          <w:rFonts w:ascii="Arial" w:cs="Arial" w:eastAsia="Arial" w:hAnsi="Arial"/>
          <w:sz w:val="18"/>
          <w:szCs w:val="18"/>
          <w:color w:val="auto"/>
        </w:rPr>
        <w:t>. Notwithstanding any 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258" w:lineRule="exact"/>
        <w:rPr>
          <w:rFonts w:ascii="Arial" w:cs="Arial" w:eastAsia="Arial" w:hAnsi="Arial"/>
          <w:sz w:val="18"/>
          <w:szCs w:val="18"/>
          <w:color w:val="auto"/>
        </w:rPr>
      </w:pPr>
    </w:p>
    <w:p>
      <w:pPr>
        <w:ind w:left="860" w:hanging="446"/>
        <w:spacing w:after="0"/>
        <w:tabs>
          <w:tab w:leader="none" w:pos="8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w:t>
      </w:r>
    </w:p>
    <w:p>
      <w:pPr>
        <w:spacing w:after="0" w:line="96" w:lineRule="exact"/>
        <w:rPr>
          <w:rFonts w:ascii="Arial" w:cs="Arial" w:eastAsia="Arial" w:hAnsi="Arial"/>
          <w:sz w:val="18"/>
          <w:szCs w:val="18"/>
          <w:b w:val="1"/>
          <w:bCs w:val="1"/>
          <w:color w:val="auto"/>
        </w:rPr>
      </w:pPr>
    </w:p>
    <w:p>
      <w:pPr>
        <w:ind w:left="-40" w:right="480" w:firstLine="921"/>
        <w:spacing w:after="0" w:line="259" w:lineRule="auto"/>
        <w:tabs>
          <w:tab w:leader="none" w:pos="1112"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40" w:lineRule="exact"/>
        <w:rPr>
          <w:rFonts w:ascii="Arial" w:cs="Arial" w:eastAsia="Arial" w:hAnsi="Arial"/>
          <w:sz w:val="18"/>
          <w:szCs w:val="18"/>
          <w:color w:val="auto"/>
        </w:rPr>
      </w:pPr>
    </w:p>
    <w:p>
      <w:pPr>
        <w:jc w:val="both"/>
        <w:ind w:left="-40" w:right="180" w:firstLine="921"/>
        <w:spacing w:after="0" w:line="259" w:lineRule="auto"/>
        <w:tabs>
          <w:tab w:leader="none" w:pos="1121"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Acknowledgment of Securities Law Restrictions on Exercise</w:t>
      </w:r>
      <w:r>
        <w:rPr>
          <w:rFonts w:ascii="Arial" w:cs="Arial" w:eastAsia="Arial" w:hAnsi="Arial"/>
          <w:sz w:val="18"/>
          <w:szCs w:val="18"/>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40" w:lineRule="exact"/>
        <w:rPr>
          <w:rFonts w:ascii="Arial" w:cs="Arial" w:eastAsia="Arial" w:hAnsi="Arial"/>
          <w:sz w:val="18"/>
          <w:szCs w:val="18"/>
          <w:color w:val="auto"/>
        </w:rPr>
      </w:pPr>
    </w:p>
    <w:p>
      <w:pPr>
        <w:ind w:left="-40" w:right="180" w:firstLine="1492"/>
        <w:spacing w:after="0" w:line="332" w:lineRule="auto"/>
        <w:tabs>
          <w:tab w:leader="none" w:pos="1653" w:val="left"/>
        </w:tabs>
        <w:numPr>
          <w:ilvl w:val="2"/>
          <w:numId w:val="44"/>
        </w:numPr>
        <w:rPr>
          <w:rFonts w:ascii="Arial" w:cs="Arial" w:eastAsia="Arial" w:hAnsi="Arial"/>
          <w:sz w:val="16"/>
          <w:szCs w:val="16"/>
          <w:color w:val="auto"/>
        </w:rPr>
      </w:pPr>
      <w:r>
        <w:rPr>
          <w:rFonts w:ascii="Arial" w:cs="Arial" w:eastAsia="Arial" w:hAnsi="Arial"/>
          <w:sz w:val="16"/>
          <w:szCs w:val="16"/>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85" w:lineRule="exact"/>
        <w:rPr>
          <w:rFonts w:ascii="Arial" w:cs="Arial" w:eastAsia="Arial" w:hAnsi="Arial"/>
          <w:sz w:val="16"/>
          <w:szCs w:val="16"/>
          <w:color w:val="auto"/>
        </w:rPr>
      </w:pPr>
    </w:p>
    <w:p>
      <w:pPr>
        <w:jc w:val="both"/>
        <w:ind w:left="-40" w:firstLine="1492"/>
        <w:spacing w:after="0" w:line="256" w:lineRule="auto"/>
        <w:tabs>
          <w:tab w:leader="none" w:pos="1702"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43" w:lineRule="exact"/>
        <w:rPr>
          <w:rFonts w:ascii="Arial" w:cs="Arial" w:eastAsia="Arial" w:hAnsi="Arial"/>
          <w:sz w:val="18"/>
          <w:szCs w:val="18"/>
          <w:color w:val="auto"/>
        </w:rPr>
      </w:pPr>
    </w:p>
    <w:p>
      <w:pPr>
        <w:ind w:left="1760" w:hanging="308"/>
        <w:spacing w:after="0"/>
        <w:tabs>
          <w:tab w:leader="none" w:pos="176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certificate evidencing the Shares may bear a restrictive legend;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80" w:top="274" w:right="279" w:bottom="1440" w:gutter="0" w:footer="0" w:header="0"/>
        </w:sectPr>
      </w:pPr>
    </w:p>
    <w:bookmarkStart w:id="43" w:name="page44"/>
    <w:bookmarkEnd w:id="43"/>
    <w:p>
      <w:pPr>
        <w:ind w:left="1740" w:hanging="288"/>
        <w:spacing w:after="0"/>
        <w:tabs>
          <w:tab w:leader="none" w:pos="1740" w:val="left"/>
        </w:tabs>
        <w:numPr>
          <w:ilvl w:val="2"/>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Shares subject to the Option may not be transferred without compliance with all applicable federal and state securities laws.</w:t>
      </w:r>
    </w:p>
    <w:p>
      <w:pPr>
        <w:spacing w:after="0" w:line="194" w:lineRule="exact"/>
        <w:rPr>
          <w:rFonts w:ascii="Arial" w:cs="Arial" w:eastAsia="Arial" w:hAnsi="Arial"/>
          <w:sz w:val="16"/>
          <w:szCs w:val="16"/>
          <w:color w:val="auto"/>
        </w:rPr>
      </w:pPr>
    </w:p>
    <w:p>
      <w:pPr>
        <w:ind w:left="-40" w:right="60" w:firstLine="921"/>
        <w:spacing w:after="0" w:line="255" w:lineRule="auto"/>
        <w:tabs>
          <w:tab w:leader="none" w:pos="1112"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Delay of Exercise Pending Registration of Securities</w:t>
      </w:r>
      <w:r>
        <w:rPr>
          <w:rFonts w:ascii="Arial" w:cs="Arial" w:eastAsia="Arial" w:hAnsi="Arial"/>
          <w:sz w:val="18"/>
          <w:szCs w:val="18"/>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258" w:lineRule="exact"/>
        <w:rPr>
          <w:rFonts w:ascii="Arial" w:cs="Arial" w:eastAsia="Arial" w:hAnsi="Arial"/>
          <w:sz w:val="18"/>
          <w:szCs w:val="18"/>
          <w:color w:val="auto"/>
        </w:rPr>
      </w:pPr>
    </w:p>
    <w:p>
      <w:pPr>
        <w:ind w:left="860" w:hanging="446"/>
        <w:spacing w:after="0"/>
        <w:tabs>
          <w:tab w:leader="none" w:pos="8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 on Exercise of Option</w:t>
      </w:r>
    </w:p>
    <w:p>
      <w:pPr>
        <w:spacing w:after="0" w:line="96" w:lineRule="exact"/>
        <w:rPr>
          <w:rFonts w:ascii="Arial" w:cs="Arial" w:eastAsia="Arial" w:hAnsi="Arial"/>
          <w:sz w:val="18"/>
          <w:szCs w:val="18"/>
          <w:b w:val="1"/>
          <w:bCs w:val="1"/>
          <w:color w:val="auto"/>
        </w:rPr>
      </w:pPr>
    </w:p>
    <w:p>
      <w:pPr>
        <w:ind w:left="-40" w:right="40" w:firstLine="921"/>
        <w:spacing w:after="0" w:line="290" w:lineRule="auto"/>
        <w:tabs>
          <w:tab w:leader="none" w:pos="1108" w:val="left"/>
        </w:tabs>
        <w:numPr>
          <w:ilvl w:val="1"/>
          <w:numId w:val="47"/>
        </w:numPr>
        <w:rPr>
          <w:rFonts w:ascii="Arial" w:cs="Arial" w:eastAsia="Arial" w:hAnsi="Arial"/>
          <w:sz w:val="16"/>
          <w:szCs w:val="16"/>
          <w:color w:val="auto"/>
        </w:rPr>
      </w:pPr>
      <w:r>
        <w:rPr>
          <w:rFonts w:ascii="Arial" w:cs="Arial" w:eastAsia="Arial" w:hAnsi="Arial"/>
          <w:sz w:val="16"/>
          <w:szCs w:val="16"/>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18" w:lineRule="exact"/>
        <w:rPr>
          <w:rFonts w:ascii="Arial" w:cs="Arial" w:eastAsia="Arial" w:hAnsi="Arial"/>
          <w:sz w:val="16"/>
          <w:szCs w:val="16"/>
          <w:color w:val="auto"/>
        </w:rPr>
      </w:pPr>
    </w:p>
    <w:p>
      <w:pPr>
        <w:ind w:left="-40" w:firstLine="921"/>
        <w:spacing w:after="0" w:line="286" w:lineRule="auto"/>
        <w:tabs>
          <w:tab w:leader="none" w:pos="1122" w:val="left"/>
        </w:tabs>
        <w:numPr>
          <w:ilvl w:val="1"/>
          <w:numId w:val="47"/>
        </w:numPr>
        <w:rPr>
          <w:rFonts w:ascii="Arial" w:cs="Arial" w:eastAsia="Arial" w:hAnsi="Arial"/>
          <w:sz w:val="16"/>
          <w:szCs w:val="16"/>
          <w:color w:val="auto"/>
        </w:rPr>
      </w:pPr>
      <w:r>
        <w:rPr>
          <w:rFonts w:ascii="Arial" w:cs="Arial" w:eastAsia="Arial" w:hAnsi="Arial"/>
          <w:sz w:val="16"/>
          <w:szCs w:val="16"/>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Shares withheld pursuant to this Paragraph 15(b) up to the minimum amount of taxes required 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80" w:top="280" w:right="279" w:bottom="1440" w:gutter="0" w:footer="0" w:header="0"/>
        </w:sectPr>
      </w:pPr>
    </w:p>
    <w:bookmarkStart w:id="44" w:name="page45"/>
    <w:bookmarkEnd w:id="44"/>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withheld by the Sponsor under applicable law shall not be treated as having been issued under the Plan and shall continue to be available for subsequent grants under the Plan. Shares withheld pursuant to this Paragraph 15(b) in excess of the number of Shares described in the immediately preceding sentence shall not be available for subsequent grants under the Plan. The Committee may add such other requirements and limitations regarding elections pursuant to this Paragraph 15(b) as it deems appropriate.</w:t>
      </w:r>
    </w:p>
    <w:p>
      <w:pPr>
        <w:spacing w:after="0" w:line="143" w:lineRule="exact"/>
        <w:rPr>
          <w:sz w:val="20"/>
          <w:szCs w:val="20"/>
          <w:color w:val="auto"/>
        </w:rPr>
      </w:pPr>
    </w:p>
    <w:p>
      <w:pPr>
        <w:ind w:firstLine="921"/>
        <w:spacing w:after="0" w:line="286" w:lineRule="auto"/>
        <w:tabs>
          <w:tab w:leader="none" w:pos="1152" w:val="left"/>
        </w:tabs>
        <w:numPr>
          <w:ilvl w:val="1"/>
          <w:numId w:val="48"/>
        </w:numPr>
        <w:rPr>
          <w:rFonts w:ascii="Arial" w:cs="Arial" w:eastAsia="Arial" w:hAnsi="Arial"/>
          <w:sz w:val="16"/>
          <w:szCs w:val="16"/>
          <w:color w:val="auto"/>
        </w:rPr>
      </w:pPr>
      <w:r>
        <w:rPr>
          <w:rFonts w:ascii="Arial" w:cs="Arial" w:eastAsia="Arial" w:hAnsi="Arial"/>
          <w:sz w:val="16"/>
          <w:szCs w:val="16"/>
          <w:color w:val="auto"/>
        </w:rPr>
        <w:t>Except as otherwise provided in this Paragraph 15(c),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Shares withheld pursuant to this Paragraph 15(c) up to the minimum amount of taxes required to be withheld by the Sponsor under applicable law shall not be treated as having been issued under the Plan and shall continue to be available for subsequent grants under the Plan. Shares withheld pursuant to this Paragraph 15(c) in excess of the number of Shares described in the immediately preceding sentence shall not be available for subsequent grants under the Plan. The Committee may add such other requirements and limitations regarding elections pursuant to this Paragraph 15(c) as it deems appropriate.</w:t>
      </w:r>
    </w:p>
    <w:p>
      <w:pPr>
        <w:spacing w:after="0" w:line="242" w:lineRule="exact"/>
        <w:rPr>
          <w:rFonts w:ascii="Arial" w:cs="Arial" w:eastAsia="Arial" w:hAnsi="Arial"/>
          <w:sz w:val="16"/>
          <w:szCs w:val="16"/>
          <w:color w:val="auto"/>
        </w:rPr>
      </w:pPr>
    </w:p>
    <w:p>
      <w:pPr>
        <w:ind w:left="900" w:hanging="446"/>
        <w:spacing w:after="0"/>
        <w:tabs>
          <w:tab w:leader="none" w:pos="9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96"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This amendment and restatement of the Plan shall be effective February 12, 2008. The Plan shall expire on February 25, 2013, unless sooner terminated by the Board, provided that subject to the approval of the Sponsor’s shareholders at the 2008 Annual Meeting, the expiration date of the Plan shall be extended from February 25, 2013 to the day before the tenth anniversary of the 2008 Annual Meeting, unless sooner terminated by the Board.</w:t>
      </w:r>
    </w:p>
    <w:p>
      <w:pPr>
        <w:spacing w:after="0" w:line="222"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Executed as of the 24</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of March, 2008.</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COMCAST CORPORATION</w:t>
      </w:r>
    </w:p>
    <w:p>
      <w:pPr>
        <w:spacing w:after="0" w:line="254"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Attest: </w:t>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10795</wp:posOffset>
            </wp:positionV>
            <wp:extent cx="25469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019"/>
          </w:cols>
          <w:pgMar w:left="1440" w:top="307"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RESTRICTED STOCK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March 24, 2008)</w:t>
      </w:r>
    </w:p>
    <w:p>
      <w:pPr>
        <w:spacing w:after="0" w:line="218"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BACKGROUND AND PURPOSE</w:t>
      </w:r>
    </w:p>
    <w:p>
      <w:pPr>
        <w:spacing w:after="0" w:line="90" w:lineRule="exact"/>
        <w:rPr>
          <w:rFonts w:ascii="Arial" w:cs="Arial" w:eastAsia="Arial" w:hAnsi="Arial"/>
          <w:sz w:val="18"/>
          <w:szCs w:val="18"/>
          <w:color w:val="auto"/>
        </w:rPr>
      </w:pPr>
    </w:p>
    <w:p>
      <w:pPr>
        <w:jc w:val="both"/>
        <w:ind w:right="440" w:firstLine="921"/>
        <w:spacing w:after="0" w:line="256" w:lineRule="auto"/>
        <w:tabs>
          <w:tab w:leader="none" w:pos="1152"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Plan</w:t>
      </w:r>
      <w:r>
        <w:rPr>
          <w:rFonts w:ascii="Arial" w:cs="Arial" w:eastAsia="Arial" w:hAnsi="Arial"/>
          <w:sz w:val="18"/>
          <w:szCs w:val="18"/>
          <w:color w:val="auto"/>
        </w:rPr>
        <w:t>. COMCAST CORPORATION, a Pennsylvania corporation, hereby amends and restates the Comcast Corporation 2002 Restricted Stock Plan (the “Plan”), effective March 24, 2008.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143" w:lineRule="exact"/>
        <w:rPr>
          <w:rFonts w:ascii="Arial" w:cs="Arial" w:eastAsia="Arial" w:hAnsi="Arial"/>
          <w:sz w:val="18"/>
          <w:szCs w:val="18"/>
          <w:color w:val="auto"/>
        </w:rPr>
      </w:pPr>
    </w:p>
    <w:p>
      <w:pPr>
        <w:ind w:right="40" w:firstLine="921"/>
        <w:spacing w:after="0" w:line="289" w:lineRule="auto"/>
        <w:tabs>
          <w:tab w:leader="none" w:pos="1161"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Purpose of the Amendment; Credits Affected</w:t>
      </w:r>
      <w:r>
        <w:rPr>
          <w:rFonts w:ascii="Arial" w:cs="Arial" w:eastAsia="Arial" w:hAnsi="Arial"/>
          <w:sz w:val="16"/>
          <w:szCs w:val="16"/>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Except as provided in Paragraph 8(i)(iii) of the Plan,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118" w:lineRule="exact"/>
        <w:rPr>
          <w:rFonts w:ascii="Arial" w:cs="Arial" w:eastAsia="Arial" w:hAnsi="Arial"/>
          <w:sz w:val="16"/>
          <w:szCs w:val="16"/>
          <w:color w:val="auto"/>
        </w:rPr>
      </w:pPr>
    </w:p>
    <w:p>
      <w:pPr>
        <w:ind w:right="20" w:firstLine="921"/>
        <w:spacing w:after="0" w:line="259" w:lineRule="auto"/>
        <w:tabs>
          <w:tab w:leader="none" w:pos="1152"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140" w:lineRule="exact"/>
        <w:rPr>
          <w:rFonts w:ascii="Arial" w:cs="Arial" w:eastAsia="Arial" w:hAnsi="Arial"/>
          <w:sz w:val="18"/>
          <w:szCs w:val="18"/>
          <w:color w:val="auto"/>
        </w:rPr>
      </w:pPr>
    </w:p>
    <w:p>
      <w:pPr>
        <w:ind w:right="60" w:firstLine="921"/>
        <w:spacing w:after="0" w:line="294" w:lineRule="auto"/>
        <w:tabs>
          <w:tab w:leader="none" w:pos="1161"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Deferral Provisions of Plan Unfunded and Limited to Select Group of Management or Highly Compensated Employees.</w:t>
      </w:r>
      <w:r>
        <w:rPr>
          <w:rFonts w:ascii="Arial" w:cs="Arial" w:eastAsia="Arial" w:hAnsi="Arial"/>
          <w:sz w:val="16"/>
          <w:szCs w:val="16"/>
          <w:color w:val="auto"/>
        </w:rPr>
        <w:t xml:space="preserve">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ectPr>
          <w:pgSz w:w="11900" w:h="16838" w:orient="portrait"/>
          <w:cols w:equalWidth="0" w:num="1">
            <w:col w:w="11420"/>
          </w:cols>
          <w:pgMar w:left="240" w:top="125" w:right="239" w:bottom="1440" w:gutter="0" w:footer="0" w:header="0"/>
        </w:sectPr>
      </w:pPr>
    </w:p>
    <w:bookmarkStart w:id="47" w:name="page48"/>
    <w:bookmarkEnd w:id="47"/>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DEFINITIONS</w:t>
      </w:r>
    </w:p>
    <w:p>
      <w:pPr>
        <w:spacing w:after="0" w:line="90" w:lineRule="exact"/>
        <w:rPr>
          <w:rFonts w:ascii="Arial" w:cs="Arial" w:eastAsia="Arial" w:hAnsi="Arial"/>
          <w:sz w:val="18"/>
          <w:szCs w:val="18"/>
          <w:color w:val="auto"/>
        </w:rPr>
      </w:pPr>
    </w:p>
    <w:p>
      <w:pPr>
        <w:ind w:left="-8" w:right="160" w:firstLine="921"/>
        <w:spacing w:after="0" w:line="332" w:lineRule="auto"/>
        <w:tabs>
          <w:tab w:leader="none" w:pos="1144" w:val="left"/>
        </w:tabs>
        <w:numPr>
          <w:ilvl w:val="1"/>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Acceleration Election</w:t>
      </w:r>
      <w:r>
        <w:rPr>
          <w:rFonts w:ascii="Arial" w:cs="Arial" w:eastAsia="Arial" w:hAnsi="Arial"/>
          <w:sz w:val="16"/>
          <w:szCs w:val="16"/>
          <w:color w:val="auto"/>
        </w:rPr>
        <w:t>” means a written election on a form provided by the Committee, pursuant to which a Deceased Grantee’s Successor-in-Interest or a Disabled Grantee elects to accelerate the distribution date of Shares issuable with respect to Restricted Stock and/or Restricted Stock Units.</w:t>
      </w:r>
    </w:p>
    <w:p>
      <w:pPr>
        <w:spacing w:after="0" w:line="85" w:lineRule="exact"/>
        <w:rPr>
          <w:rFonts w:ascii="Arial" w:cs="Arial" w:eastAsia="Arial" w:hAnsi="Arial"/>
          <w:sz w:val="16"/>
          <w:szCs w:val="16"/>
          <w:color w:val="auto"/>
        </w:rPr>
      </w:pPr>
    </w:p>
    <w:p>
      <w:pPr>
        <w:ind w:left="-8" w:right="60" w:firstLine="921"/>
        <w:spacing w:after="0" w:line="335" w:lineRule="auto"/>
        <w:tabs>
          <w:tab w:leader="none" w:pos="1154" w:val="left"/>
        </w:tabs>
        <w:numPr>
          <w:ilvl w:val="1"/>
          <w:numId w:val="5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Account</w:t>
      </w:r>
      <w:r>
        <w:rPr>
          <w:rFonts w:ascii="Arial" w:cs="Arial" w:eastAsia="Arial" w:hAnsi="Arial"/>
          <w:sz w:val="15"/>
          <w:szCs w:val="15"/>
          <w:color w:val="auto"/>
        </w:rPr>
        <w:t>” means unfunded bookkeeping accounts established pursuant to Paragraph 8(h) and maintained by the Committee in the names of the respective Grantees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Plan.</w:t>
      </w:r>
    </w:p>
    <w:p>
      <w:pPr>
        <w:spacing w:after="0" w:line="88" w:lineRule="exact"/>
        <w:rPr>
          <w:rFonts w:ascii="Arial" w:cs="Arial" w:eastAsia="Arial" w:hAnsi="Arial"/>
          <w:sz w:val="15"/>
          <w:szCs w:val="15"/>
          <w:color w:val="auto"/>
        </w:rPr>
      </w:pPr>
    </w:p>
    <w:p>
      <w:pPr>
        <w:ind w:left="1152" w:hanging="239"/>
        <w:spacing w:after="0"/>
        <w:tabs>
          <w:tab w:leader="none" w:pos="1152"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171" w:lineRule="exact"/>
        <w:rPr>
          <w:rFonts w:ascii="Arial" w:cs="Arial" w:eastAsia="Arial" w:hAnsi="Arial"/>
          <w:sz w:val="18"/>
          <w:szCs w:val="18"/>
          <w:color w:val="auto"/>
        </w:rPr>
      </w:pPr>
    </w:p>
    <w:p>
      <w:pPr>
        <w:jc w:val="both"/>
        <w:ind w:left="-8" w:right="120" w:firstLine="921"/>
        <w:spacing w:after="0" w:line="256" w:lineRule="auto"/>
        <w:tabs>
          <w:tab w:leader="none" w:pos="1154"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left="-8" w:right="80" w:firstLine="921"/>
        <w:spacing w:after="0" w:line="268" w:lineRule="auto"/>
        <w:tabs>
          <w:tab w:leader="none" w:pos="1144"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31" w:lineRule="exact"/>
        <w:rPr>
          <w:rFonts w:ascii="Arial" w:cs="Arial" w:eastAsia="Arial" w:hAnsi="Arial"/>
          <w:sz w:val="18"/>
          <w:szCs w:val="18"/>
          <w:color w:val="auto"/>
        </w:rPr>
      </w:pPr>
    </w:p>
    <w:p>
      <w:pPr>
        <w:ind w:left="1132" w:hanging="219"/>
        <w:spacing w:after="0"/>
        <w:tabs>
          <w:tab w:leader="none" w:pos="1132"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63" w:lineRule="exact"/>
        <w:rPr>
          <w:rFonts w:ascii="Arial" w:cs="Arial" w:eastAsia="Arial" w:hAnsi="Arial"/>
          <w:sz w:val="18"/>
          <w:szCs w:val="18"/>
          <w:color w:val="auto"/>
        </w:rPr>
      </w:pPr>
    </w:p>
    <w:p>
      <w:pPr>
        <w:ind w:left="1912" w:hanging="440"/>
        <w:spacing w:after="0" w:line="235" w:lineRule="auto"/>
        <w:tabs>
          <w:tab w:leader="none" w:pos="1912" w:val="left"/>
        </w:tabs>
        <w:numPr>
          <w:ilvl w:val="2"/>
          <w:numId w:val="52"/>
        </w:numPr>
        <w:rPr>
          <w:rFonts w:ascii="Arial" w:cs="Arial" w:eastAsia="Arial" w:hAnsi="Arial"/>
          <w:sz w:val="18"/>
          <w:szCs w:val="18"/>
          <w:color w:val="auto"/>
        </w:rPr>
      </w:pPr>
      <w:r>
        <w:rPr>
          <w:rFonts w:ascii="Arial" w:cs="Arial" w:eastAsia="Arial" w:hAnsi="Arial"/>
          <w:sz w:val="18"/>
          <w:szCs w:val="18"/>
          <w:color w:val="auto"/>
        </w:rPr>
        <w:t>Except as otherwise provided in Paragraph 2(f)(ii), the Applicable Interest Rate means the interest rate that, when compounded annually pursuant to rules established by the Committee from time to time, is mathematically equivalent to 8% per annum, compounded annually, or such other interest rate established by the Committee from time to time. The effective date of any reduction in the Applicable Interest Rate shall not precede the later of: (A)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date of the Committee’s action to establish a reduced rate; or (B) the lapse of 24 full calendar months from the date of the most recent adjustment of the Applicable Interest Rate by the Committee.</w:t>
      </w:r>
    </w:p>
    <w:p>
      <w:pPr>
        <w:spacing w:after="0" w:line="62" w:lineRule="exact"/>
        <w:rPr>
          <w:rFonts w:ascii="Arial" w:cs="Arial" w:eastAsia="Arial" w:hAnsi="Arial"/>
          <w:sz w:val="18"/>
          <w:szCs w:val="18"/>
          <w:color w:val="auto"/>
        </w:rPr>
      </w:pPr>
    </w:p>
    <w:p>
      <w:pPr>
        <w:ind w:left="1912" w:right="20" w:hanging="440"/>
        <w:spacing w:after="0" w:line="259" w:lineRule="auto"/>
        <w:tabs>
          <w:tab w:leader="none" w:pos="1912" w:val="left"/>
        </w:tabs>
        <w:numPr>
          <w:ilvl w:val="2"/>
          <w:numId w:val="52"/>
        </w:numPr>
        <w:rPr>
          <w:rFonts w:ascii="Arial" w:cs="Arial" w:eastAsia="Arial" w:hAnsi="Arial"/>
          <w:sz w:val="18"/>
          <w:szCs w:val="18"/>
          <w:color w:val="auto"/>
        </w:rPr>
      </w:pPr>
      <w:r>
        <w:rPr>
          <w:rFonts w:ascii="Arial" w:cs="Arial" w:eastAsia="Arial" w:hAnsi="Arial"/>
          <w:sz w:val="18"/>
          <w:szCs w:val="18"/>
          <w:color w:val="auto"/>
        </w:rPr>
        <w:t>Effective for the period extending from a Grantee’s employment termination date to the date the Grantee’s Account is distributed in full, the Committee, in its sole and absolute discretion, may designate the term “Applicable Interest Rate” for such Grantee’s Account to mean the lesser of: (A) the rate in effect under</w:t>
      </w:r>
    </w:p>
    <w:p>
      <w:pPr>
        <w:spacing w:after="0" w:line="12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32"/>
          </w:cols>
          <w:pgMar w:left="248" w:top="280" w:right="319" w:bottom="1440" w:gutter="0" w:footer="0" w:header="0"/>
        </w:sectPr>
      </w:pPr>
    </w:p>
    <w:bookmarkStart w:id="48" w:name="page49"/>
    <w:bookmarkEnd w:id="48"/>
    <w:p>
      <w:pPr>
        <w:ind w:left="1880"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Paragraph 2(f)(i)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2(f)(ii) to an officer of the Company or committee of two or more officers of the Company.</w:t>
      </w:r>
    </w:p>
    <w:p>
      <w:pPr>
        <w:spacing w:after="0" w:line="113" w:lineRule="exact"/>
        <w:rPr>
          <w:sz w:val="20"/>
          <w:szCs w:val="20"/>
          <w:color w:val="auto"/>
        </w:rPr>
      </w:pPr>
    </w:p>
    <w:p>
      <w:pPr>
        <w:ind w:left="-60" w:right="200" w:firstLine="921"/>
        <w:spacing w:after="0" w:line="268" w:lineRule="auto"/>
        <w:tabs>
          <w:tab w:leader="none" w:pos="1102"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Company.</w:t>
      </w:r>
    </w:p>
    <w:p>
      <w:pPr>
        <w:spacing w:after="0" w:line="131" w:lineRule="exact"/>
        <w:rPr>
          <w:rFonts w:ascii="Arial" w:cs="Arial" w:eastAsia="Arial" w:hAnsi="Arial"/>
          <w:sz w:val="18"/>
          <w:szCs w:val="18"/>
          <w:color w:val="auto"/>
        </w:rPr>
      </w:pPr>
    </w:p>
    <w:p>
      <w:pPr>
        <w:ind w:left="1100" w:hanging="239"/>
        <w:spacing w:after="0"/>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171" w:lineRule="exact"/>
        <w:rPr>
          <w:rFonts w:ascii="Arial" w:cs="Arial" w:eastAsia="Arial" w:hAnsi="Arial"/>
          <w:sz w:val="18"/>
          <w:szCs w:val="18"/>
          <w:color w:val="auto"/>
        </w:rPr>
      </w:pPr>
    </w:p>
    <w:p>
      <w:pPr>
        <w:ind w:left="1080" w:hanging="219"/>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1080" w:hanging="219"/>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860" w:hanging="440"/>
        <w:spacing w:after="0" w:line="255" w:lineRule="auto"/>
        <w:tabs>
          <w:tab w:leader="none" w:pos="18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For all purposes of the Plan other than Paragraph 8,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61" w:lineRule="exact"/>
        <w:rPr>
          <w:rFonts w:ascii="Arial" w:cs="Arial" w:eastAsia="Arial" w:hAnsi="Arial"/>
          <w:sz w:val="18"/>
          <w:szCs w:val="18"/>
          <w:color w:val="auto"/>
        </w:rPr>
      </w:pPr>
    </w:p>
    <w:p>
      <w:pPr>
        <w:ind w:left="1860" w:right="40" w:hanging="440"/>
        <w:spacing w:after="0" w:line="332" w:lineRule="auto"/>
        <w:tabs>
          <w:tab w:leader="none" w:pos="18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For purposes of Paragraph 8, any transaction or series of transactions that constitutes a change in the ownership or effective control or a change in the ownership of a substantial portion of the assets of the Company, within the meaning of Section 409A.</w:t>
      </w:r>
    </w:p>
    <w:p>
      <w:pPr>
        <w:spacing w:after="0" w:line="85" w:lineRule="exact"/>
        <w:rPr>
          <w:rFonts w:ascii="Arial" w:cs="Arial" w:eastAsia="Arial" w:hAnsi="Arial"/>
          <w:sz w:val="16"/>
          <w:szCs w:val="16"/>
          <w:color w:val="auto"/>
        </w:rPr>
      </w:pPr>
    </w:p>
    <w:p>
      <w:pPr>
        <w:ind w:left="1100" w:hanging="239"/>
        <w:spacing w:after="0"/>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jc w:val="both"/>
        <w:ind w:left="-60" w:right="120" w:firstLine="921"/>
        <w:spacing w:after="0" w:line="256" w:lineRule="auto"/>
        <w:tabs>
          <w:tab w:leader="none" w:pos="1063"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43" w:lineRule="exact"/>
        <w:rPr>
          <w:rFonts w:ascii="Arial" w:cs="Arial" w:eastAsia="Arial" w:hAnsi="Arial"/>
          <w:sz w:val="18"/>
          <w:szCs w:val="18"/>
          <w:color w:val="auto"/>
        </w:rPr>
      </w:pPr>
    </w:p>
    <w:p>
      <w:pPr>
        <w:ind w:left="1160" w:hanging="29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71" w:lineRule="exact"/>
        <w:rPr>
          <w:rFonts w:ascii="Arial" w:cs="Arial" w:eastAsia="Arial" w:hAnsi="Arial"/>
          <w:sz w:val="18"/>
          <w:szCs w:val="18"/>
          <w:color w:val="auto"/>
        </w:rPr>
      </w:pPr>
    </w:p>
    <w:p>
      <w:pPr>
        <w:ind w:left="1100" w:hanging="239"/>
        <w:spacing w:after="0"/>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280" w:right="279" w:bottom="1440" w:gutter="0" w:footer="0" w:header="0"/>
        </w:sectPr>
      </w:pPr>
    </w:p>
    <w:bookmarkStart w:id="49" w:name="page50"/>
    <w:bookmarkEnd w:id="49"/>
    <w:p>
      <w:pPr>
        <w:ind w:right="20" w:firstLine="921"/>
        <w:spacing w:after="0" w:line="268" w:lineRule="auto"/>
        <w:tabs>
          <w:tab w:leader="none" w:pos="1162"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firstLine="921"/>
        <w:spacing w:after="0" w:line="290" w:lineRule="auto"/>
        <w:tabs>
          <w:tab w:leader="none" w:pos="1162" w:val="left"/>
        </w:tabs>
        <w:numPr>
          <w:ilvl w:val="0"/>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920" w:right="80" w:hanging="440"/>
        <w:spacing w:after="0" w:line="268" w:lineRule="auto"/>
        <w:tabs>
          <w:tab w:leader="none" w:pos="1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(i) the date on which an Initial Election is filed with the Committee; and (ii) the first day of the calendar year in which such Initial Election filed.</w:t>
      </w:r>
    </w:p>
    <w:p>
      <w:pPr>
        <w:spacing w:after="0" w:line="50" w:lineRule="exact"/>
        <w:rPr>
          <w:rFonts w:ascii="Arial" w:cs="Arial" w:eastAsia="Arial" w:hAnsi="Arial"/>
          <w:sz w:val="18"/>
          <w:szCs w:val="18"/>
          <w:color w:val="auto"/>
        </w:rPr>
      </w:pPr>
    </w:p>
    <w:p>
      <w:pPr>
        <w:ind w:left="1920" w:right="560" w:hanging="440"/>
        <w:spacing w:after="0" w:line="332" w:lineRule="auto"/>
        <w:tabs>
          <w:tab w:leader="none" w:pos="19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 Eligible Employee whose Annual Rate of Pay is $125,000 as of each of: (A) June 30, 2002; (B) the date on which an Initial Election is filed with the Committee; and (C) the first day of each calendar year beginning after December 31, 2002.</w:t>
      </w:r>
    </w:p>
    <w:p>
      <w:pPr>
        <w:spacing w:after="0" w:line="4" w:lineRule="exact"/>
        <w:rPr>
          <w:rFonts w:ascii="Arial" w:cs="Arial" w:eastAsia="Arial" w:hAnsi="Arial"/>
          <w:sz w:val="16"/>
          <w:szCs w:val="16"/>
          <w:color w:val="auto"/>
        </w:rPr>
      </w:pPr>
    </w:p>
    <w:p>
      <w:pPr>
        <w:ind w:left="1920" w:hanging="440"/>
        <w:spacing w:after="0"/>
        <w:tabs>
          <w:tab w:leader="none" w:pos="1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90" w:lineRule="exact"/>
        <w:rPr>
          <w:rFonts w:ascii="Arial" w:cs="Arial" w:eastAsia="Arial" w:hAnsi="Arial"/>
          <w:sz w:val="18"/>
          <w:szCs w:val="18"/>
          <w:color w:val="auto"/>
        </w:rPr>
      </w:pPr>
    </w:p>
    <w:p>
      <w:pPr>
        <w:ind w:left="1920" w:right="20" w:hanging="440"/>
        <w:spacing w:after="0" w:line="268" w:lineRule="auto"/>
        <w:tabs>
          <w:tab w:leader="none" w:pos="1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0" w:name="page51"/>
    <w:bookmarkEnd w:id="50"/>
    <w:p>
      <w:pPr>
        <w:ind w:left="1000" w:hanging="239"/>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760" w:right="60" w:hanging="440"/>
        <w:spacing w:after="0" w:line="357" w:lineRule="auto"/>
        <w:tabs>
          <w:tab w:leader="none" w:pos="1760" w:val="left"/>
        </w:tabs>
        <w:numPr>
          <w:ilvl w:val="1"/>
          <w:numId w:val="55"/>
        </w:numPr>
        <w:rPr>
          <w:rFonts w:ascii="Arial" w:cs="Arial" w:eastAsia="Arial" w:hAnsi="Arial"/>
          <w:sz w:val="15"/>
          <w:szCs w:val="15"/>
          <w:color w:val="auto"/>
        </w:rPr>
      </w:pPr>
      <w:r>
        <w:rPr>
          <w:rFonts w:ascii="Arial" w:cs="Arial" w:eastAsia="Arial" w:hAnsi="Arial"/>
          <w:sz w:val="15"/>
          <w:szCs w:val="15"/>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ind w:left="1760" w:hanging="440"/>
        <w:spacing w:after="0" w:line="335" w:lineRule="auto"/>
        <w:tabs>
          <w:tab w:leader="none" w:pos="1760" w:val="left"/>
        </w:tabs>
        <w:numPr>
          <w:ilvl w:val="1"/>
          <w:numId w:val="55"/>
        </w:numPr>
        <w:rPr>
          <w:rFonts w:ascii="Arial" w:cs="Arial" w:eastAsia="Arial" w:hAnsi="Arial"/>
          <w:sz w:val="15"/>
          <w:szCs w:val="15"/>
          <w:color w:val="auto"/>
        </w:rPr>
      </w:pPr>
      <w:r>
        <w:rPr>
          <w:rFonts w:ascii="Arial" w:cs="Arial" w:eastAsia="Arial" w:hAnsi="Arial"/>
          <w:sz w:val="15"/>
          <w:szCs w:val="15"/>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88" w:lineRule="exact"/>
        <w:rPr>
          <w:rFonts w:ascii="Arial" w:cs="Arial" w:eastAsia="Arial" w:hAnsi="Arial"/>
          <w:sz w:val="15"/>
          <w:szCs w:val="15"/>
          <w:color w:val="auto"/>
        </w:rPr>
      </w:pPr>
    </w:p>
    <w:p>
      <w:pPr>
        <w:ind w:left="1000" w:hanging="239"/>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760" w:hanging="440"/>
        <w:spacing w:after="0"/>
        <w:tabs>
          <w:tab w:leader="none" w:pos="17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90" w:lineRule="exact"/>
        <w:rPr>
          <w:rFonts w:ascii="Arial" w:cs="Arial" w:eastAsia="Arial" w:hAnsi="Arial"/>
          <w:sz w:val="18"/>
          <w:szCs w:val="18"/>
          <w:color w:val="auto"/>
        </w:rPr>
      </w:pPr>
    </w:p>
    <w:p>
      <w:pPr>
        <w:ind w:left="1760" w:hanging="440"/>
        <w:spacing w:after="0"/>
        <w:tabs>
          <w:tab w:leader="none" w:pos="17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2(v)(i) acting on behalf of such individual.</w:t>
      </w:r>
    </w:p>
    <w:p>
      <w:pPr>
        <w:spacing w:after="0" w:line="171" w:lineRule="exact"/>
        <w:rPr>
          <w:rFonts w:ascii="Arial" w:cs="Arial" w:eastAsia="Arial" w:hAnsi="Arial"/>
          <w:sz w:val="18"/>
          <w:szCs w:val="18"/>
          <w:color w:val="auto"/>
        </w:rPr>
      </w:pPr>
    </w:p>
    <w:p>
      <w:pPr>
        <w:ind w:left="-160" w:right="120" w:firstLine="921"/>
        <w:spacing w:after="0" w:line="259"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140" w:lineRule="exact"/>
        <w:rPr>
          <w:rFonts w:ascii="Arial" w:cs="Arial" w:eastAsia="Arial" w:hAnsi="Arial"/>
          <w:sz w:val="18"/>
          <w:szCs w:val="18"/>
          <w:color w:val="auto"/>
        </w:rPr>
      </w:pPr>
    </w:p>
    <w:p>
      <w:pPr>
        <w:ind w:left="1000" w:hanging="239"/>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a Subsequent Election, or an Acceleration Election.</w:t>
      </w:r>
    </w:p>
    <w:p>
      <w:pPr>
        <w:spacing w:after="0" w:line="171" w:lineRule="exact"/>
        <w:rPr>
          <w:rFonts w:ascii="Arial" w:cs="Arial" w:eastAsia="Arial" w:hAnsi="Arial"/>
          <w:sz w:val="18"/>
          <w:szCs w:val="18"/>
          <w:color w:val="auto"/>
        </w:rPr>
      </w:pPr>
    </w:p>
    <w:p>
      <w:pPr>
        <w:ind w:left="1000" w:hanging="239"/>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171" w:lineRule="exact"/>
        <w:rPr>
          <w:rFonts w:ascii="Arial" w:cs="Arial" w:eastAsia="Arial" w:hAnsi="Arial"/>
          <w:sz w:val="18"/>
          <w:szCs w:val="18"/>
          <w:color w:val="auto"/>
        </w:rPr>
      </w:pPr>
    </w:p>
    <w:p>
      <w:pPr>
        <w:ind w:left="1000" w:hanging="239"/>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760" w:right="20" w:hanging="440"/>
        <w:spacing w:after="0" w:line="357" w:lineRule="auto"/>
        <w:tabs>
          <w:tab w:leader="none" w:pos="1760" w:val="left"/>
        </w:tabs>
        <w:numPr>
          <w:ilvl w:val="1"/>
          <w:numId w:val="55"/>
        </w:numPr>
        <w:rPr>
          <w:rFonts w:ascii="Arial" w:cs="Arial" w:eastAsia="Arial" w:hAnsi="Arial"/>
          <w:sz w:val="15"/>
          <w:szCs w:val="15"/>
          <w:color w:val="auto"/>
        </w:rPr>
      </w:pPr>
      <w:r>
        <w:rPr>
          <w:rFonts w:ascii="Arial" w:cs="Arial" w:eastAsia="Arial" w:hAnsi="Arial"/>
          <w:sz w:val="15"/>
          <w:szCs w:val="15"/>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ind w:left="1760" w:right="180" w:hanging="440"/>
        <w:spacing w:after="0" w:line="259" w:lineRule="auto"/>
        <w:tabs>
          <w:tab w:leader="none" w:pos="17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400" w:top="280" w:right="379" w:bottom="1440" w:gutter="0" w:footer="0" w:header="0"/>
        </w:sectPr>
      </w:pPr>
    </w:p>
    <w:bookmarkStart w:id="51" w:name="page52"/>
    <w:bookmarkEnd w:id="51"/>
    <w:p>
      <w:pPr>
        <w:ind w:left="1920" w:hanging="440"/>
        <w:spacing w:after="0"/>
        <w:tabs>
          <w:tab w:leader="none" w:pos="1920" w:val="left"/>
        </w:tabs>
        <w:numPr>
          <w:ilvl w:val="1"/>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Shares are not so listed nor trades of Shares so reported, Fair Market Value shall be determined by the Committee in good faith.</w:t>
      </w:r>
    </w:p>
    <w:p>
      <w:pPr>
        <w:spacing w:after="0" w:line="194" w:lineRule="exact"/>
        <w:rPr>
          <w:rFonts w:ascii="Arial" w:cs="Arial" w:eastAsia="Arial" w:hAnsi="Arial"/>
          <w:sz w:val="16"/>
          <w:szCs w:val="16"/>
          <w:color w:val="auto"/>
        </w:rPr>
      </w:pPr>
    </w:p>
    <w:p>
      <w:pPr>
        <w:ind w:left="1240" w:hanging="319"/>
        <w:spacing w:after="0"/>
        <w:tabs>
          <w:tab w:leader="none" w:pos="12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Grandfathered Amount</w:t>
      </w:r>
      <w:r>
        <w:rPr>
          <w:rFonts w:ascii="Arial" w:cs="Arial" w:eastAsia="Arial" w:hAnsi="Arial"/>
          <w:sz w:val="15"/>
          <w:szCs w:val="15"/>
          <w:color w:val="auto"/>
        </w:rPr>
        <w:t>” means amounts described in Paragraph 1(b) that were deferred under the Plan and that were earned and vested before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January 1, 2005.</w:t>
      </w:r>
    </w:p>
    <w:p>
      <w:pPr>
        <w:spacing w:after="0" w:line="164" w:lineRule="exact"/>
        <w:rPr>
          <w:rFonts w:ascii="Arial" w:cs="Arial" w:eastAsia="Arial" w:hAnsi="Arial"/>
          <w:sz w:val="15"/>
          <w:szCs w:val="15"/>
          <w:color w:val="auto"/>
        </w:rPr>
      </w:pPr>
    </w:p>
    <w:p>
      <w:pPr>
        <w:ind w:left="1260" w:hanging="339"/>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171" w:lineRule="exact"/>
        <w:rPr>
          <w:rFonts w:ascii="Arial" w:cs="Arial" w:eastAsia="Arial" w:hAnsi="Arial"/>
          <w:sz w:val="18"/>
          <w:szCs w:val="18"/>
          <w:color w:val="auto"/>
        </w:rPr>
      </w:pPr>
    </w:p>
    <w:p>
      <w:pPr>
        <w:ind w:firstLine="921"/>
        <w:spacing w:after="0" w:line="291" w:lineRule="auto"/>
        <w:tabs>
          <w:tab w:leader="none" w:pos="123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Grantee constitute an unforeseeable emergency and thus a Hardship within the meaning of this Paragraph 2(cc).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2(cc) for all Grantees in similar circumstances.</w:t>
      </w:r>
    </w:p>
    <w:p>
      <w:pPr>
        <w:spacing w:after="0" w:line="120" w:lineRule="exact"/>
        <w:rPr>
          <w:rFonts w:ascii="Arial" w:cs="Arial" w:eastAsia="Arial" w:hAnsi="Arial"/>
          <w:sz w:val="16"/>
          <w:szCs w:val="16"/>
          <w:color w:val="auto"/>
        </w:rPr>
      </w:pPr>
    </w:p>
    <w:p>
      <w:pPr>
        <w:ind w:right="40" w:firstLine="921"/>
        <w:spacing w:after="0" w:line="259" w:lineRule="auto"/>
        <w:tabs>
          <w:tab w:leader="none" w:pos="1249"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Fund</w:t>
      </w:r>
      <w:r>
        <w:rPr>
          <w:rFonts w:ascii="Arial" w:cs="Arial" w:eastAsia="Arial" w:hAnsi="Arial"/>
          <w:sz w:val="18"/>
          <w:szCs w:val="18"/>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w:t>
      </w:r>
    </w:p>
    <w:p>
      <w:pPr>
        <w:spacing w:after="0" w:line="140" w:lineRule="exact"/>
        <w:rPr>
          <w:rFonts w:ascii="Arial" w:cs="Arial" w:eastAsia="Arial" w:hAnsi="Arial"/>
          <w:sz w:val="18"/>
          <w:szCs w:val="18"/>
          <w:color w:val="auto"/>
        </w:rPr>
      </w:pPr>
    </w:p>
    <w:p>
      <w:pPr>
        <w:ind w:right="220" w:firstLine="921"/>
        <w:spacing w:after="0" w:line="306" w:lineRule="auto"/>
        <w:tabs>
          <w:tab w:leader="none" w:pos="123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Election</w:t>
      </w:r>
      <w:r>
        <w:rPr>
          <w:rFonts w:ascii="Arial" w:cs="Arial" w:eastAsia="Arial" w:hAnsi="Arial"/>
          <w:sz w:val="16"/>
          <w:szCs w:val="16"/>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106" w:lineRule="exact"/>
        <w:rPr>
          <w:rFonts w:ascii="Arial" w:cs="Arial" w:eastAsia="Arial" w:hAnsi="Arial"/>
          <w:sz w:val="16"/>
          <w:szCs w:val="16"/>
          <w:color w:val="auto"/>
        </w:rPr>
      </w:pPr>
    </w:p>
    <w:p>
      <w:pPr>
        <w:jc w:val="both"/>
        <w:ind w:right="100" w:firstLine="921"/>
        <w:spacing w:after="0" w:line="259" w:lineRule="auto"/>
        <w:tabs>
          <w:tab w:leader="none" w:pos="1187"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140" w:lineRule="exact"/>
        <w:rPr>
          <w:rFonts w:ascii="Arial" w:cs="Arial" w:eastAsia="Arial" w:hAnsi="Arial"/>
          <w:sz w:val="18"/>
          <w:szCs w:val="18"/>
          <w:color w:val="auto"/>
        </w:rPr>
      </w:pPr>
    </w:p>
    <w:p>
      <w:pPr>
        <w:ind w:right="480" w:firstLine="921"/>
        <w:spacing w:after="0" w:line="268" w:lineRule="auto"/>
        <w:tabs>
          <w:tab w:leader="none" w:pos="1249"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131" w:lineRule="exact"/>
        <w:rPr>
          <w:rFonts w:ascii="Arial" w:cs="Arial" w:eastAsia="Arial" w:hAnsi="Arial"/>
          <w:sz w:val="18"/>
          <w:szCs w:val="18"/>
          <w:color w:val="auto"/>
        </w:rPr>
      </w:pPr>
    </w:p>
    <w:p>
      <w:pPr>
        <w:ind w:right="460" w:firstLine="921"/>
        <w:spacing w:after="0" w:line="268" w:lineRule="auto"/>
        <w:tabs>
          <w:tab w:leader="none" w:pos="1249"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131" w:lineRule="exact"/>
        <w:rPr>
          <w:rFonts w:ascii="Arial" w:cs="Arial" w:eastAsia="Arial" w:hAnsi="Arial"/>
          <w:sz w:val="18"/>
          <w:szCs w:val="18"/>
          <w:color w:val="auto"/>
        </w:rPr>
      </w:pPr>
    </w:p>
    <w:p>
      <w:pPr>
        <w:ind w:left="1180" w:hanging="259"/>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left="1920" w:right="260" w:hanging="440"/>
        <w:spacing w:after="0" w:line="268" w:lineRule="auto"/>
        <w:tabs>
          <w:tab w:leader="none" w:pos="19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total number of Shares owned by a Grantee that were not acquired by such Grantee pursuant to a Comcast Plan or otherwise in connection with the performance of services to the Company or an Affiliate; plus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52" w:name="page53"/>
    <w:bookmarkEnd w:id="52"/>
    <w:p>
      <w:pPr>
        <w:ind w:left="1920" w:hanging="440"/>
        <w:spacing w:after="0"/>
        <w:tabs>
          <w:tab w:leader="none" w:pos="1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excess, if any of:</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total number of Shares owned by a Grantee other than the Shares described in Paragraph 2(ii)(i); over</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2500" w:hanging="283"/>
        <w:spacing w:after="0"/>
        <w:tabs>
          <w:tab w:leader="none" w:pos="25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number of such Shares owned by such Grantee for less than six months; plus</w:t>
      </w:r>
    </w:p>
    <w:p>
      <w:pPr>
        <w:spacing w:after="0" w:line="90" w:lineRule="exact"/>
        <w:rPr>
          <w:rFonts w:ascii="Arial" w:cs="Arial" w:eastAsia="Arial" w:hAnsi="Arial"/>
          <w:sz w:val="18"/>
          <w:szCs w:val="18"/>
          <w:color w:val="auto"/>
        </w:rPr>
      </w:pPr>
    </w:p>
    <w:p>
      <w:pPr>
        <w:ind w:left="1840" w:right="360" w:firstLine="377"/>
        <w:spacing w:after="0" w:line="332" w:lineRule="auto"/>
        <w:tabs>
          <w:tab w:leader="none" w:pos="2501" w:val="left"/>
        </w:tabs>
        <w:numPr>
          <w:ilvl w:val="2"/>
          <w:numId w:val="58"/>
        </w:numPr>
        <w:rPr>
          <w:rFonts w:ascii="Arial" w:cs="Arial" w:eastAsia="Arial" w:hAnsi="Arial"/>
          <w:sz w:val="16"/>
          <w:szCs w:val="16"/>
          <w:color w:val="auto"/>
        </w:rPr>
      </w:pPr>
      <w:r>
        <w:rPr>
          <w:rFonts w:ascii="Arial" w:cs="Arial" w:eastAsia="Arial" w:hAnsi="Arial"/>
          <w:sz w:val="16"/>
          <w:szCs w:val="16"/>
          <w:color w:val="auto"/>
        </w:rPr>
        <w:t>The number of such Shares owned by such Grantee that has, within the preceding six months, been the subject of a withholding certification pursuant to Paragraph 9(c)(ii) or any similar withholding certification under any other Comcast Plan; plus</w:t>
      </w:r>
    </w:p>
    <w:p>
      <w:pPr>
        <w:spacing w:after="0" w:line="4" w:lineRule="exact"/>
        <w:rPr>
          <w:rFonts w:ascii="Arial" w:cs="Arial" w:eastAsia="Arial" w:hAnsi="Arial"/>
          <w:sz w:val="16"/>
          <w:szCs w:val="16"/>
          <w:color w:val="auto"/>
        </w:rPr>
      </w:pPr>
    </w:p>
    <w:p>
      <w:pPr>
        <w:jc w:val="both"/>
        <w:ind w:left="1840" w:right="120" w:firstLine="377"/>
        <w:spacing w:after="0" w:line="298" w:lineRule="auto"/>
        <w:tabs>
          <w:tab w:leader="none" w:pos="2501" w:val="left"/>
        </w:tabs>
        <w:numPr>
          <w:ilvl w:val="2"/>
          <w:numId w:val="58"/>
        </w:numPr>
        <w:rPr>
          <w:rFonts w:ascii="Arial" w:cs="Arial" w:eastAsia="Arial" w:hAnsi="Arial"/>
          <w:sz w:val="16"/>
          <w:szCs w:val="16"/>
          <w:color w:val="auto"/>
        </w:rPr>
      </w:pPr>
      <w:r>
        <w:rPr>
          <w:rFonts w:ascii="Arial" w:cs="Arial" w:eastAsia="Arial" w:hAnsi="Arial"/>
          <w:sz w:val="16"/>
          <w:szCs w:val="16"/>
          <w:color w:val="auto"/>
        </w:rPr>
        <w:t>The number of such Shares owned by such Grantee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31" w:lineRule="exact"/>
        <w:rPr>
          <w:rFonts w:ascii="Arial" w:cs="Arial" w:eastAsia="Arial" w:hAnsi="Arial"/>
          <w:sz w:val="16"/>
          <w:szCs w:val="16"/>
          <w:color w:val="auto"/>
        </w:rPr>
      </w:pPr>
    </w:p>
    <w:p>
      <w:pPr>
        <w:ind w:left="1840" w:firstLine="377"/>
        <w:spacing w:after="0" w:line="259" w:lineRule="auto"/>
        <w:tabs>
          <w:tab w:leader="none" w:pos="2511"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number of such Shares owned by such Grantee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4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 purposes of this Paragraph 2(ii),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For purposes of determining the number of Other Available Shares, the term “Shares” shall also include the securities held by a Grantee immediately before the consummation of the AT&amp;T Broadband Transaction that became Shares as a result of the AT&amp;T Broadband Transaction.</w:t>
      </w:r>
    </w:p>
    <w:p>
      <w:pPr>
        <w:spacing w:after="0" w:line="143" w:lineRule="exact"/>
        <w:rPr>
          <w:sz w:val="20"/>
          <w:szCs w:val="20"/>
          <w:color w:val="auto"/>
        </w:rPr>
      </w:pPr>
    </w:p>
    <w:p>
      <w:pPr>
        <w:ind w:left="5620" w:right="4200" w:hanging="4699"/>
        <w:spacing w:after="0" w:line="440" w:lineRule="auto"/>
        <w:tabs>
          <w:tab w:leader="none" w:pos="1188"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 -7-</w:t>
      </w:r>
    </w:p>
    <w:p>
      <w:pPr>
        <w:sectPr>
          <w:pgSz w:w="11900" w:h="16838" w:orient="portrait"/>
          <w:cols w:equalWidth="0" w:num="1">
            <w:col w:w="11420"/>
          </w:cols>
          <w:pgMar w:left="240" w:top="280" w:right="239" w:bottom="1440" w:gutter="0" w:footer="0" w:header="0"/>
        </w:sectPr>
      </w:pPr>
    </w:p>
    <w:bookmarkStart w:id="53" w:name="page54"/>
    <w:bookmarkEnd w:id="53"/>
    <w:p>
      <w:pPr>
        <w:ind w:left="1260" w:hanging="339"/>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Grantee may earn Performance-Based Compensation.</w:t>
      </w:r>
    </w:p>
    <w:p>
      <w:pPr>
        <w:spacing w:after="0" w:line="194" w:lineRule="exact"/>
        <w:rPr>
          <w:rFonts w:ascii="Arial" w:cs="Arial" w:eastAsia="Arial" w:hAnsi="Arial"/>
          <w:sz w:val="16"/>
          <w:szCs w:val="16"/>
          <w:color w:val="auto"/>
        </w:rPr>
      </w:pPr>
    </w:p>
    <w:p>
      <w:pPr>
        <w:ind w:left="1360" w:hanging="439"/>
        <w:spacing w:after="0"/>
        <w:tabs>
          <w:tab w:leader="none" w:pos="1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1260" w:hanging="339"/>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171" w:lineRule="exact"/>
        <w:rPr>
          <w:rFonts w:ascii="Arial" w:cs="Arial" w:eastAsia="Arial" w:hAnsi="Arial"/>
          <w:sz w:val="18"/>
          <w:szCs w:val="18"/>
          <w:color w:val="auto"/>
        </w:rPr>
      </w:pPr>
    </w:p>
    <w:p>
      <w:pPr>
        <w:jc w:val="both"/>
        <w:ind w:right="100" w:firstLine="921"/>
        <w:spacing w:after="0" w:line="256" w:lineRule="auto"/>
        <w:tabs>
          <w:tab w:leader="none" w:pos="12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rFonts w:ascii="Arial" w:cs="Arial" w:eastAsia="Arial" w:hAnsi="Arial"/>
          <w:sz w:val="18"/>
          <w:szCs w:val="18"/>
          <w:color w:val="auto"/>
        </w:rPr>
      </w:pPr>
    </w:p>
    <w:p>
      <w:pPr>
        <w:ind w:left="1260" w:hanging="339"/>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171" w:lineRule="exact"/>
        <w:rPr>
          <w:rFonts w:ascii="Arial" w:cs="Arial" w:eastAsia="Arial" w:hAnsi="Arial"/>
          <w:sz w:val="18"/>
          <w:szCs w:val="18"/>
          <w:color w:val="auto"/>
        </w:rPr>
      </w:pPr>
    </w:p>
    <w:p>
      <w:pPr>
        <w:ind w:left="1260" w:hanging="339"/>
        <w:spacing w:after="0"/>
        <w:tabs>
          <w:tab w:leader="none" w:pos="12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 unit that entitles the Grantee, upon the Vesting Date set forth in an Award, to receive one Share.</w:t>
      </w:r>
    </w:p>
    <w:p>
      <w:pPr>
        <w:spacing w:after="0" w:line="194" w:lineRule="exact"/>
        <w:rPr>
          <w:rFonts w:ascii="Arial" w:cs="Arial" w:eastAsia="Arial" w:hAnsi="Arial"/>
          <w:sz w:val="16"/>
          <w:szCs w:val="16"/>
          <w:color w:val="auto"/>
        </w:rPr>
      </w:pPr>
    </w:p>
    <w:p>
      <w:pPr>
        <w:ind w:left="1200" w:hanging="279"/>
        <w:spacing w:after="0"/>
        <w:tabs>
          <w:tab w:leader="none" w:pos="1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a Grantee who has terminated employment pursuant to a Normal Retirement.</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promulgated under the 1934 Act, as in effect from time to time.</w:t>
      </w:r>
    </w:p>
    <w:p>
      <w:pPr>
        <w:spacing w:after="0" w:line="194" w:lineRule="exact"/>
        <w:rPr>
          <w:rFonts w:ascii="Arial" w:cs="Arial" w:eastAsia="Arial" w:hAnsi="Arial"/>
          <w:sz w:val="16"/>
          <w:szCs w:val="16"/>
          <w:color w:val="auto"/>
        </w:rPr>
      </w:pPr>
    </w:p>
    <w:p>
      <w:pPr>
        <w:ind w:left="1180" w:hanging="259"/>
        <w:spacing w:after="0"/>
        <w:tabs>
          <w:tab w:leader="none" w:pos="11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164" w:lineRule="exact"/>
        <w:rPr>
          <w:rFonts w:ascii="Arial" w:cs="Arial" w:eastAsia="Arial" w:hAnsi="Arial"/>
          <w:sz w:val="16"/>
          <w:szCs w:val="16"/>
          <w:color w:val="auto"/>
        </w:rPr>
      </w:pPr>
    </w:p>
    <w:p>
      <w:pPr>
        <w:ind w:left="1260" w:hanging="339"/>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except as provided in Paragraph 2(uu)(ii), a share or shares of Common Stock.</w:t>
      </w:r>
    </w:p>
    <w:p>
      <w:pPr>
        <w:spacing w:after="0" w:line="90" w:lineRule="exact"/>
        <w:rPr>
          <w:rFonts w:ascii="Arial" w:cs="Arial" w:eastAsia="Arial" w:hAnsi="Arial"/>
          <w:sz w:val="18"/>
          <w:szCs w:val="18"/>
          <w:color w:val="auto"/>
        </w:rPr>
      </w:pPr>
    </w:p>
    <w:p>
      <w:pPr>
        <w:ind w:left="1920" w:hanging="440"/>
        <w:spacing w:after="0" w:line="259" w:lineRule="auto"/>
        <w:tabs>
          <w:tab w:leader="none" w:pos="19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with respect to Awards granted before the consummation of the AT&amp;T Broadband Transaction as to which a Vesting Date has not occurred, and for purposes of Paragraphs 2(ii) and 9(c), the term “Share” or “Shares” also means a share or shares of Special Common Stock.</w:t>
      </w:r>
    </w:p>
    <w:p>
      <w:pPr>
        <w:spacing w:after="0" w:line="140" w:lineRule="exact"/>
        <w:rPr>
          <w:rFonts w:ascii="Arial" w:cs="Arial" w:eastAsia="Arial" w:hAnsi="Arial"/>
          <w:sz w:val="18"/>
          <w:szCs w:val="18"/>
          <w:color w:val="auto"/>
        </w:rPr>
      </w:pPr>
    </w:p>
    <w:p>
      <w:pPr>
        <w:ind w:left="1260" w:hanging="339"/>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54" w:name="page55"/>
    <w:bookmarkEnd w:id="54"/>
    <w:p>
      <w:pPr>
        <w:jc w:val="both"/>
        <w:ind w:left="-8" w:right="140" w:firstLine="921"/>
        <w:spacing w:after="0" w:line="256" w:lineRule="auto"/>
        <w:tabs>
          <w:tab w:leader="none" w:pos="1319"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grant of Restricted Stock or Restricted Stock Units, a Diversification Election 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in accordance with Paragraph 8(k)(ii).</w:t>
      </w:r>
    </w:p>
    <w:p>
      <w:pPr>
        <w:spacing w:after="0" w:line="143" w:lineRule="exact"/>
        <w:rPr>
          <w:rFonts w:ascii="Arial" w:cs="Arial" w:eastAsia="Arial" w:hAnsi="Arial"/>
          <w:sz w:val="18"/>
          <w:szCs w:val="18"/>
          <w:color w:val="auto"/>
        </w:rPr>
      </w:pPr>
    </w:p>
    <w:p>
      <w:pPr>
        <w:ind w:left="-8" w:right="100" w:firstLine="921"/>
        <w:spacing w:after="0" w:line="306" w:lineRule="auto"/>
        <w:tabs>
          <w:tab w:leader="none" w:pos="1241" w:val="left"/>
        </w:tabs>
        <w:numPr>
          <w:ilvl w:val="0"/>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Subsequent Election</w:t>
      </w:r>
      <w:r>
        <w:rPr>
          <w:rFonts w:ascii="Arial" w:cs="Arial" w:eastAsia="Arial" w:hAnsi="Arial"/>
          <w:sz w:val="16"/>
          <w:szCs w:val="16"/>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06" w:lineRule="exact"/>
        <w:rPr>
          <w:rFonts w:ascii="Arial" w:cs="Arial" w:eastAsia="Arial" w:hAnsi="Arial"/>
          <w:sz w:val="16"/>
          <w:szCs w:val="16"/>
          <w:color w:val="auto"/>
        </w:rPr>
      </w:pPr>
    </w:p>
    <w:p>
      <w:pPr>
        <w:ind w:left="-8" w:right="20" w:firstLine="921"/>
        <w:spacing w:after="0" w:line="268" w:lineRule="auto"/>
        <w:tabs>
          <w:tab w:leader="none" w:pos="1241"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131" w:lineRule="exact"/>
        <w:rPr>
          <w:rFonts w:ascii="Arial" w:cs="Arial" w:eastAsia="Arial" w:hAnsi="Arial"/>
          <w:sz w:val="18"/>
          <w:szCs w:val="18"/>
          <w:color w:val="auto"/>
        </w:rPr>
      </w:pPr>
    </w:p>
    <w:p>
      <w:pPr>
        <w:ind w:left="-8" w:right="300" w:firstLine="921"/>
        <w:spacing w:after="0" w:line="268" w:lineRule="auto"/>
        <w:tabs>
          <w:tab w:leader="none" w:pos="1222"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estate or beneficiary to whom the right to payment under the Plan shall have passed by will or the laws of descent and distribution.</w:t>
      </w:r>
    </w:p>
    <w:p>
      <w:pPr>
        <w:spacing w:after="0" w:line="132" w:lineRule="exact"/>
        <w:rPr>
          <w:sz w:val="20"/>
          <w:szCs w:val="20"/>
          <w:color w:val="auto"/>
        </w:rPr>
      </w:pPr>
    </w:p>
    <w:p>
      <w:pPr>
        <w:ind w:left="1312" w:hanging="399"/>
        <w:spacing w:after="0"/>
        <w:tabs>
          <w:tab w:leader="none" w:pos="1312"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1912" w:hanging="440"/>
        <w:spacing w:after="0"/>
        <w:tabs>
          <w:tab w:leader="none" w:pos="1912"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left="-8" w:firstLine="921"/>
        <w:spacing w:after="0" w:line="332" w:lineRule="auto"/>
        <w:tabs>
          <w:tab w:leader="none" w:pos="1329"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85" w:lineRule="exact"/>
        <w:rPr>
          <w:rFonts w:ascii="Arial" w:cs="Arial" w:eastAsia="Arial" w:hAnsi="Arial"/>
          <w:sz w:val="16"/>
          <w:szCs w:val="16"/>
          <w:color w:val="auto"/>
        </w:rPr>
      </w:pPr>
    </w:p>
    <w:p>
      <w:pPr>
        <w:ind w:left="-8" w:right="400" w:firstLine="921"/>
        <w:spacing w:after="0" w:line="332" w:lineRule="auto"/>
        <w:tabs>
          <w:tab w:leader="none" w:pos="1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as applicable: (i) the date on which the restrictions imposed on a Share of Restricted Stock lapse or (ii) the date on which the Grantee vests in a Restricted Stock Unit.</w:t>
      </w:r>
    </w:p>
    <w:p>
      <w:pPr>
        <w:spacing w:after="0" w:line="85" w:lineRule="exact"/>
        <w:rPr>
          <w:rFonts w:ascii="Arial" w:cs="Arial" w:eastAsia="Arial" w:hAnsi="Arial"/>
          <w:sz w:val="16"/>
          <w:szCs w:val="16"/>
          <w:color w:val="auto"/>
        </w:rPr>
      </w:pPr>
    </w:p>
    <w:p>
      <w:pPr>
        <w:ind w:left="1332" w:hanging="419"/>
        <w:spacing w:after="0"/>
        <w:tabs>
          <w:tab w:leader="none" w:pos="13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1933 Act</w:t>
      </w:r>
      <w:r>
        <w:rPr>
          <w:rFonts w:ascii="Arial" w:cs="Arial" w:eastAsia="Arial" w:hAnsi="Arial"/>
          <w:sz w:val="16"/>
          <w:szCs w:val="16"/>
          <w:color w:val="auto"/>
        </w:rPr>
        <w:t>” means the Securities Act of 1933, as amended.</w:t>
      </w:r>
    </w:p>
    <w:p>
      <w:pPr>
        <w:spacing w:after="0" w:line="194" w:lineRule="exact"/>
        <w:rPr>
          <w:rFonts w:ascii="Arial" w:cs="Arial" w:eastAsia="Arial" w:hAnsi="Arial"/>
          <w:sz w:val="16"/>
          <w:szCs w:val="16"/>
          <w:color w:val="auto"/>
        </w:rPr>
      </w:pPr>
    </w:p>
    <w:p>
      <w:pPr>
        <w:ind w:left="1312" w:hanging="399"/>
        <w:spacing w:after="0"/>
        <w:tabs>
          <w:tab w:leader="none" w:pos="1312"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1934 Act</w:t>
      </w:r>
      <w:r>
        <w:rPr>
          <w:rFonts w:ascii="Arial" w:cs="Arial" w:eastAsia="Arial" w:hAnsi="Arial"/>
          <w:sz w:val="16"/>
          <w:szCs w:val="16"/>
          <w:color w:val="auto"/>
        </w:rPr>
        <w:t>” means the Securities Exchange Act of 1934, as amended.</w:t>
      </w:r>
    </w:p>
    <w:p>
      <w:pPr>
        <w:spacing w:after="0" w:line="316" w:lineRule="exact"/>
        <w:rPr>
          <w:sz w:val="20"/>
          <w:szCs w:val="20"/>
          <w:color w:val="auto"/>
        </w:rPr>
      </w:pPr>
    </w:p>
    <w:p>
      <w:pPr>
        <w:ind w:left="452" w:hanging="452"/>
        <w:spacing w:after="0"/>
        <w:tabs>
          <w:tab w:leader="none" w:pos="45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RIGHTS TO BE GRANTED</w:t>
      </w:r>
    </w:p>
    <w:p>
      <w:pPr>
        <w:spacing w:after="0" w:line="9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Rights that may be granted under the Plan are:</w:t>
      </w:r>
    </w:p>
    <w:p>
      <w:pPr>
        <w:spacing w:after="0" w:line="90" w:lineRule="exact"/>
        <w:rPr>
          <w:sz w:val="20"/>
          <w:szCs w:val="20"/>
          <w:color w:val="auto"/>
        </w:rPr>
      </w:pPr>
    </w:p>
    <w:p>
      <w:pPr>
        <w:ind w:left="-8" w:right="60" w:firstLine="921"/>
        <w:spacing w:after="0" w:line="268" w:lineRule="auto"/>
        <w:tabs>
          <w:tab w:leader="none" w:pos="1144" w:val="left"/>
        </w:tabs>
        <w:numPr>
          <w:ilvl w:val="0"/>
          <w:numId w:val="64"/>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72"/>
          </w:cols>
          <w:pgMar w:left="248" w:top="280" w:right="279" w:bottom="1440" w:gutter="0" w:footer="0" w:header="0"/>
        </w:sectPr>
      </w:pPr>
    </w:p>
    <w:bookmarkStart w:id="55" w:name="page56"/>
    <w:bookmarkEnd w:id="55"/>
    <w:p>
      <w:pPr>
        <w:ind w:right="260" w:firstLine="921"/>
        <w:spacing w:after="0" w:line="259" w:lineRule="auto"/>
        <w:tabs>
          <w:tab w:leader="none" w:pos="1162" w:val="left"/>
        </w:tabs>
        <w:numPr>
          <w:ilvl w:val="1"/>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1.5 million Shares.</w:t>
      </w:r>
    </w:p>
    <w:p>
      <w:pPr>
        <w:spacing w:after="0" w:line="261"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90" w:lineRule="exact"/>
        <w:rPr>
          <w:rFonts w:ascii="Arial" w:cs="Arial" w:eastAsia="Arial" w:hAnsi="Arial"/>
          <w:sz w:val="18"/>
          <w:szCs w:val="18"/>
          <w:color w:val="auto"/>
        </w:rPr>
      </w:pPr>
    </w:p>
    <w:p>
      <w:pPr>
        <w:ind w:firstLine="921"/>
        <w:spacing w:after="0" w:line="294" w:lineRule="auto"/>
        <w:tabs>
          <w:tab w:leader="none" w:pos="1152" w:val="left"/>
        </w:tabs>
        <w:numPr>
          <w:ilvl w:val="1"/>
          <w:numId w:val="66"/>
        </w:numPr>
        <w:rPr>
          <w:rFonts w:ascii="Arial" w:cs="Arial" w:eastAsia="Arial" w:hAnsi="Arial"/>
          <w:sz w:val="16"/>
          <w:szCs w:val="16"/>
          <w:color w:val="auto"/>
        </w:rPr>
      </w:pPr>
      <w:r>
        <w:rPr>
          <w:rFonts w:ascii="Arial" w:cs="Arial" w:eastAsia="Arial" w:hAnsi="Arial"/>
          <w:sz w:val="16"/>
          <w:szCs w:val="16"/>
          <w:color w:val="auto"/>
        </w:rPr>
        <w:t>Not more than 52.5 million Shares in the aggregate may be issued under the Plan pursuant to the grant of Awards, subject to adjustment in accordance with Paragraph 10, provided that subject to the approval of the Company’s shareholders at the Company’s Annual Meeting of Shareholders to be held in 2008 (the “2008 Annual Meeting”), the number of Shares in the aggregate that may be issued under the Plan, pursuant to the grant of Awards, subject to adjustment in accordance with Paragraph 10, shall be increased from 52.5 million to 66.5 million. The Shares issued under the Plan may, at the Company’s option, be either Shares held in treasury or Shares originally issued for such purpose.</w:t>
      </w:r>
    </w:p>
    <w:p>
      <w:pPr>
        <w:spacing w:after="0" w:line="115" w:lineRule="exact"/>
        <w:rPr>
          <w:rFonts w:ascii="Arial" w:cs="Arial" w:eastAsia="Arial" w:hAnsi="Arial"/>
          <w:sz w:val="16"/>
          <w:szCs w:val="16"/>
          <w:color w:val="auto"/>
        </w:rPr>
      </w:pPr>
    </w:p>
    <w:p>
      <w:pPr>
        <w:ind w:firstLine="921"/>
        <w:spacing w:after="0" w:line="306" w:lineRule="auto"/>
        <w:tabs>
          <w:tab w:leader="none" w:pos="1162" w:val="left"/>
        </w:tabs>
        <w:numPr>
          <w:ilvl w:val="1"/>
          <w:numId w:val="66"/>
        </w:numPr>
        <w:rPr>
          <w:rFonts w:ascii="Arial" w:cs="Arial" w:eastAsia="Arial" w:hAnsi="Arial"/>
          <w:sz w:val="16"/>
          <w:szCs w:val="16"/>
          <w:color w:val="auto"/>
        </w:rPr>
      </w:pPr>
      <w:r>
        <w:rPr>
          <w:rFonts w:ascii="Arial" w:cs="Arial" w:eastAsia="Arial" w:hAnsi="Arial"/>
          <w:sz w:val="16"/>
          <w:szCs w:val="16"/>
          <w:color w:val="auto"/>
        </w:rPr>
        <w:t>If (i) Restricted Stock or Restricted Stock Units are forfeited pursuant to the terms of an Award or (ii) with respect to Restricted Stock Units, the Company withholds Shares to satisfy its minimum tax withholding requirements as provided in Paragraph 9(c), other Awards may be granted covering the Shares that were forfeited, or covering the Shares so withheld to satisfy the Company’s minimum tax withholding requirements, as applicable.</w:t>
      </w:r>
    </w:p>
    <w:p>
      <w:pPr>
        <w:spacing w:after="0" w:line="228" w:lineRule="exact"/>
        <w:rPr>
          <w:rFonts w:ascii="Arial" w:cs="Arial" w:eastAsia="Arial" w:hAnsi="Arial"/>
          <w:sz w:val="16"/>
          <w:szCs w:val="16"/>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90" w:lineRule="exact"/>
        <w:rPr>
          <w:rFonts w:ascii="Arial" w:cs="Arial" w:eastAsia="Arial" w:hAnsi="Arial"/>
          <w:sz w:val="18"/>
          <w:szCs w:val="18"/>
          <w:color w:val="auto"/>
        </w:rPr>
      </w:pPr>
    </w:p>
    <w:p>
      <w:pPr>
        <w:ind w:right="40" w:firstLine="921"/>
        <w:spacing w:after="0" w:line="259" w:lineRule="auto"/>
        <w:tabs>
          <w:tab w:leader="none" w:pos="1152"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Subject to the express terms and conditions set forth in the Plan, the Committee shall have the power, from time to time, to:</w:t>
      </w:r>
    </w:p>
    <w:p>
      <w:pPr>
        <w:spacing w:after="0" w:line="113" w:lineRule="exact"/>
        <w:rPr>
          <w:rFonts w:ascii="Arial" w:cs="Arial" w:eastAsia="Arial" w:hAnsi="Arial"/>
          <w:sz w:val="16"/>
          <w:szCs w:val="16"/>
          <w:color w:val="auto"/>
        </w:rPr>
      </w:pPr>
    </w:p>
    <w:p>
      <w:pPr>
        <w:ind w:left="1920" w:right="40" w:hanging="440"/>
        <w:spacing w:after="0" w:line="256" w:lineRule="auto"/>
        <w:tabs>
          <w:tab w:leader="none" w:pos="19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62" w:lineRule="exact"/>
        <w:rPr>
          <w:rFonts w:ascii="Arial" w:cs="Arial" w:eastAsia="Arial" w:hAnsi="Arial"/>
          <w:sz w:val="18"/>
          <w:szCs w:val="18"/>
          <w:color w:val="auto"/>
        </w:rPr>
      </w:pPr>
    </w:p>
    <w:p>
      <w:pPr>
        <w:ind w:left="1920" w:right="360" w:hanging="440"/>
        <w:spacing w:after="0" w:line="268" w:lineRule="auto"/>
        <w:tabs>
          <w:tab w:leader="none" w:pos="19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56" w:name="page57"/>
    <w:bookmarkEnd w:id="56"/>
    <w:p>
      <w:pPr>
        <w:jc w:val="both"/>
        <w:ind w:left="-20" w:right="400" w:firstLine="921"/>
        <w:spacing w:after="0" w:line="370" w:lineRule="auto"/>
        <w:tabs>
          <w:tab w:leader="none" w:pos="1132" w:val="left"/>
        </w:tabs>
        <w:numPr>
          <w:ilvl w:val="0"/>
          <w:numId w:val="6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Meetings</w:t>
      </w:r>
      <w:r>
        <w:rPr>
          <w:rFonts w:ascii="Arial" w:cs="Arial" w:eastAsia="Arial" w:hAnsi="Arial"/>
          <w:sz w:val="15"/>
          <w:szCs w:val="15"/>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62" w:lineRule="exact"/>
        <w:rPr>
          <w:rFonts w:ascii="Arial" w:cs="Arial" w:eastAsia="Arial" w:hAnsi="Arial"/>
          <w:sz w:val="15"/>
          <w:szCs w:val="15"/>
          <w:color w:val="auto"/>
        </w:rPr>
      </w:pPr>
    </w:p>
    <w:p>
      <w:pPr>
        <w:jc w:val="both"/>
        <w:ind w:left="-20" w:right="20" w:firstLine="921"/>
        <w:spacing w:after="0" w:line="298" w:lineRule="auto"/>
        <w:tabs>
          <w:tab w:leader="none" w:pos="114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12" w:lineRule="exact"/>
        <w:rPr>
          <w:rFonts w:ascii="Arial" w:cs="Arial" w:eastAsia="Arial" w:hAnsi="Arial"/>
          <w:sz w:val="16"/>
          <w:szCs w:val="16"/>
          <w:color w:val="auto"/>
        </w:rPr>
      </w:pPr>
    </w:p>
    <w:p>
      <w:pPr>
        <w:ind w:left="-20" w:firstLine="921"/>
        <w:spacing w:after="0" w:line="255" w:lineRule="auto"/>
        <w:tabs>
          <w:tab w:leader="none" w:pos="113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42" w:lineRule="exact"/>
        <w:rPr>
          <w:rFonts w:ascii="Arial" w:cs="Arial" w:eastAsia="Arial" w:hAnsi="Arial"/>
          <w:sz w:val="18"/>
          <w:szCs w:val="18"/>
          <w:color w:val="auto"/>
        </w:rPr>
      </w:pPr>
    </w:p>
    <w:p>
      <w:pPr>
        <w:ind w:left="1120" w:hanging="219"/>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00" w:right="200" w:hanging="440"/>
        <w:spacing w:after="0" w:line="286" w:lineRule="auto"/>
        <w:tabs>
          <w:tab w:leader="none" w:pos="1900"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Named Executive Officers and Section 16(b) Officers</w:t>
      </w:r>
      <w:r>
        <w:rPr>
          <w:rFonts w:ascii="Arial" w:cs="Arial" w:eastAsia="Arial" w:hAnsi="Arial"/>
          <w:sz w:val="16"/>
          <w:szCs w:val="16"/>
          <w:color w:val="auto"/>
        </w:rPr>
        <w:t>. All authority with respect to the grant, amendment, interpretation and administration of grants and awards of restricted stock and restricted stock units with respect to any Eligible Employee who is either</w:t>
      </w:r>
    </w:p>
    <w:p>
      <w:pPr>
        <w:ind w:left="2160" w:hanging="254"/>
        <w:spacing w:after="0"/>
        <w:tabs>
          <w:tab w:leader="none" w:pos="2160" w:val="left"/>
        </w:tabs>
        <w:numPr>
          <w:ilvl w:val="2"/>
          <w:numId w:val="67"/>
        </w:numPr>
        <w:rPr>
          <w:rFonts w:ascii="Arial" w:cs="Arial" w:eastAsia="Arial" w:hAnsi="Arial"/>
          <w:sz w:val="16"/>
          <w:szCs w:val="16"/>
          <w:color w:val="auto"/>
        </w:rPr>
      </w:pPr>
      <w:r>
        <w:rPr>
          <w:rFonts w:ascii="Arial" w:cs="Arial" w:eastAsia="Arial" w:hAnsi="Arial"/>
          <w:sz w:val="16"/>
          <w:szCs w:val="16"/>
          <w:color w:val="auto"/>
        </w:rPr>
        <w:t>a Named Executive Officer (</w:t>
      </w:r>
      <w:r>
        <w:rPr>
          <w:rFonts w:ascii="Arial" w:cs="Arial" w:eastAsia="Arial" w:hAnsi="Arial"/>
          <w:sz w:val="16"/>
          <w:szCs w:val="16"/>
          <w:i w:val="1"/>
          <w:iCs w:val="1"/>
          <w:color w:val="auto"/>
        </w:rPr>
        <w:t>i.e.</w:t>
      </w:r>
      <w:r>
        <w:rPr>
          <w:rFonts w:ascii="Arial" w:cs="Arial" w:eastAsia="Arial" w:hAnsi="Arial"/>
          <w:sz w:val="16"/>
          <w:szCs w:val="16"/>
          <w:color w:val="auto"/>
        </w:rPr>
        <w:t>, an officer who is required to be listed in the Company’s Proxy Statement Compensation Table) or</w:t>
      </w:r>
    </w:p>
    <w:p>
      <w:pPr>
        <w:spacing w:after="0" w:line="32" w:lineRule="exact"/>
        <w:rPr>
          <w:rFonts w:ascii="Arial" w:cs="Arial" w:eastAsia="Arial" w:hAnsi="Arial"/>
          <w:sz w:val="16"/>
          <w:szCs w:val="16"/>
          <w:color w:val="auto"/>
        </w:rPr>
      </w:pPr>
    </w:p>
    <w:p>
      <w:pPr>
        <w:ind w:left="2160" w:hanging="254"/>
        <w:spacing w:after="0"/>
        <w:tabs>
          <w:tab w:leader="none" w:pos="2160" w:val="left"/>
        </w:tabs>
        <w:numPr>
          <w:ilvl w:val="2"/>
          <w:numId w:val="67"/>
        </w:numPr>
        <w:rPr>
          <w:rFonts w:ascii="Arial" w:cs="Arial" w:eastAsia="Arial" w:hAnsi="Arial"/>
          <w:sz w:val="18"/>
          <w:szCs w:val="18"/>
          <w:color w:val="auto"/>
        </w:rPr>
      </w:pPr>
      <w:r>
        <w:rPr>
          <w:rFonts w:ascii="Arial" w:cs="Arial" w:eastAsia="Arial" w:hAnsi="Arial"/>
          <w:sz w:val="18"/>
          <w:szCs w:val="18"/>
          <w:color w:val="auto"/>
        </w:rPr>
        <w:t>is a Section 16(b) Officer, is reserved to the Committee.</w:t>
      </w:r>
    </w:p>
    <w:p>
      <w:pPr>
        <w:spacing w:after="0" w:line="84" w:lineRule="exact"/>
        <w:rPr>
          <w:sz w:val="20"/>
          <w:szCs w:val="20"/>
          <w:color w:val="auto"/>
        </w:rPr>
      </w:pPr>
    </w:p>
    <w:p>
      <w:pPr>
        <w:ind w:left="1900" w:right="20" w:hanging="440"/>
        <w:spacing w:after="0" w:line="255" w:lineRule="auto"/>
        <w:tabs>
          <w:tab w:leader="none" w:pos="19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Senior Officers and Highly Compensated Employees</w:t>
      </w:r>
      <w:r>
        <w:rPr>
          <w:rFonts w:ascii="Arial" w:cs="Arial" w:eastAsia="Arial" w:hAnsi="Arial"/>
          <w:sz w:val="18"/>
          <w:szCs w:val="18"/>
          <w:color w:val="auto"/>
        </w:rPr>
        <w:t>. The Committee may delegate to a committee consisting of the Chairman of the Committee and one or more officers of the Company designated by the Committee, discretion under the Plan to grant, amend, interpret and administer grants of Restricted Stock and Restricted Stock Units with respect to any Eligible Employee who (x) holds a position with Comcast Corporation of Senior Vice President or a position of higher rank than Senior Vice President or (y) has a base salary of $500,000 or more.</w:t>
      </w:r>
    </w:p>
    <w:p>
      <w:pPr>
        <w:spacing w:after="0" w:line="61" w:lineRule="exact"/>
        <w:rPr>
          <w:rFonts w:ascii="Arial" w:cs="Arial" w:eastAsia="Arial" w:hAnsi="Arial"/>
          <w:sz w:val="18"/>
          <w:szCs w:val="18"/>
          <w:color w:val="auto"/>
        </w:rPr>
      </w:pPr>
    </w:p>
    <w:p>
      <w:pPr>
        <w:ind w:left="1900" w:right="40" w:hanging="440"/>
        <w:spacing w:after="0" w:line="268" w:lineRule="auto"/>
        <w:tabs>
          <w:tab w:leader="none" w:pos="19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80" w:right="239" w:bottom="1440" w:gutter="0" w:footer="0" w:header="0"/>
        </w:sectPr>
      </w:pPr>
    </w:p>
    <w:bookmarkStart w:id="57" w:name="page58"/>
    <w:bookmarkEnd w:id="57"/>
    <w:p>
      <w:pPr>
        <w:ind w:left="1940"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administer grants of Restricted Stock and Restricted Stock Units with respect to any Eligible Employee other than an Eligible Employee described in Paragraph 5(f)(i) or Paragraph 5(f)(ii).</w:t>
      </w:r>
    </w:p>
    <w:p>
      <w:pPr>
        <w:spacing w:after="0" w:line="132" w:lineRule="exact"/>
        <w:rPr>
          <w:sz w:val="20"/>
          <w:szCs w:val="20"/>
          <w:color w:val="auto"/>
        </w:rPr>
      </w:pPr>
    </w:p>
    <w:p>
      <w:pPr>
        <w:ind w:left="1160" w:hanging="239"/>
        <w:spacing w:after="0"/>
        <w:tabs>
          <w:tab w:leader="none" w:pos="1160"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Any delegation of authority described in Paragraph 5(f) shall continue in effect until the earliest of:</w:t>
      </w:r>
    </w:p>
    <w:p>
      <w:pPr>
        <w:spacing w:after="0" w:line="113" w:lineRule="exact"/>
        <w:rPr>
          <w:rFonts w:ascii="Arial" w:cs="Arial" w:eastAsia="Arial" w:hAnsi="Arial"/>
          <w:sz w:val="16"/>
          <w:szCs w:val="16"/>
          <w:color w:val="auto"/>
        </w:rPr>
      </w:pPr>
    </w:p>
    <w:p>
      <w:pPr>
        <w:ind w:left="1920" w:hanging="440"/>
        <w:spacing w:after="0"/>
        <w:tabs>
          <w:tab w:leader="none" w:pos="19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90" w:lineRule="exact"/>
        <w:rPr>
          <w:rFonts w:ascii="Arial" w:cs="Arial" w:eastAsia="Arial" w:hAnsi="Arial"/>
          <w:sz w:val="18"/>
          <w:szCs w:val="18"/>
          <w:color w:val="auto"/>
        </w:rPr>
      </w:pPr>
    </w:p>
    <w:p>
      <w:pPr>
        <w:ind w:left="1920" w:hanging="440"/>
        <w:spacing w:after="0" w:line="259" w:lineRule="auto"/>
        <w:tabs>
          <w:tab w:leader="none" w:pos="19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in the case of delegation under Paragraph 5(f)(ii), the delegate shall cease to serve as Chairman of the Committee or serve as an employee of the Company for any reason, as the case may be and in the case of delegation under Paragraph 5(f)(iii), the delegate shall cease to serve as an employee of the Company for any reason; or</w:t>
      </w:r>
    </w:p>
    <w:p>
      <w:pPr>
        <w:spacing w:after="0" w:line="59" w:lineRule="exact"/>
        <w:rPr>
          <w:rFonts w:ascii="Arial" w:cs="Arial" w:eastAsia="Arial" w:hAnsi="Arial"/>
          <w:sz w:val="18"/>
          <w:szCs w:val="18"/>
          <w:color w:val="auto"/>
        </w:rPr>
      </w:pPr>
    </w:p>
    <w:p>
      <w:pPr>
        <w:ind w:left="1920" w:hanging="440"/>
        <w:spacing w:after="0"/>
        <w:tabs>
          <w:tab w:leader="none" w:pos="19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Awards may be granted only to Eligible Employees and Non-Employee Directors.</w:t>
      </w:r>
    </w:p>
    <w:p>
      <w:pPr>
        <w:spacing w:after="0" w:line="293"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RESTRICTED STOCK AND RESTRICTED STOCK UNIT AWARDS</w:t>
      </w:r>
    </w:p>
    <w:p>
      <w:pPr>
        <w:spacing w:after="0" w:line="90"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terms and conditions of Awards shall be set forth in writing as determined from time to time by the Committee, consistent, however,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84" w:lineRule="exact"/>
        <w:rPr>
          <w:sz w:val="20"/>
          <w:szCs w:val="20"/>
          <w:color w:val="auto"/>
        </w:rPr>
      </w:pPr>
    </w:p>
    <w:p>
      <w:pPr>
        <w:ind w:left="460" w:firstLine="443"/>
        <w:spacing w:after="0" w:line="259" w:lineRule="auto"/>
        <w:tabs>
          <w:tab w:leader="none" w:pos="113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on or before February 25, 2013, provided that subject to the approval of the Sponsor’s shareholders at the 2008 Annual Meeting, the last day on which Awards may be granted under the Plan shall be extended from February 25, 2013 to the day before the tenth anniversary of the 2008 Annual Meeting.</w:t>
      </w:r>
    </w:p>
    <w:p>
      <w:pPr>
        <w:spacing w:after="0" w:line="59"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Each Grantee shall be provided with an agreement specifying the terms of an Award. In addition, a certificate shall be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issued to</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58" w:name="page59"/>
    <w:bookmarkEnd w:id="58"/>
    <w:p>
      <w:pPr>
        <w:ind w:left="460"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Grantee in respect of Restricted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07" w:lineRule="exact"/>
        <w:rPr>
          <w:sz w:val="20"/>
          <w:szCs w:val="20"/>
          <w:color w:val="auto"/>
        </w:rPr>
      </w:pPr>
    </w:p>
    <w:p>
      <w:pPr>
        <w:ind w:right="400" w:firstLine="921"/>
        <w:spacing w:after="0" w:line="332" w:lineRule="auto"/>
        <w:tabs>
          <w:tab w:leader="none" w:pos="1161"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Subject to the provisions of the Plan and the Award, the Committee may establish a period commencing with the Date of Grant during which the Grantee shall not be permitted to sell, transfer, pledge or assign Restricted Stock awarded under the Plan.</w:t>
      </w:r>
    </w:p>
    <w:p>
      <w:pPr>
        <w:spacing w:after="0" w:line="85" w:lineRule="exact"/>
        <w:rPr>
          <w:rFonts w:ascii="Arial" w:cs="Arial" w:eastAsia="Arial" w:hAnsi="Arial"/>
          <w:sz w:val="16"/>
          <w:szCs w:val="16"/>
          <w:color w:val="auto"/>
        </w:rPr>
      </w:pPr>
    </w:p>
    <w:p>
      <w:pPr>
        <w:ind w:firstLine="921"/>
        <w:spacing w:after="0" w:line="312" w:lineRule="auto"/>
        <w:tabs>
          <w:tab w:leader="none" w:pos="1152" w:val="left"/>
        </w:tabs>
        <w:numPr>
          <w:ilvl w:val="1"/>
          <w:numId w:val="73"/>
        </w:numPr>
        <w:rPr>
          <w:rFonts w:ascii="Arial" w:cs="Arial" w:eastAsia="Arial" w:hAnsi="Arial"/>
          <w:sz w:val="15"/>
          <w:szCs w:val="15"/>
          <w:color w:val="auto"/>
        </w:rPr>
      </w:pPr>
      <w:r>
        <w:rPr>
          <w:rFonts w:ascii="Arial" w:cs="Arial" w:eastAsia="Arial" w:hAnsi="Arial"/>
          <w:sz w:val="15"/>
          <w:szCs w:val="15"/>
          <w:u w:val="single" w:color="auto"/>
          <w:color w:val="auto"/>
        </w:rPr>
        <w:t>Vesting/Lapse of Restrictions</w:t>
      </w:r>
      <w:r>
        <w:rPr>
          <w:rFonts w:ascii="Arial" w:cs="Arial" w:eastAsia="Arial" w:hAnsi="Arial"/>
          <w:sz w:val="15"/>
          <w:szCs w:val="15"/>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All references to Shares in Awards granted before the consummation of the AT&amp;T Broadband Transaction as to which a Vesting Date has not occurred shall be deemed to be references to Special Common Stock.</w:t>
      </w:r>
    </w:p>
    <w:p>
      <w:pPr>
        <w:spacing w:after="0" w:line="105" w:lineRule="exact"/>
        <w:rPr>
          <w:rFonts w:ascii="Arial" w:cs="Arial" w:eastAsia="Arial" w:hAnsi="Arial"/>
          <w:sz w:val="15"/>
          <w:szCs w:val="15"/>
          <w:color w:val="auto"/>
        </w:rPr>
      </w:pPr>
    </w:p>
    <w:p>
      <w:pPr>
        <w:ind w:firstLine="921"/>
        <w:spacing w:after="0" w:line="306" w:lineRule="auto"/>
        <w:tabs>
          <w:tab w:leader="none" w:pos="1132"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106" w:lineRule="exact"/>
        <w:rPr>
          <w:rFonts w:ascii="Arial" w:cs="Arial" w:eastAsia="Arial" w:hAnsi="Arial"/>
          <w:sz w:val="16"/>
          <w:szCs w:val="16"/>
          <w:color w:val="auto"/>
        </w:rPr>
      </w:pPr>
    </w:p>
    <w:p>
      <w:pPr>
        <w:ind w:right="220" w:firstLine="921"/>
        <w:spacing w:after="0" w:line="306" w:lineRule="auto"/>
        <w:tabs>
          <w:tab w:leader="none" w:pos="1161"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Termination of Grantee’s Employment</w:t>
      </w:r>
      <w:r>
        <w:rPr>
          <w:rFonts w:ascii="Arial" w:cs="Arial" w:eastAsia="Arial" w:hAnsi="Arial"/>
          <w:sz w:val="16"/>
          <w:szCs w:val="16"/>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For purposes of the Plan, the Company may satisfy its obligation to deliver Shares issuable under the Plan either by</w:t>
      </w:r>
    </w:p>
    <w:p>
      <w:pPr>
        <w:spacing w:after="0" w:line="38" w:lineRule="exact"/>
        <w:rPr>
          <w:rFonts w:ascii="Arial" w:cs="Arial" w:eastAsia="Arial" w:hAnsi="Arial"/>
          <w:sz w:val="16"/>
          <w:szCs w:val="16"/>
          <w:color w:val="auto"/>
        </w:rPr>
      </w:pPr>
    </w:p>
    <w:p>
      <w:pPr>
        <w:ind w:right="80" w:firstLine="8"/>
        <w:spacing w:after="0" w:line="254" w:lineRule="auto"/>
        <w:tabs>
          <w:tab w:leader="none" w:pos="2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delivery of a physical certificate for Shares issuable under the Plan or (ii)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59" w:name="page60"/>
    <w:bookmarkEnd w:id="59"/>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265"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A Grantee may elect to defer the receipt of Shares that would otherwise be issuable with respect to Restricted Stock or Restricted Stock Units as to which a Vesting Date has occurred, as provided by the Committee in the Award, consistent, however, with the following:</w:t>
      </w:r>
    </w:p>
    <w:p>
      <w:pPr>
        <w:spacing w:after="0" w:line="51" w:lineRule="exact"/>
        <w:rPr>
          <w:sz w:val="20"/>
          <w:szCs w:val="20"/>
          <w:color w:val="auto"/>
        </w:rPr>
      </w:pPr>
    </w:p>
    <w:p>
      <w:pPr>
        <w:ind w:left="1140" w:hanging="237"/>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20" w:right="200" w:hanging="440"/>
        <w:spacing w:after="0" w:line="305" w:lineRule="auto"/>
        <w:tabs>
          <w:tab w:leader="none" w:pos="1920" w:val="left"/>
        </w:tabs>
        <w:numPr>
          <w:ilvl w:val="2"/>
          <w:numId w:val="76"/>
        </w:numPr>
        <w:rPr>
          <w:rFonts w:ascii="Arial" w:cs="Arial" w:eastAsia="Arial" w:hAnsi="Arial"/>
          <w:sz w:val="16"/>
          <w:szCs w:val="16"/>
          <w:color w:val="auto"/>
        </w:rPr>
      </w:pPr>
      <w:r>
        <w:rPr>
          <w:rFonts w:ascii="Arial" w:cs="Arial" w:eastAsia="Arial" w:hAnsi="Arial"/>
          <w:sz w:val="16"/>
          <w:szCs w:val="16"/>
          <w:u w:val="single" w:color="auto"/>
          <w:color w:val="auto"/>
        </w:rPr>
        <w:t>Election</w:t>
      </w:r>
      <w:r>
        <w:rPr>
          <w:rFonts w:ascii="Arial" w:cs="Arial" w:eastAsia="Arial" w:hAnsi="Arial"/>
          <w:sz w:val="16"/>
          <w:szCs w:val="16"/>
          <w:color w:val="auto"/>
        </w:rPr>
        <w:t>. Each Grantee who is a Non-Employee Director or a Deferral Eligible Employee shall have the right to defer the receipt of some or all of the Shares issuable with respect to Restricted Stock or Restricted Stock Units as to which a Vesting Date has not yet occurred, by filing an Initial Election to defer the receipt of such Shares on a form provided by the Committee for this purpose.</w:t>
      </w:r>
    </w:p>
    <w:p>
      <w:pPr>
        <w:ind w:left="1920" w:hanging="440"/>
        <w:spacing w:after="0" w:line="250" w:lineRule="auto"/>
        <w:tabs>
          <w:tab w:leader="none" w:pos="1920" w:val="left"/>
        </w:tabs>
        <w:numPr>
          <w:ilvl w:val="2"/>
          <w:numId w:val="76"/>
        </w:numPr>
        <w:rPr>
          <w:rFonts w:ascii="Arial" w:cs="Arial" w:eastAsia="Arial" w:hAnsi="Arial"/>
          <w:sz w:val="17"/>
          <w:szCs w:val="17"/>
          <w:color w:val="auto"/>
        </w:rPr>
      </w:pPr>
      <w:r>
        <w:rPr>
          <w:rFonts w:ascii="Arial" w:cs="Arial" w:eastAsia="Arial" w:hAnsi="Arial"/>
          <w:sz w:val="17"/>
          <w:szCs w:val="17"/>
          <w:u w:val="single" w:color="auto"/>
          <w:color w:val="auto"/>
        </w:rPr>
        <w:t>Deadline for Initial Election</w:t>
      </w:r>
      <w:r>
        <w:rPr>
          <w:rFonts w:ascii="Arial" w:cs="Arial" w:eastAsia="Arial" w:hAnsi="Arial"/>
          <w:sz w:val="17"/>
          <w:szCs w:val="17"/>
          <w:color w:val="auto"/>
        </w:rPr>
        <w:t>. No Initial Election to defer the receipt of Shares issuable with respect to Restricted Stock or Restricted Stock Units that are not Performance-Based Compensation shall be effective unless it is filed with the Committee on or before the 30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Date of Grant and 12 or more months in advance of the applicable Vesting Date. No Initial Election to defer the receipt of Shares issuable with respect to Restricted Stock or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134" w:lineRule="exact"/>
        <w:rPr>
          <w:rFonts w:ascii="Arial" w:cs="Arial" w:eastAsia="Arial" w:hAnsi="Arial"/>
          <w:sz w:val="17"/>
          <w:szCs w:val="17"/>
          <w:color w:val="auto"/>
        </w:rPr>
      </w:pPr>
    </w:p>
    <w:p>
      <w:pPr>
        <w:ind w:right="60" w:firstLine="921"/>
        <w:spacing w:after="0" w:line="259" w:lineRule="auto"/>
        <w:tabs>
          <w:tab w:leader="none" w:pos="1161"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Election shall be null and void if a Vesting Date with respect to the Restricted Stock or Restricted Stock Units does not occur before the distribution date for Shares issuable with respect to such Restricted Stock or Restricted Stock Units identified in such Election.</w:t>
      </w:r>
    </w:p>
    <w:p>
      <w:pPr>
        <w:spacing w:after="0" w:line="140" w:lineRule="exact"/>
        <w:rPr>
          <w:rFonts w:ascii="Arial" w:cs="Arial" w:eastAsia="Arial" w:hAnsi="Arial"/>
          <w:sz w:val="18"/>
          <w:szCs w:val="18"/>
          <w:color w:val="auto"/>
        </w:rPr>
      </w:pPr>
    </w:p>
    <w:p>
      <w:pPr>
        <w:ind w:right="120" w:firstLine="921"/>
        <w:spacing w:after="0" w:line="306" w:lineRule="auto"/>
        <w:tabs>
          <w:tab w:leader="none" w:pos="1152"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Deferral Period</w:t>
      </w:r>
      <w:r>
        <w:rPr>
          <w:rFonts w:ascii="Arial" w:cs="Arial" w:eastAsia="Arial" w:hAnsi="Arial"/>
          <w:sz w:val="16"/>
          <w:szCs w:val="16"/>
          <w:color w:val="auto"/>
        </w:rPr>
        <w:t>. Except as otherwise provided in Paragraph 8(d), all Shares issuable with respect to Restricted Stock or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60" w:name="page61"/>
    <w:bookmarkEnd w:id="60"/>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designated by the Grantee on the most recently filed Election. Subject to acceleration or deferral pursuant to Paragraph 8(d) or Paragraph 11,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140" w:lineRule="exact"/>
        <w:rPr>
          <w:sz w:val="20"/>
          <w:szCs w:val="20"/>
          <w:color w:val="auto"/>
        </w:rPr>
      </w:pPr>
    </w:p>
    <w:p>
      <w:pPr>
        <w:ind w:right="100" w:firstLine="921"/>
        <w:spacing w:after="0" w:line="268" w:lineRule="auto"/>
        <w:tabs>
          <w:tab w:leader="none" w:pos="116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50" w:lineRule="exact"/>
        <w:rPr>
          <w:rFonts w:ascii="Arial" w:cs="Arial" w:eastAsia="Arial" w:hAnsi="Arial"/>
          <w:sz w:val="18"/>
          <w:szCs w:val="18"/>
          <w:color w:val="auto"/>
        </w:rPr>
      </w:pPr>
    </w:p>
    <w:p>
      <w:pPr>
        <w:ind w:left="1920" w:hanging="440"/>
        <w:spacing w:after="0" w:line="254" w:lineRule="auto"/>
        <w:tabs>
          <w:tab w:leader="none" w:pos="19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or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63" w:lineRule="exact"/>
        <w:rPr>
          <w:rFonts w:ascii="Arial" w:cs="Arial" w:eastAsia="Arial" w:hAnsi="Arial"/>
          <w:sz w:val="18"/>
          <w:szCs w:val="18"/>
          <w:color w:val="auto"/>
        </w:rPr>
      </w:pPr>
    </w:p>
    <w:p>
      <w:pPr>
        <w:ind w:left="1920" w:right="20" w:hanging="440"/>
        <w:spacing w:after="0" w:line="289" w:lineRule="auto"/>
        <w:tabs>
          <w:tab w:leader="none" w:pos="19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 Deceased Grantee’s Successor-in-Interest may elect to: (A) file a Subsequent Election to defer the distribution date for the Deceased Grantee’s Shares issuable with respect to Restricted Stock or Restricted Stock Units for five additional years from the date payment would otherwise be made; or (B) file an Acceleration Election to accelerate the distribution date for the Deceased Grantee’s Shares issuable with respect to Restricted Stock or Restricted Stock Units from the date payment would otherwise be made to a date that is as soon as practicable following the Deceased Grantee’s death. A Subsequent Election must be filed with the Committee at least one year before the date on which the distribution would otherwise be made, as reflected on the Deceased Grantee’s last Election. An Acceleration Election pursuant to this Paragraph 8(d)(ii) must be filed with the Committee as soon as practicable following the Deceased Grantee’s death, as determined by the Committee.</w:t>
      </w:r>
    </w:p>
    <w:p>
      <w:pPr>
        <w:spacing w:after="0" w:line="37" w:lineRule="exact"/>
        <w:rPr>
          <w:rFonts w:ascii="Arial" w:cs="Arial" w:eastAsia="Arial" w:hAnsi="Arial"/>
          <w:sz w:val="16"/>
          <w:szCs w:val="16"/>
          <w:color w:val="auto"/>
        </w:rPr>
      </w:pPr>
    </w:p>
    <w:p>
      <w:pPr>
        <w:ind w:left="1920" w:right="120" w:hanging="440"/>
        <w:spacing w:after="0" w:line="298" w:lineRule="auto"/>
        <w:tabs>
          <w:tab w:leader="none" w:pos="19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 Disabled Grantee may elect to accelerate the distribution date of the Disabled Grantee’s Shares issuable with respect to Restricted Stock or Restricted Stock Units from the date payment would otherwise be made to a date that is as soon as practicable following the date the Disabled Grantee became disabled. An Acceleration Election pursuant to this Paragraph 8(d)(iii) must be filed with the Committee as soon as practicable following the Deceased Grantee’s death, as determined by the Committee.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61" w:name="page62"/>
    <w:bookmarkEnd w:id="61"/>
    <w:p>
      <w:pPr>
        <w:ind w:left="1860" w:hanging="440"/>
        <w:spacing w:after="0" w:line="256" w:lineRule="auto"/>
        <w:tabs>
          <w:tab w:leader="none" w:pos="1860" w:val="left"/>
        </w:tabs>
        <w:numPr>
          <w:ilvl w:val="1"/>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Retired Grantee may elect to defer the distribution date of the Retired Grantee’s Shares issuable with respect to Restricted Stock or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143" w:lineRule="exact"/>
        <w:rPr>
          <w:rFonts w:ascii="Arial" w:cs="Arial" w:eastAsia="Arial" w:hAnsi="Arial"/>
          <w:sz w:val="18"/>
          <w:szCs w:val="18"/>
          <w:color w:val="auto"/>
        </w:rPr>
      </w:pPr>
    </w:p>
    <w:p>
      <w:pPr>
        <w:ind w:left="-60" w:right="120" w:firstLine="921"/>
        <w:spacing w:after="0" w:line="298" w:lineRule="auto"/>
        <w:tabs>
          <w:tab w:leader="none" w:pos="1092"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To the extent permitted by Section 409A,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31" w:lineRule="exact"/>
        <w:rPr>
          <w:rFonts w:ascii="Arial" w:cs="Arial" w:eastAsia="Arial" w:hAnsi="Arial"/>
          <w:sz w:val="16"/>
          <w:szCs w:val="16"/>
          <w:color w:val="auto"/>
        </w:rPr>
      </w:pPr>
    </w:p>
    <w:p>
      <w:pPr>
        <w:ind w:left="-60" w:right="20" w:firstLine="921"/>
        <w:spacing w:after="0" w:line="332" w:lineRule="auto"/>
        <w:tabs>
          <w:tab w:leader="none" w:pos="1072"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Hardship</w:t>
      </w:r>
      <w:r>
        <w:rPr>
          <w:rFonts w:ascii="Arial" w:cs="Arial" w:eastAsia="Arial" w:hAnsi="Arial"/>
          <w:sz w:val="16"/>
          <w:szCs w:val="16"/>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4" w:lineRule="exact"/>
        <w:rPr>
          <w:rFonts w:ascii="Arial" w:cs="Arial" w:eastAsia="Arial" w:hAnsi="Arial"/>
          <w:sz w:val="16"/>
          <w:szCs w:val="16"/>
          <w:color w:val="auto"/>
        </w:rPr>
      </w:pPr>
    </w:p>
    <w:p>
      <w:pPr>
        <w:ind w:left="-60" w:right="260" w:firstLine="921"/>
        <w:spacing w:after="0" w:line="268" w:lineRule="auto"/>
        <w:tabs>
          <w:tab w:leader="none" w:pos="110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Grantee’s Account may be made:</w:t>
      </w:r>
    </w:p>
    <w:p>
      <w:pPr>
        <w:spacing w:after="0" w:line="51" w:lineRule="exact"/>
        <w:rPr>
          <w:sz w:val="20"/>
          <w:szCs w:val="20"/>
          <w:color w:val="auto"/>
        </w:rPr>
      </w:pPr>
    </w:p>
    <w:p>
      <w:pPr>
        <w:ind w:left="1860" w:right="140" w:hanging="440"/>
        <w:spacing w:after="0" w:line="268" w:lineRule="auto"/>
        <w:tabs>
          <w:tab w:leader="none" w:pos="1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50" w:lineRule="exact"/>
        <w:rPr>
          <w:rFonts w:ascii="Arial" w:cs="Arial" w:eastAsia="Arial" w:hAnsi="Arial"/>
          <w:sz w:val="18"/>
          <w:szCs w:val="18"/>
          <w:color w:val="auto"/>
        </w:rPr>
      </w:pPr>
    </w:p>
    <w:p>
      <w:pPr>
        <w:ind w:left="1860" w:right="120" w:hanging="440"/>
        <w:spacing w:after="0" w:line="268" w:lineRule="auto"/>
        <w:tabs>
          <w:tab w:leader="none" w:pos="1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the extent necessary to comply with laws relating to avoidance of conflicts of interest, as provided in Treasury Regulation section 1.409A-3(j)(4)(iii) (or any successor provision of law).</w:t>
      </w:r>
    </w:p>
    <w:p>
      <w:pPr>
        <w:spacing w:after="0" w:line="50" w:lineRule="exact"/>
        <w:rPr>
          <w:rFonts w:ascii="Arial" w:cs="Arial" w:eastAsia="Arial" w:hAnsi="Arial"/>
          <w:sz w:val="18"/>
          <w:szCs w:val="18"/>
          <w:color w:val="auto"/>
        </w:rPr>
      </w:pPr>
    </w:p>
    <w:p>
      <w:pPr>
        <w:ind w:left="1860" w:right="260" w:hanging="440"/>
        <w:spacing w:after="0" w:line="268" w:lineRule="auto"/>
        <w:tabs>
          <w:tab w:leader="none" w:pos="1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pay employment taxes to the extent permitted by Treasury Regulation section 1.409A-3(j)(4)(vi) (or any successor provision of law).</w:t>
      </w:r>
    </w:p>
    <w:p>
      <w:pPr>
        <w:spacing w:after="0" w:line="50" w:lineRule="exact"/>
        <w:rPr>
          <w:rFonts w:ascii="Arial" w:cs="Arial" w:eastAsia="Arial" w:hAnsi="Arial"/>
          <w:sz w:val="18"/>
          <w:szCs w:val="18"/>
          <w:color w:val="auto"/>
        </w:rPr>
      </w:pPr>
    </w:p>
    <w:p>
      <w:pPr>
        <w:ind w:left="1860" w:right="560" w:hanging="440"/>
        <w:spacing w:after="0" w:line="268" w:lineRule="auto"/>
        <w:tabs>
          <w:tab w:leader="none" w:pos="1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50" w:lineRule="exact"/>
        <w:rPr>
          <w:rFonts w:ascii="Arial" w:cs="Arial" w:eastAsia="Arial" w:hAnsi="Arial"/>
          <w:sz w:val="18"/>
          <w:szCs w:val="18"/>
          <w:color w:val="auto"/>
        </w:rPr>
      </w:pPr>
    </w:p>
    <w:p>
      <w:pPr>
        <w:ind w:left="1860" w:right="540" w:hanging="440"/>
        <w:spacing w:after="0" w:line="268" w:lineRule="auto"/>
        <w:tabs>
          <w:tab w:leader="none" w:pos="1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pay state, local or foreign taxes to the extent permitted by Treasury Regulation section 1.409A-3(j)(4)(xi) (or any successor provision of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300" w:top="280" w:right="299" w:bottom="1440" w:gutter="0" w:footer="0" w:header="0"/>
        </w:sectPr>
      </w:pPr>
    </w:p>
    <w:bookmarkStart w:id="62" w:name="page63"/>
    <w:bookmarkEnd w:id="62"/>
    <w:p>
      <w:pPr>
        <w:ind w:left="1860" w:right="120" w:hanging="440"/>
        <w:spacing w:after="0" w:line="305" w:lineRule="auto"/>
        <w:tabs>
          <w:tab w:leader="none" w:pos="1860" w:val="left"/>
        </w:tabs>
        <w:numPr>
          <w:ilvl w:val="1"/>
          <w:numId w:val="8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satisfaction of a debt of a Grantee to a Participating Company where such debt is incurred in the ordinary course of the service relationship between the Grantee and the Participating Company, to the extent permitted by Treasury Regulation section 1.409A-3(j)</w:t>
      </w:r>
    </w:p>
    <w:p>
      <w:pPr>
        <w:ind w:left="1860"/>
        <w:spacing w:after="0"/>
        <w:rPr>
          <w:rFonts w:ascii="Arial" w:cs="Arial" w:eastAsia="Arial" w:hAnsi="Arial"/>
          <w:sz w:val="15"/>
          <w:szCs w:val="15"/>
          <w:color w:val="auto"/>
        </w:rPr>
      </w:pPr>
      <w:r>
        <w:rPr>
          <w:rFonts w:ascii="Arial" w:cs="Arial" w:eastAsia="Arial" w:hAnsi="Arial"/>
          <w:sz w:val="18"/>
          <w:szCs w:val="18"/>
          <w:color w:val="auto"/>
        </w:rPr>
        <w:t>(4)(xiii) (or any successor provision of law).</w:t>
      </w:r>
    </w:p>
    <w:p>
      <w:pPr>
        <w:spacing w:after="0" w:line="83" w:lineRule="exact"/>
        <w:rPr>
          <w:rFonts w:ascii="Arial" w:cs="Arial" w:eastAsia="Arial" w:hAnsi="Arial"/>
          <w:sz w:val="15"/>
          <w:szCs w:val="15"/>
          <w:color w:val="auto"/>
        </w:rPr>
      </w:pPr>
    </w:p>
    <w:p>
      <w:pPr>
        <w:ind w:left="1860" w:right="420" w:hanging="440"/>
        <w:spacing w:after="0" w:line="268" w:lineRule="auto"/>
        <w:tabs>
          <w:tab w:leader="none" w:pos="18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connection with a bona fide dispute as to a Grantee’s right to payment, to the extent permitted by Treasury Regulation section 1.409A-3(j)(4)(xiv) (or any successor provision of law).</w:t>
      </w:r>
    </w:p>
    <w:p>
      <w:pPr>
        <w:spacing w:after="0" w:line="131" w:lineRule="exact"/>
        <w:rPr>
          <w:rFonts w:ascii="Arial" w:cs="Arial" w:eastAsia="Arial" w:hAnsi="Arial"/>
          <w:sz w:val="18"/>
          <w:szCs w:val="18"/>
          <w:color w:val="auto"/>
        </w:rPr>
      </w:pPr>
    </w:p>
    <w:p>
      <w:pPr>
        <w:ind w:left="-60" w:firstLine="921"/>
        <w:spacing w:after="0" w:line="255" w:lineRule="auto"/>
        <w:tabs>
          <w:tab w:leader="none" w:pos="110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8(h).</w:t>
      </w:r>
    </w:p>
    <w:p>
      <w:pPr>
        <w:spacing w:after="0" w:line="142" w:lineRule="exact"/>
        <w:rPr>
          <w:rFonts w:ascii="Arial" w:cs="Arial" w:eastAsia="Arial" w:hAnsi="Arial"/>
          <w:sz w:val="18"/>
          <w:szCs w:val="18"/>
          <w:color w:val="auto"/>
        </w:rPr>
      </w:pPr>
    </w:p>
    <w:p>
      <w:pPr>
        <w:ind w:left="-60" w:right="20" w:firstLine="921"/>
        <w:spacing w:after="0" w:line="268" w:lineRule="auto"/>
        <w:tabs>
          <w:tab w:leader="none" w:pos="106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Paragraph 8(i) to an officer of the Company or committee of two or more officers of the Company.</w:t>
      </w:r>
    </w:p>
    <w:p>
      <w:pPr>
        <w:spacing w:after="0" w:line="51" w:lineRule="exact"/>
        <w:rPr>
          <w:sz w:val="20"/>
          <w:szCs w:val="20"/>
          <w:color w:val="auto"/>
        </w:rPr>
      </w:pPr>
    </w:p>
    <w:p>
      <w:pPr>
        <w:ind w:left="1860" w:hanging="440"/>
        <w:spacing w:after="0" w:line="294" w:lineRule="auto"/>
        <w:tabs>
          <w:tab w:leader="none" w:pos="18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34" w:lineRule="exact"/>
        <w:rPr>
          <w:rFonts w:ascii="Arial" w:cs="Arial" w:eastAsia="Arial" w:hAnsi="Arial"/>
          <w:sz w:val="16"/>
          <w:szCs w:val="16"/>
          <w:color w:val="auto"/>
        </w:rPr>
      </w:pPr>
    </w:p>
    <w:p>
      <w:pPr>
        <w:ind w:left="1860" w:hanging="440"/>
        <w:spacing w:after="0" w:line="291" w:lineRule="auto"/>
        <w:tabs>
          <w:tab w:leader="none" w:pos="18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300" w:top="280" w:right="299" w:bottom="1440" w:gutter="0" w:footer="0" w:header="0"/>
        </w:sectPr>
      </w:pPr>
    </w:p>
    <w:bookmarkStart w:id="63" w:name="page64"/>
    <w:bookmarkEnd w:id="63"/>
    <w:p>
      <w:pPr>
        <w:ind w:left="-80" w:right="460" w:firstLine="921"/>
        <w:spacing w:after="0" w:line="268"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rules established under Section 409A relating to certain “Transition Elections,” to the extent provided by the Committee or its delegate, a Grantee may:</w:t>
      </w:r>
    </w:p>
    <w:p>
      <w:pPr>
        <w:spacing w:after="0" w:line="50" w:lineRule="exact"/>
        <w:rPr>
          <w:rFonts w:ascii="Arial" w:cs="Arial" w:eastAsia="Arial" w:hAnsi="Arial"/>
          <w:sz w:val="18"/>
          <w:szCs w:val="18"/>
          <w:color w:val="auto"/>
        </w:rPr>
      </w:pPr>
    </w:p>
    <w:p>
      <w:pPr>
        <w:ind w:left="1840" w:right="40" w:hanging="440"/>
        <w:spacing w:after="0" w:line="290" w:lineRule="auto"/>
        <w:tabs>
          <w:tab w:leader="none" w:pos="18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On or before December 31, 2007, (A) with respect to all or any portion of his or her Grandfathered Amount that is scheduled to commence to be distributed under the Plan after December 31, 2007, and (B) with respect to any other amount credited to a Grantee’s Account that is scheduled to commence to be distributed under the Plan after December 31, 2007, make new payment elections as to the form and timing of payment of such amounts as may be permitted under this Plan, provided that (C) commencement of any distribution under such new payment election may not occur before January 1, 2008 and (D) with respect to any Grandfathered Amount, following the completion of such new payment election, such amounts shall not be treated as a Grandfathered Amount, but instead shall be treated as a non-Grandfathered Amount, subject to the rules of this Plan.</w:t>
      </w:r>
    </w:p>
    <w:p>
      <w:pPr>
        <w:spacing w:after="0" w:line="37" w:lineRule="exact"/>
        <w:rPr>
          <w:rFonts w:ascii="Arial" w:cs="Arial" w:eastAsia="Arial" w:hAnsi="Arial"/>
          <w:sz w:val="16"/>
          <w:szCs w:val="16"/>
          <w:color w:val="auto"/>
        </w:rPr>
      </w:pPr>
    </w:p>
    <w:p>
      <w:pPr>
        <w:ind w:left="1840" w:hanging="440"/>
        <w:spacing w:after="0" w:line="289" w:lineRule="auto"/>
        <w:tabs>
          <w:tab w:leader="none" w:pos="18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On or before December 31, 2008, (A) with respect to all or any portion of his or her Grandfathered Amount under the Plan as in effect on December 31, 2004 that is scheduled to commence to be distributed under the Plan after December 31, 2008, and (B) with respect to any other amount credited to a Grantee’s Account that is scheduled to commence to be distributed under the Plan after December 31, 2008, make new payment elections as to the form and timing of payment of such amounts as may be permitted under this Plan, provided that (C) commencement of any distribution under such new payment election may not occur before January 1, 2009 and (D) with respect to any Grandfathered Amount, following the completion of such new payment election, such amounts shall not be treated as a Grandfathered Amount, but instead shall be treated as a non-Grandfathered Amount, subject to the rules of this Plan.</w:t>
      </w:r>
    </w:p>
    <w:p>
      <w:pPr>
        <w:spacing w:after="0" w:line="118" w:lineRule="exact"/>
        <w:rPr>
          <w:sz w:val="20"/>
          <w:szCs w:val="20"/>
          <w:color w:val="auto"/>
        </w:rPr>
      </w:pPr>
    </w:p>
    <w:p>
      <w:pPr>
        <w:ind w:left="-80" w:right="60" w:firstLine="921"/>
        <w:spacing w:after="0" w:line="268" w:lineRule="auto"/>
        <w:tabs>
          <w:tab w:leader="none" w:pos="104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8(k), the value of a Grantee’s Account as of any date shall be determined as if it were invested in the Company Stock Fund.</w:t>
      </w:r>
    </w:p>
    <w:p>
      <w:pPr>
        <w:spacing w:after="0" w:line="131" w:lineRule="exact"/>
        <w:rPr>
          <w:rFonts w:ascii="Arial" w:cs="Arial" w:eastAsia="Arial" w:hAnsi="Arial"/>
          <w:sz w:val="18"/>
          <w:szCs w:val="18"/>
          <w:color w:val="auto"/>
        </w:rPr>
      </w:pPr>
    </w:p>
    <w:p>
      <w:pPr>
        <w:ind w:left="1080" w:hanging="239"/>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320" w:top="280" w:right="299" w:bottom="1440" w:gutter="0" w:footer="0" w:header="0"/>
        </w:sectPr>
      </w:pPr>
    </w:p>
    <w:bookmarkStart w:id="64" w:name="page65"/>
    <w:bookmarkEnd w:id="64"/>
    <w:p>
      <w:pPr>
        <w:ind w:left="720" w:right="100" w:hanging="440"/>
        <w:spacing w:after="0" w:line="298" w:lineRule="auto"/>
        <w:tabs>
          <w:tab w:leader="none" w:pos="720"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General</w:t>
      </w:r>
      <w:r>
        <w:rPr>
          <w:rFonts w:ascii="Arial" w:cs="Arial" w:eastAsia="Arial" w:hAnsi="Arial"/>
          <w:sz w:val="16"/>
          <w:szCs w:val="16"/>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No approval is required for a Diversification Election other than a Special Diversification Election.</w:t>
      </w:r>
    </w:p>
    <w:p>
      <w:pPr>
        <w:spacing w:after="0" w:line="31" w:lineRule="exact"/>
        <w:rPr>
          <w:rFonts w:ascii="Arial" w:cs="Arial" w:eastAsia="Arial" w:hAnsi="Arial"/>
          <w:sz w:val="16"/>
          <w:szCs w:val="16"/>
          <w:color w:val="auto"/>
        </w:rPr>
      </w:pPr>
    </w:p>
    <w:p>
      <w:pPr>
        <w:ind w:left="720" w:hanging="440"/>
        <w:spacing w:after="0" w:line="256" w:lineRule="auto"/>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in its sole discretion. A Special Diversification Election shall only be effective if (and to the extent) approved by the Committee.</w:t>
      </w:r>
    </w:p>
    <w:p>
      <w:pPr>
        <w:spacing w:after="0" w:line="62" w:lineRule="exact"/>
        <w:rPr>
          <w:rFonts w:ascii="Arial" w:cs="Arial" w:eastAsia="Arial" w:hAnsi="Arial"/>
          <w:sz w:val="18"/>
          <w:szCs w:val="18"/>
          <w:color w:val="auto"/>
        </w:rPr>
      </w:pPr>
    </w:p>
    <w:p>
      <w:pPr>
        <w:ind w:left="720" w:hanging="440"/>
        <w:spacing w:after="0" w:line="288" w:lineRule="auto"/>
        <w:tabs>
          <w:tab w:leader="none" w:pos="720"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Timing and Manner of Making Diversification Elections</w:t>
      </w:r>
      <w:r>
        <w:rPr>
          <w:rFonts w:ascii="Arial" w:cs="Arial" w:eastAsia="Arial" w:hAnsi="Arial"/>
          <w:sz w:val="16"/>
          <w:szCs w:val="16"/>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each grant of Restricted Stock or Restricted Stock Units credited to the Company Stock Fund to the Income Fund. No deemed transfers shall be permitted from the Income Fund to the Company Stock Fund. Diversification Elections under this Paragraph 8(h)(iii)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38" w:lineRule="exact"/>
        <w:rPr>
          <w:rFonts w:ascii="Arial" w:cs="Arial" w:eastAsia="Arial" w:hAnsi="Arial"/>
          <w:sz w:val="16"/>
          <w:szCs w:val="16"/>
          <w:color w:val="auto"/>
        </w:rPr>
      </w:pPr>
    </w:p>
    <w:p>
      <w:pPr>
        <w:jc w:val="both"/>
        <w:ind w:left="720" w:right="60" w:hanging="440"/>
        <w:spacing w:after="0" w:line="294" w:lineRule="auto"/>
        <w:tabs>
          <w:tab w:leader="none" w:pos="720"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Account balances subject to a Diversification Election under this Paragraph 8(h)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10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00"/>
          </w:cols>
          <w:pgMar w:left="1440" w:top="280" w:right="259" w:bottom="1440" w:gutter="0" w:footer="0" w:header="0"/>
        </w:sectPr>
      </w:pPr>
    </w:p>
    <w:bookmarkStart w:id="65" w:name="page66"/>
    <w:bookmarkEnd w:id="65"/>
    <w:p>
      <w:pPr>
        <w:ind w:right="40" w:firstLine="921"/>
        <w:spacing w:after="0" w:line="290" w:lineRule="auto"/>
        <w:tabs>
          <w:tab w:leader="none" w:pos="1122"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 of Distributions within Five Years of Effective Date of Diversification Election</w:t>
      </w:r>
      <w:r>
        <w:rPr>
          <w:rFonts w:ascii="Arial" w:cs="Arial" w:eastAsia="Arial" w:hAnsi="Arial"/>
          <w:sz w:val="16"/>
          <w:szCs w:val="16"/>
          <w:color w:val="auto"/>
        </w:rPr>
        <w:t>. If, pursuant to Paragraphs 8(a) through 8(d), Shares distributable with respect to Deferred Stock Units credited to the Company Stock Fund that are attributable to an Award as to which a Diversification Election was made are distributed on or before the fifth anniversary of the effective date of such Diversification Election (and, in the case of a Grantee who is a Successor-in-Interest, whether or not such Diversification Election was made by a Grantee’s predecessor-in-interest), then, except as to the extent such distribution would constitute an impermissible acceleration of the time of payment under Section 409A, or as may otherwise be provided by the Committee in its sole and absolute discretion, the following percentage of the Grantee’s Account credited to the Income Fund and attributable to such Diversification Election shall be distributed simultaneously with such Shares, without regard to any election to the contrary: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Distributable Percentage of</w:t>
            </w:r>
          </w:p>
        </w:tc>
        <w:tc>
          <w:tcPr>
            <w:tcW w:w="0" w:type="dxa"/>
            <w:vAlign w:val="bottom"/>
          </w:tcPr>
          <w:p>
            <w:pPr>
              <w:spacing w:after="0"/>
              <w:rPr>
                <w:sz w:val="1"/>
                <w:szCs w:val="1"/>
                <w:color w:val="auto"/>
              </w:rPr>
            </w:pPr>
          </w:p>
        </w:tc>
      </w:tr>
      <w:tr>
        <w:trPr>
          <w:trHeight w:val="161"/>
        </w:trPr>
        <w:tc>
          <w:tcPr>
            <w:tcW w:w="9100" w:type="dxa"/>
            <w:vAlign w:val="bottom"/>
            <w:gridSpan w:val="3"/>
          </w:tcPr>
          <w:p>
            <w:pPr>
              <w:spacing w:after="0"/>
              <w:rPr>
                <w:sz w:val="20"/>
                <w:szCs w:val="20"/>
                <w:color w:val="auto"/>
              </w:rPr>
            </w:pPr>
            <w:r>
              <w:rPr>
                <w:rFonts w:ascii="Arial" w:cs="Arial" w:eastAsia="Arial" w:hAnsi="Arial"/>
                <w:sz w:val="14"/>
                <w:szCs w:val="14"/>
                <w:b w:val="1"/>
                <w:bCs w:val="1"/>
                <w:color w:val="auto"/>
              </w:rPr>
              <w:t>Time that Shares are Distributable</w:t>
            </w:r>
          </w:p>
        </w:tc>
        <w:tc>
          <w:tcPr>
            <w:tcW w:w="23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Corresponding Income Fund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before the third anniversary of a Diversification Election</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After the third anniversary of a Diversification Election and on or before the fourth anniversary of</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gridSpan w:val="2"/>
          </w:tcPr>
          <w:p>
            <w:pPr>
              <w:ind w:left="200"/>
              <w:spacing w:after="0"/>
              <w:rPr>
                <w:sz w:val="20"/>
                <w:szCs w:val="20"/>
                <w:color w:val="auto"/>
              </w:rPr>
            </w:pPr>
            <w:r>
              <w:rPr>
                <w:rFonts w:ascii="Arial" w:cs="Arial" w:eastAsia="Arial" w:hAnsi="Arial"/>
                <w:sz w:val="18"/>
                <w:szCs w:val="18"/>
                <w:color w:val="auto"/>
              </w:rPr>
              <w:t>a Diversification Election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the fourth anniversary of a Diversification Election and on or before the fifth anniversary of a</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Diversification Election</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After the fifth anniversary of a Diversification Election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firstLine="921"/>
        <w:spacing w:after="0" w:line="318" w:lineRule="auto"/>
        <w:tabs>
          <w:tab w:leader="none" w:pos="1210"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Grantees’ Status as General Creditors</w:t>
      </w:r>
      <w:r>
        <w:rPr>
          <w:rFonts w:ascii="Arial" w:cs="Arial" w:eastAsia="Arial" w:hAnsi="Arial"/>
          <w:sz w:val="15"/>
          <w:szCs w:val="15"/>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99" w:lineRule="exact"/>
        <w:rPr>
          <w:rFonts w:ascii="Arial" w:cs="Arial" w:eastAsia="Arial" w:hAnsi="Arial"/>
          <w:sz w:val="15"/>
          <w:szCs w:val="15"/>
          <w:color w:val="auto"/>
        </w:rPr>
      </w:pPr>
    </w:p>
    <w:p>
      <w:pPr>
        <w:ind w:right="100" w:firstLine="921"/>
        <w:spacing w:after="0" w:line="268" w:lineRule="auto"/>
        <w:tabs>
          <w:tab w:leader="none" w:pos="1161"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Non-Assignability, Etc</w:t>
      </w:r>
      <w:r>
        <w:rPr>
          <w:rFonts w:ascii="Arial" w:cs="Arial" w:eastAsia="Arial" w:hAnsi="Arial"/>
          <w:sz w:val="18"/>
          <w:szCs w:val="18"/>
          <w:color w:val="auto"/>
        </w:rPr>
        <w:t>. The right of a Grantee to receive Shares subject to an Election under this Paragraph 8, or to amounts deemed invested in the Income Fund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66" w:name="page67"/>
    <w:bookmarkEnd w:id="66"/>
    <w:p>
      <w:pPr>
        <w:ind w:right="5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85" w:lineRule="exact"/>
        <w:rPr>
          <w:sz w:val="20"/>
          <w:szCs w:val="20"/>
          <w:color w:val="auto"/>
        </w:rPr>
      </w:pPr>
    </w:p>
    <w:p>
      <w:pPr>
        <w:ind w:firstLine="921"/>
        <w:spacing w:after="0" w:line="294" w:lineRule="auto"/>
        <w:tabs>
          <w:tab w:leader="none" w:pos="1161"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237" w:lineRule="exact"/>
        <w:rPr>
          <w:rFonts w:ascii="Arial" w:cs="Arial" w:eastAsia="Arial" w:hAnsi="Arial"/>
          <w:sz w:val="16"/>
          <w:szCs w:val="16"/>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SECURITIES LAWS; TAXES</w:t>
      </w:r>
    </w:p>
    <w:p>
      <w:pPr>
        <w:spacing w:after="0" w:line="90" w:lineRule="exact"/>
        <w:rPr>
          <w:rFonts w:ascii="Arial" w:cs="Arial" w:eastAsia="Arial" w:hAnsi="Arial"/>
          <w:sz w:val="18"/>
          <w:szCs w:val="18"/>
          <w:color w:val="auto"/>
        </w:rPr>
      </w:pPr>
    </w:p>
    <w:p>
      <w:pPr>
        <w:ind w:right="20" w:firstLine="921"/>
        <w:spacing w:after="0" w:line="255" w:lineRule="auto"/>
        <w:tabs>
          <w:tab w:leader="none" w:pos="1152"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142" w:lineRule="exact"/>
        <w:rPr>
          <w:rFonts w:ascii="Arial" w:cs="Arial" w:eastAsia="Arial" w:hAnsi="Arial"/>
          <w:sz w:val="18"/>
          <w:szCs w:val="18"/>
          <w:color w:val="auto"/>
        </w:rPr>
      </w:pPr>
    </w:p>
    <w:p>
      <w:pPr>
        <w:ind w:right="40" w:firstLine="921"/>
        <w:spacing w:after="0" w:line="256" w:lineRule="auto"/>
        <w:tabs>
          <w:tab w:leader="none" w:pos="1161"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20" w:right="20" w:hanging="440"/>
        <w:spacing w:after="0" w:line="254" w:lineRule="auto"/>
        <w:tabs>
          <w:tab w:leader="none" w:pos="1920" w:val="left"/>
        </w:tabs>
        <w:numPr>
          <w:ilvl w:val="2"/>
          <w:numId w:val="90"/>
        </w:numPr>
        <w:rPr>
          <w:rFonts w:ascii="Arial" w:cs="Arial" w:eastAsia="Arial" w:hAnsi="Arial"/>
          <w:sz w:val="18"/>
          <w:szCs w:val="18"/>
          <w:color w:val="auto"/>
        </w:rPr>
      </w:pPr>
      <w:r>
        <w:rPr>
          <w:rFonts w:ascii="Arial" w:cs="Arial" w:eastAsia="Arial" w:hAnsi="Arial"/>
          <w:sz w:val="18"/>
          <w:szCs w:val="18"/>
          <w:color w:val="auto"/>
        </w:rPr>
        <w:t>In connection with the grant of any Award, the occurrence of a Vesting Date under any Award or the distribution of a Grantee’s Account, the Company shall have the right to (A)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67" w:name="page68"/>
    <w:bookmarkEnd w:id="67"/>
    <w:p>
      <w:pPr>
        <w:ind w:left="1920" w:hanging="440"/>
        <w:spacing w:after="0" w:line="285" w:lineRule="auto"/>
        <w:tabs>
          <w:tab w:leader="none" w:pos="1920" w:val="left"/>
        </w:tabs>
        <w:numPr>
          <w:ilvl w:val="1"/>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otherwise provided in this Paragraph 9(c)(ii), any tax liabilities incurred in connection with grant of any Award, the occurrence of a Vesting Date under any Award under the Plan or the distribution of a Grantee’s Account shall, to the extent such liabilities cannot be satisfied in full by withholding cash payable in connection with such event,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Vesting Date or Account distribution. In all cases, the Shares so withheld by the Company shall have a Fair Market Value that does not exceed the amount of taxes to be withheld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242" w:lineRule="exact"/>
        <w:rPr>
          <w:rFonts w:ascii="Arial" w:cs="Arial" w:eastAsia="Arial" w:hAnsi="Arial"/>
          <w:sz w:val="16"/>
          <w:szCs w:val="16"/>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p>
    <w:p>
      <w:pPr>
        <w:spacing w:after="0" w:line="90" w:lineRule="exact"/>
        <w:rPr>
          <w:sz w:val="20"/>
          <w:szCs w:val="20"/>
          <w:color w:val="auto"/>
        </w:rPr>
      </w:pPr>
    </w:p>
    <w:p>
      <w:pPr>
        <w:ind w:right="360" w:firstLine="913"/>
        <w:spacing w:after="0" w:line="256" w:lineRule="auto"/>
        <w:rPr>
          <w:sz w:val="20"/>
          <w:szCs w:val="20"/>
          <w:color w:val="auto"/>
        </w:rPr>
      </w:pPr>
      <w:r>
        <w:rPr>
          <w:rFonts w:ascii="Arial" w:cs="Arial" w:eastAsia="Arial" w:hAnsi="Arial"/>
          <w:sz w:val="18"/>
          <w:szCs w:val="18"/>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68" w:name="page69"/>
    <w:bookmarkEnd w:id="68"/>
    <w:p>
      <w:pPr>
        <w:jc w:val="both"/>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228"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TERMINATING EVENTS</w:t>
      </w:r>
    </w:p>
    <w:p>
      <w:pPr>
        <w:spacing w:after="0" w:line="9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240"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CLAIMS PROCEDURE</w:t>
      </w:r>
    </w:p>
    <w:p>
      <w:pPr>
        <w:spacing w:after="0" w:line="90"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4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51" w:lineRule="exact"/>
        <w:rPr>
          <w:sz w:val="20"/>
          <w:szCs w:val="20"/>
          <w:color w:val="auto"/>
        </w:rPr>
      </w:pPr>
    </w:p>
    <w:p>
      <w:pPr>
        <w:ind w:left="1140" w:hanging="237"/>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80" w:right="299" w:bottom="1440" w:gutter="0" w:footer="0" w:header="0"/>
        </w:sectPr>
      </w:pPr>
    </w:p>
    <w:bookmarkStart w:id="69" w:name="page70"/>
    <w:bookmarkEnd w:id="69"/>
    <w:p>
      <w:pPr>
        <w:ind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16"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Comcast Corporation</w:t>
      </w:r>
    </w:p>
    <w:p>
      <w:pPr>
        <w:spacing w:after="0" w:line="3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One Comcast Center,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1701 John F. Kennedy Boulevard</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Philadelphia, PA 19103-2838</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70" w:name="page71"/>
    <w:bookmarkEnd w:id="70"/>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REPAYMENT</w:t>
      </w:r>
    </w:p>
    <w:p>
      <w:pPr>
        <w:spacing w:after="0" w:line="90" w:lineRule="exact"/>
        <w:rPr>
          <w:sz w:val="20"/>
          <w:szCs w:val="20"/>
          <w:color w:val="auto"/>
        </w:rPr>
      </w:pPr>
    </w:p>
    <w:p>
      <w:pPr>
        <w:ind w:right="80" w:firstLine="913"/>
        <w:spacing w:after="0" w:line="302" w:lineRule="auto"/>
        <w:rPr>
          <w:sz w:val="20"/>
          <w:szCs w:val="20"/>
          <w:color w:val="auto"/>
        </w:rPr>
      </w:pPr>
      <w:r>
        <w:rPr>
          <w:rFonts w:ascii="Arial" w:cs="Arial" w:eastAsia="Arial" w:hAnsi="Arial"/>
          <w:sz w:val="15"/>
          <w:szCs w:val="15"/>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w:t>
      </w:r>
    </w:p>
    <w:p>
      <w:pPr>
        <w:spacing w:after="0" w:line="1" w:lineRule="exact"/>
        <w:rPr>
          <w:sz w:val="20"/>
          <w:szCs w:val="20"/>
          <w:color w:val="auto"/>
        </w:rPr>
      </w:pPr>
    </w:p>
    <w:p>
      <w:pPr>
        <w:ind w:right="220" w:firstLine="8"/>
        <w:spacing w:after="0" w:line="302" w:lineRule="auto"/>
        <w:tabs>
          <w:tab w:leader="none" w:pos="258"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231"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p>
    <w:p>
      <w:pPr>
        <w:spacing w:after="0" w:line="90"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254"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p>
    <w:p>
      <w:pPr>
        <w:spacing w:after="0" w:line="90"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This amendment and restatement of the Plan shall be effective March 24, 2008. The Plan shall expire on February 25, 2013, unless sooner terminated by the Board, provided that subject to the approval of the Sponsor’s shareholders at the 2008 Annual Meeting, the expiration date of the Plan shall be extended from February 25, 2013 to the day before the tenth anniversary of the 2008 Annual Meeting, unless sooner terminated by the Board.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71" w:name="page72"/>
    <w:bookmarkEnd w:id="71"/>
    <w:p>
      <w:pPr>
        <w:ind w:left="452" w:hanging="452"/>
        <w:spacing w:after="0"/>
        <w:tabs>
          <w:tab w:leader="none" w:pos="452"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p>
    <w:p>
      <w:pPr>
        <w:spacing w:after="0" w:line="90" w:lineRule="exact"/>
        <w:rPr>
          <w:sz w:val="20"/>
          <w:szCs w:val="20"/>
          <w:color w:val="auto"/>
        </w:rPr>
      </w:pPr>
    </w:p>
    <w:p>
      <w:pPr>
        <w:ind w:left="912"/>
        <w:spacing w:after="0"/>
        <w:rPr>
          <w:sz w:val="20"/>
          <w:szCs w:val="20"/>
          <w:color w:val="auto"/>
        </w:rPr>
      </w:pPr>
      <w:r>
        <w:rPr>
          <w:rFonts w:ascii="Arial" w:cs="Arial" w:eastAsia="Arial" w:hAnsi="Arial"/>
          <w:sz w:val="15"/>
          <w:szCs w:val="15"/>
          <w:color w:val="auto"/>
        </w:rPr>
        <w:t>The Plan and all determinations made and actions taken pursuant to the Plan shall be governed in accordance with Pennsylvania law.</w:t>
      </w:r>
    </w:p>
    <w:p>
      <w:pPr>
        <w:spacing w:after="0" w:line="206" w:lineRule="exact"/>
        <w:rPr>
          <w:sz w:val="20"/>
          <w:szCs w:val="20"/>
          <w:color w:val="auto"/>
        </w:rPr>
      </w:pPr>
    </w:p>
    <w:p>
      <w:pPr>
        <w:ind w:left="912"/>
        <w:spacing w:after="0"/>
        <w:rPr>
          <w:sz w:val="20"/>
          <w:szCs w:val="20"/>
          <w:color w:val="auto"/>
        </w:rPr>
      </w:pPr>
      <w:r>
        <w:rPr>
          <w:rFonts w:ascii="Arial" w:cs="Arial" w:eastAsia="Arial" w:hAnsi="Arial"/>
          <w:sz w:val="18"/>
          <w:szCs w:val="18"/>
          <w:color w:val="auto"/>
        </w:rPr>
        <w:t>Executed as of the 24th day of March, 2008.</w:t>
      </w:r>
    </w:p>
    <w:p>
      <w:pPr>
        <w:spacing w:after="0" w:line="212"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 /s/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4587875</wp:posOffset>
            </wp:positionH>
            <wp:positionV relativeFrom="paragraph">
              <wp:posOffset>10795</wp:posOffset>
            </wp:positionV>
            <wp:extent cx="26587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4802505</wp:posOffset>
            </wp:positionH>
            <wp:positionV relativeFrom="paragraph">
              <wp:posOffset>10795</wp:posOffset>
            </wp:positionV>
            <wp:extent cx="24441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65" w:lineRule="exact"/>
        <w:rPr>
          <w:sz w:val="20"/>
          <w:szCs w:val="20"/>
          <w:color w:val="auto"/>
        </w:rPr>
      </w:pPr>
    </w:p>
    <w:p>
      <w:pPr>
        <w:ind w:left="5552"/>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32"/>
          </w:cols>
          <w:pgMar w:left="248" w:top="280" w:right="141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May 1, 2008</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Michael J. Angelakis, certify that:</w:t>
      </w:r>
    </w:p>
    <w:p>
      <w:pPr>
        <w:spacing w:after="0" w:line="77"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May 1, 2008</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May 1, 2008</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Brian L. Roberts, the Chief Executive Officer and Michael J. Angelakis, the Chief Financial Officer, each certifies that, to the best of his knowledge:</w:t>
      </w:r>
    </w:p>
    <w:p>
      <w:pPr>
        <w:spacing w:after="0" w:line="100"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1)"/>
      <w:numFmt w:val="decimal"/>
      <w:start w:val="218"/>
    </w:lvl>
  </w:abstractNum>
  <w:abstractNum w:abstractNumId="3">
    <w:nsid w:val="520EEDD1"/>
    <w:multiLevelType w:val="hybridMultilevel"/>
    <w:lvl w:ilvl="0">
      <w:lvlJc w:val="left"/>
      <w:lvlText w:val="(%1)"/>
      <w:numFmt w:val="decimal"/>
      <w:start w:val="28"/>
    </w:lvl>
  </w:abstractNum>
  <w:abstractNum w:abstractNumId="4">
    <w:nsid w:val="374A3FE6"/>
    <w:multiLevelType w:val="hybridMultilevel"/>
    <w:lvl w:ilvl="0">
      <w:lvlJc w:val="left"/>
      <w:lvlText w:val="(%1)"/>
      <w:numFmt w:val="decimal"/>
      <w:start w:val="126"/>
    </w:lvl>
  </w:abstractNum>
  <w:abstractNum w:abstractNumId="5">
    <w:nsid w:val="4F4EF005"/>
    <w:multiLevelType w:val="hybridMultilevel"/>
    <w:lvl w:ilvl="0">
      <w:lvlJc w:val="left"/>
      <w:lvlText w:val="(%1)"/>
      <w:numFmt w:val="decimal"/>
      <w:start w:val="29"/>
    </w:lvl>
  </w:abstractNum>
  <w:abstractNum w:abstractNumId="6">
    <w:nsid w:val="23F9C13C"/>
    <w:multiLevelType w:val="hybridMultilevel"/>
    <w:lvl w:ilvl="0">
      <w:lvlJc w:val="left"/>
      <w:lvlText w:val="(%1)"/>
      <w:numFmt w:val="decimal"/>
      <w:start w:val="26"/>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1)"/>
      <w:numFmt w:val="lowerLetter"/>
      <w:start w:val="1"/>
    </w:lvl>
  </w:abstractNum>
  <w:abstractNum w:abstractNumId="10">
    <w:nsid w:val="1CF10FD8"/>
    <w:multiLevelType w:val="hybridMultilevel"/>
    <w:lvl w:ilvl="0">
      <w:lvlJc w:val="left"/>
      <w:lvlText w:val="(%1)"/>
      <w:numFmt w:val="lowerLetter"/>
      <w:start w:val="2"/>
    </w:lvl>
  </w:abstractNum>
  <w:abstractNum w:abstractNumId="11">
    <w:nsid w:val="180115BE"/>
    <w:multiLevelType w:val="hybridMultilevel"/>
    <w:lvl w:ilvl="0">
      <w:lvlJc w:val="left"/>
      <w:lvlText w:val="(%1)"/>
      <w:numFmt w:val="lowerLetter"/>
      <w:start w:val="6"/>
    </w:lvl>
    <w:lvl w:ilvl="1">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1)"/>
      <w:numFmt w:val="lowerLetter"/>
      <w:start w:val="1"/>
    </w:lvl>
  </w:abstractNum>
  <w:abstractNum w:abstractNumId="14">
    <w:nsid w:val="354FE9F9"/>
    <w:multiLevelType w:val="hybridMultilevel"/>
    <w:lvl w:ilvl="0">
      <w:lvlJc w:val="left"/>
      <w:lvlText w:val="%1"/>
      <w:numFmt w:val="decimal"/>
      <w:start w:val="31"/>
    </w:lvl>
  </w:abstractNum>
  <w:abstractNum w:abstractNumId="15">
    <w:nsid w:val="15B5AF5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6">
    <w:nsid w:val="741226BB"/>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1"/>
    </w:lvl>
  </w:abstractNum>
  <w:abstractNum w:abstractNumId="17">
    <w:nsid w:val="D34B6A8"/>
    <w:multiLevelType w:val="hybridMultilevel"/>
    <w:lvl w:ilvl="0">
      <w:lvlJc w:val="left"/>
      <w:lvlText w:val="(%1)"/>
      <w:numFmt w:val="lowerLetter"/>
      <w:start w:val="6"/>
    </w:lvl>
    <w:lvl w:ilvl="1">
      <w:lvlJc w:val="left"/>
      <w:lvlText w:val="(%2)"/>
      <w:numFmt w:val="lowerRoman"/>
      <w:start w:val="1"/>
    </w:lvl>
  </w:abstractNum>
  <w:abstractNum w:abstractNumId="18">
    <w:nsid w:val="10233C99"/>
    <w:multiLevelType w:val="hybridMultilevel"/>
    <w:lvl w:ilvl="0">
      <w:lvlJc w:val="left"/>
      <w:lvlText w:val="(%1)"/>
      <w:numFmt w:val="lowerLetter"/>
      <w:start w:val="1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9">
    <w:nsid w:val="3F6AB60F"/>
    <w:multiLevelType w:val="hybridMultilevel"/>
    <w:lvl w:ilvl="0">
      <w:lvlJc w:val="left"/>
      <w:lvlText w:val="(%1)"/>
      <w:numFmt w:val="decimal"/>
      <w:start w:val="2"/>
    </w:lvl>
  </w:abstractNum>
  <w:abstractNum w:abstractNumId="20">
    <w:nsid w:val="61574095"/>
    <w:multiLevelType w:val="hybridMultilevel"/>
    <w:lvl w:ilvl="0">
      <w:lvlJc w:val="left"/>
      <w:lvlText w:val="(%1)"/>
      <w:numFmt w:val="lowerLetter"/>
      <w:start w:val="23"/>
    </w:lvl>
    <w:lvl w:ilvl="1">
      <w:lvlJc w:val="left"/>
      <w:lvlText w:val="(%2)"/>
      <w:numFmt w:val="lowerRoman"/>
      <w:start w:val="1"/>
    </w:lvl>
  </w:abstractNum>
  <w:abstractNum w:abstractNumId="21">
    <w:nsid w:val="7E0C57B1"/>
    <w:multiLevelType w:val="hybridMultilevel"/>
    <w:lvl w:ilvl="0">
      <w:lvlJc w:val="left"/>
      <w:lvlText w:val="%1"/>
      <w:numFmt w:val="lowerLetter"/>
      <w:start w:val="1"/>
    </w:lvl>
    <w:lvl w:ilvl="1">
      <w:lvlJc w:val="left"/>
      <w:lvlText w:val="(%2)"/>
      <w:numFmt w:val="lowerLetter"/>
      <w:start w:val="61"/>
    </w:lvl>
  </w:abstractNum>
  <w:abstractNum w:abstractNumId="22">
    <w:nsid w:val="77AE35EB"/>
    <w:multiLevelType w:val="hybridMultilevel"/>
    <w:lvl w:ilvl="0">
      <w:lvlJc w:val="left"/>
      <w:lvlText w:val="(%1)"/>
      <w:numFmt w:val="lowerLetter"/>
      <w:start w:val="27"/>
    </w:lvl>
    <w:lvl w:ilvl="1">
      <w:lvlJc w:val="left"/>
      <w:lvlText w:val="(%2)"/>
      <w:numFmt w:val="lowerLetter"/>
      <w:start w:val="9"/>
    </w:lvl>
  </w:abstractNum>
  <w:abstractNum w:abstractNumId="23">
    <w:nsid w:val="579BE4F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4">
    <w:nsid w:val="310C50B3"/>
    <w:multiLevelType w:val="hybridMultilevel"/>
    <w:lvl w:ilvl="0">
      <w:lvlJc w:val="left"/>
      <w:lvlText w:val="%1"/>
      <w:numFmt w:val="decimal"/>
      <w:start w:val="1"/>
    </w:lvl>
    <w:lvl w:ilvl="1">
      <w:lvlJc w:val="left"/>
      <w:lvlText w:val="(%2)"/>
      <w:numFmt w:val="lowerLetter"/>
      <w:start w:val="32"/>
    </w:lvl>
    <w:lvl w:ilvl="2">
      <w:lvlJc w:val="left"/>
      <w:lvlText w:val="%3"/>
      <w:numFmt w:val="lowerLetter"/>
      <w:start w:val="1"/>
    </w:lvl>
  </w:abstractNum>
  <w:abstractNum w:abstractNumId="25">
    <w:nsid w:val="5FF87E0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6">
    <w:nsid w:val="2F305DEF"/>
    <w:multiLevelType w:val="hybridMultilevel"/>
    <w:lvl w:ilvl="0">
      <w:lvlJc w:val="left"/>
      <w:lvlText w:val="%1"/>
      <w:numFmt w:val="lowerLetter"/>
      <w:start w:val="1"/>
    </w:lvl>
    <w:lvl w:ilvl="1">
      <w:lvlJc w:val="left"/>
      <w:lvlText w:val="(%2)"/>
      <w:numFmt w:val="lowerRoman"/>
      <w:start w:val="2"/>
    </w:lvl>
  </w:abstractNum>
  <w:abstractNum w:abstractNumId="27">
    <w:nsid w:val="25A70BF7"/>
    <w:multiLevelType w:val="hybridMultilevel"/>
    <w:lvl w:ilvl="0">
      <w:lvlJc w:val="left"/>
      <w:lvlText w:val="(%1)"/>
      <w:numFmt w:val="lowerLetter"/>
      <w:start w:val="2"/>
    </w:lvl>
    <w:lvl w:ilvl="1">
      <w:lvlJc w:val="left"/>
      <w:lvlText w:val="%2"/>
      <w:numFmt w:val="lowerRoman"/>
      <w:start w:val="1"/>
    </w:lvl>
  </w:abstractNum>
  <w:abstractNum w:abstractNumId="28">
    <w:nsid w:val="1DBABF00"/>
    <w:multiLevelType w:val="hybridMultilevel"/>
    <w:lvl w:ilvl="0">
      <w:lvlJc w:val="left"/>
      <w:lvlText w:val="%1."/>
      <w:numFmt w:val="decimal"/>
      <w:start w:val="4"/>
    </w:lvl>
  </w:abstractNum>
  <w:abstractNum w:abstractNumId="29">
    <w:nsid w:val="4AD084E9"/>
    <w:multiLevelType w:val="hybridMultilevel"/>
    <w:lvl w:ilvl="0">
      <w:lvlJc w:val="left"/>
      <w:lvlText w:val="(%1)"/>
      <w:numFmt w:val="lowerLetter"/>
      <w:start w:val="2"/>
    </w:lvl>
    <w:lvl w:ilvl="1">
      <w:lvlJc w:val="left"/>
      <w:lvlText w:val="%2."/>
      <w:numFmt w:val="decimal"/>
      <w:start w:val="5"/>
    </w:lvl>
    <w:lvl w:ilvl="2">
      <w:lvlJc w:val="left"/>
      <w:lvlText w:val="(%3)"/>
      <w:numFmt w:val="lowerLetter"/>
      <w:start w:val="1"/>
    </w:lvl>
    <w:lvl w:ilvl="3">
      <w:lvlJc w:val="left"/>
      <w:lvlText w:val="(%4)"/>
      <w:numFmt w:val="lowerLetter"/>
      <w:start w:val="9"/>
    </w:lvl>
  </w:abstractNum>
  <w:abstractNum w:abstractNumId="30">
    <w:nsid w:val="1F48EAA1"/>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3"/>
    </w:lvl>
    <w:lvl w:ilvl="3">
      <w:lvlJc w:val="left"/>
      <w:lvlText w:val="(%4)"/>
      <w:numFmt w:val="lowerLetter"/>
      <w:start w:val="24"/>
    </w:lvl>
  </w:abstractNum>
  <w:abstractNum w:abstractNumId="31">
    <w:nsid w:val="1381823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lvl w:ilvl="3">
      <w:lvlJc w:val="left"/>
      <w:lvlText w:val="%4"/>
      <w:numFmt w:val="lowerLetter"/>
      <w:start w:val="1"/>
    </w:lvl>
  </w:abstractNum>
  <w:abstractNum w:abstractNumId="32">
    <w:nsid w:val="5DB70AE5"/>
    <w:multiLevelType w:val="hybridMultilevel"/>
    <w:lvl w:ilvl="0">
      <w:lvlJc w:val="left"/>
      <w:lvlText w:val="%1."/>
      <w:numFmt w:val="decimal"/>
      <w:start w:val="6"/>
    </w:lvl>
    <w:lvl w:ilvl="1">
      <w:lvlJc w:val="left"/>
      <w:lvlText w:val="(%2)"/>
      <w:numFmt w:val="lowerLetter"/>
      <w:start w:val="1"/>
    </w:lvl>
  </w:abstractNum>
  <w:abstractNum w:abstractNumId="33">
    <w:nsid w:val="100F8FCA"/>
    <w:multiLevelType w:val="hybridMultilevel"/>
    <w:lvl w:ilvl="0">
      <w:lvlJc w:val="left"/>
      <w:lvlText w:val="(%1)"/>
      <w:numFmt w:val="lowerLetter"/>
      <w:start w:val="1"/>
    </w:lvl>
  </w:abstractNum>
  <w:abstractNum w:abstractNumId="34">
    <w:nsid w:val="6590700B"/>
    <w:multiLevelType w:val="hybridMultilevel"/>
    <w:lvl w:ilvl="0">
      <w:lvlJc w:val="left"/>
      <w:lvlText w:val="(%1)"/>
      <w:numFmt w:val="lowerLetter"/>
      <w:start w:val="4"/>
    </w:lvl>
    <w:lvl w:ilvl="1">
      <w:lvlJc w:val="left"/>
      <w:lvlText w:val="(%2)"/>
      <w:numFmt w:val="lowerRoman"/>
      <w:start w:val="1"/>
    </w:lvl>
  </w:abstractNum>
  <w:abstractNum w:abstractNumId="35">
    <w:nsid w:val="15014ACB"/>
    <w:multiLevelType w:val="hybridMultilevel"/>
    <w:lvl w:ilvl="0">
      <w:lvlJc w:val="left"/>
      <w:lvlText w:val="(%1)"/>
      <w:numFmt w:val="lowerRoman"/>
      <w:start w:val="4"/>
    </w:lvl>
  </w:abstractNum>
  <w:abstractNum w:abstractNumId="36">
    <w:nsid w:val="5F5E7FD0"/>
    <w:multiLevelType w:val="hybridMultilevel"/>
    <w:lvl w:ilvl="0">
      <w:lvlJc w:val="left"/>
      <w:lvlText w:val="(%1)"/>
      <w:numFmt w:val="lowerLetter"/>
      <w:start w:val="5"/>
    </w:lvl>
  </w:abstractNum>
  <w:abstractNum w:abstractNumId="37">
    <w:nsid w:val="98A3148"/>
    <w:multiLevelType w:val="hybridMultilevel"/>
    <w:lvl w:ilvl="0">
      <w:lvlJc w:val="left"/>
      <w:lvlText w:val="(%1)"/>
      <w:numFmt w:val="lowerLetter"/>
      <w:start w:val="7"/>
    </w:lvl>
    <w:lvl w:ilvl="1">
      <w:lvlJc w:val="left"/>
      <w:lvlText w:val="(%2)"/>
      <w:numFmt w:val="lowerRoman"/>
      <w:start w:val="1"/>
    </w:lvl>
  </w:abstractNum>
  <w:abstractNum w:abstractNumId="38">
    <w:nsid w:val="799D0247"/>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39">
    <w:nsid w:val="6B94764"/>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40">
    <w:nsid w:val="42C296BD"/>
    <w:multiLevelType w:val="hybridMultilevel"/>
    <w:lvl w:ilvl="0">
      <w:lvlJc w:val="left"/>
      <w:lvlText w:val="%1."/>
      <w:numFmt w:val="decimal"/>
      <w:start w:val="9"/>
    </w:lvl>
  </w:abstractNum>
  <w:abstractNum w:abstractNumId="41">
    <w:nsid w:val="168E121F"/>
    <w:multiLevelType w:val="hybridMultilevel"/>
    <w:lvl w:ilvl="0">
      <w:lvlJc w:val="left"/>
      <w:lvlText w:val="%1."/>
      <w:numFmt w:val="decimal"/>
      <w:start w:val="10"/>
    </w:lvl>
  </w:abstractNum>
  <w:abstractNum w:abstractNumId="42">
    <w:nsid w:val="1EBA5D23"/>
    <w:multiLevelType w:val="hybridMultilevel"/>
    <w:lvl w:ilvl="0">
      <w:lvlJc w:val="left"/>
      <w:lvlText w:val="%1."/>
      <w:numFmt w:val="decimal"/>
      <w:start w:val="11"/>
    </w:lvl>
    <w:lvl w:ilvl="1">
      <w:lvlJc w:val="left"/>
      <w:lvlText w:val="(%2)"/>
      <w:numFmt w:val="lowerLetter"/>
      <w:start w:val="1"/>
    </w:lvl>
  </w:abstractNum>
  <w:abstractNum w:abstractNumId="43">
    <w:nsid w:val="661E3F1E"/>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44">
    <w:nsid w:val="5DC79E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5">
    <w:nsid w:val="540A471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6">
    <w:nsid w:val="7BD3EE7B"/>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47">
    <w:nsid w:val="51D9C564"/>
    <w:multiLevelType w:val="hybridMultilevel"/>
    <w:lvl w:ilvl="0">
      <w:lvlJc w:val="left"/>
      <w:lvlText w:val="%1"/>
      <w:numFmt w:val="decimal"/>
      <w:start w:val="1"/>
    </w:lvl>
    <w:lvl w:ilvl="1">
      <w:lvlJc w:val="left"/>
      <w:lvlText w:val="(%2)"/>
      <w:numFmt w:val="lowerLetter"/>
      <w:start w:val="3"/>
    </w:lvl>
  </w:abstractNum>
  <w:abstractNum w:abstractNumId="48">
    <w:nsid w:val="613EFDC5"/>
    <w:multiLevelType w:val="hybridMultilevel"/>
    <w:lvl w:ilvl="0">
      <w:lvlJc w:val="left"/>
      <w:lvlText w:val="%1."/>
      <w:numFmt w:val="decimal"/>
      <w:start w:val="16"/>
    </w:lvl>
    <w:lvl w:ilvl="1">
      <w:lvlJc w:val="left"/>
      <w:lvlText w:val="%2"/>
      <w:numFmt w:val="lowerLetter"/>
      <w:start w:val="1"/>
    </w:lvl>
  </w:abstractNum>
  <w:abstractNum w:abstractNumId="49">
    <w:nsid w:val="BF72B14"/>
    <w:multiLevelType w:val="hybridMultilevel"/>
    <w:lvl w:ilvl="0">
      <w:lvlJc w:val="left"/>
      <w:lvlText w:val="%1."/>
      <w:numFmt w:val="decimal"/>
      <w:start w:val="17"/>
    </w:lvl>
  </w:abstractNum>
  <w:abstractNum w:abstractNumId="50">
    <w:nsid w:val="11447B73"/>
    <w:multiLevelType w:val="hybridMultilevel"/>
    <w:lvl w:ilvl="0">
      <w:lvlJc w:val="left"/>
      <w:lvlText w:val="%1."/>
      <w:numFmt w:val="decimal"/>
      <w:start w:val="1"/>
    </w:lvl>
    <w:lvl w:ilvl="1">
      <w:lvlJc w:val="left"/>
      <w:lvlText w:val="(%2)"/>
      <w:numFmt w:val="lowerLetter"/>
      <w:start w:val="1"/>
    </w:lvl>
  </w:abstractNum>
  <w:abstractNum w:abstractNumId="51">
    <w:nsid w:val="42963E5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2">
    <w:nsid w:val="A0382C5"/>
    <w:multiLevelType w:val="hybridMultilevel"/>
    <w:lvl w:ilvl="0">
      <w:lvlJc w:val="left"/>
      <w:lvlText w:val="(%1)"/>
      <w:numFmt w:val="lowerLetter"/>
      <w:start w:val="7"/>
    </w:lvl>
    <w:lvl w:ilvl="1">
      <w:lvlJc w:val="left"/>
      <w:lvlText w:val="(%2)"/>
      <w:numFmt w:val="lowerRoman"/>
      <w:start w:val="1"/>
    </w:lvl>
  </w:abstractNum>
  <w:abstractNum w:abstractNumId="53">
    <w:nsid w:val="8F2B15E"/>
    <w:multiLevelType w:val="hybridMultilevel"/>
    <w:lvl w:ilvl="0">
      <w:lvlJc w:val="left"/>
      <w:lvlText w:val="(%1)"/>
      <w:numFmt w:val="lowerLetter"/>
      <w:start w:val="15"/>
    </w:lvl>
    <w:lvl w:ilvl="1">
      <w:lvlJc w:val="left"/>
      <w:lvlText w:val="(%2)"/>
      <w:numFmt w:val="lowerRoman"/>
      <w:start w:val="1"/>
    </w:lvl>
  </w:abstractNum>
  <w:abstractNum w:abstractNumId="54">
    <w:nsid w:val="1A32234B"/>
    <w:multiLevelType w:val="hybridMultilevel"/>
    <w:lvl w:ilvl="0">
      <w:lvlJc w:val="left"/>
      <w:lvlText w:val="(%1)"/>
      <w:numFmt w:val="lowerLetter"/>
      <w:start w:val="21"/>
    </w:lvl>
    <w:lvl w:ilvl="1">
      <w:lvlJc w:val="left"/>
      <w:lvlText w:val="(%2)"/>
      <w:numFmt w:val="lowerRoman"/>
      <w:start w:val="1"/>
    </w:lvl>
  </w:abstractNum>
  <w:abstractNum w:abstractNumId="55">
    <w:nsid w:val="3B0FD379"/>
    <w:multiLevelType w:val="hybridMultilevel"/>
    <w:lvl w:ilvl="0">
      <w:lvlJc w:val="left"/>
      <w:lvlText w:val="%1"/>
      <w:numFmt w:val="lowerLetter"/>
      <w:start w:val="1"/>
    </w:lvl>
    <w:lvl w:ilvl="1">
      <w:lvlJc w:val="left"/>
      <w:lvlText w:val="(%2)"/>
      <w:numFmt w:val="lowerLetter"/>
      <w:start w:val="61"/>
    </w:lvl>
  </w:abstractNum>
  <w:abstractNum w:abstractNumId="56">
    <w:nsid w:val="68EB2F63"/>
    <w:multiLevelType w:val="hybridMultilevel"/>
    <w:lvl w:ilvl="0">
      <w:lvlJc w:val="left"/>
      <w:lvlText w:val="(%1)"/>
      <w:numFmt w:val="lowerLetter"/>
      <w:start w:val="27"/>
    </w:lvl>
    <w:lvl w:ilvl="1">
      <w:lvlJc w:val="left"/>
      <w:lvlText w:val="(%2)"/>
      <w:numFmt w:val="lowerLetter"/>
      <w:start w:val="9"/>
    </w:lvl>
  </w:abstractNum>
  <w:abstractNum w:abstractNumId="57">
    <w:nsid w:val="4962813B"/>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58">
    <w:nsid w:val="60B6DF70"/>
    <w:multiLevelType w:val="hybridMultilevel"/>
    <w:lvl w:ilvl="0">
      <w:lvlJc w:val="left"/>
      <w:lvlText w:val="(%1)"/>
      <w:numFmt w:val="lowerLetter"/>
      <w:start w:val="36"/>
    </w:lvl>
  </w:abstractNum>
  <w:abstractNum w:abstractNumId="59">
    <w:nsid w:val="6A5EE64"/>
    <w:multiLevelType w:val="hybridMultilevel"/>
    <w:lvl w:ilvl="0">
      <w:lvlJc w:val="left"/>
      <w:lvlText w:val="(%1)"/>
      <w:numFmt w:val="lowerLetter"/>
      <w:start w:val="37"/>
    </w:lvl>
    <w:lvl w:ilvl="1">
      <w:lvlJc w:val="left"/>
      <w:lvlText w:val="(%2)"/>
      <w:numFmt w:val="lowerRoman"/>
      <w:start w:val="1"/>
    </w:lvl>
  </w:abstractNum>
  <w:abstractNum w:abstractNumId="60">
    <w:nsid w:val="14330624"/>
    <w:multiLevelType w:val="hybridMultilevel"/>
    <w:lvl w:ilvl="0">
      <w:lvlJc w:val="left"/>
      <w:lvlText w:val="(%1)"/>
      <w:numFmt w:val="lowerLetter"/>
      <w:start w:val="49"/>
    </w:lvl>
  </w:abstractNum>
  <w:abstractNum w:abstractNumId="61">
    <w:nsid w:val="7FFFCA11"/>
    <w:multiLevelType w:val="hybridMultilevel"/>
    <w:lvl w:ilvl="0">
      <w:lvlJc w:val="left"/>
      <w:lvlText w:val="(%1)"/>
      <w:numFmt w:val="lowerLetter"/>
      <w:start w:val="53"/>
    </w:lvl>
    <w:lvl w:ilvl="1">
      <w:lvlJc w:val="left"/>
      <w:lvlText w:val="(%2)"/>
      <w:numFmt w:val="lowerRoman"/>
      <w:start w:val="1"/>
    </w:lvl>
  </w:abstractNum>
  <w:abstractNum w:abstractNumId="62">
    <w:nsid w:val="1A27709E"/>
    <w:multiLevelType w:val="hybridMultilevel"/>
    <w:lvl w:ilvl="0">
      <w:lvlJc w:val="left"/>
      <w:lvlText w:val="%1."/>
      <w:numFmt w:val="decimal"/>
      <w:start w:val="3"/>
    </w:lvl>
  </w:abstractNum>
  <w:abstractNum w:abstractNumId="63">
    <w:nsid w:val="71EA1109"/>
    <w:multiLevelType w:val="hybridMultilevel"/>
    <w:lvl w:ilvl="0">
      <w:lvlJc w:val="left"/>
      <w:lvlText w:val="(%1)"/>
      <w:numFmt w:val="lowerLetter"/>
      <w:start w:val="1"/>
    </w:lvl>
  </w:abstractNum>
  <w:abstractNum w:abstractNumId="64">
    <w:nsid w:val="100F59D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5">
    <w:nsid w:val="7FB7E0A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6">
    <w:nsid w:val="6EB5BD4"/>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24"/>
    </w:lvl>
  </w:abstractNum>
  <w:abstractNum w:abstractNumId="67">
    <w:nsid w:val="6F6DD9AC"/>
    <w:multiLevelType w:val="hybridMultilevel"/>
    <w:lvl w:ilvl="0">
      <w:lvlJc w:val="left"/>
      <w:lvlText w:val="(%1)"/>
      <w:numFmt w:val="lowerRoman"/>
      <w:start w:val="2"/>
    </w:lvl>
  </w:abstractNum>
  <w:abstractNum w:abstractNumId="68">
    <w:nsid w:val="94211F2"/>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69">
    <w:nsid w:val="885E1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0">
    <w:nsid w:val="76272110"/>
    <w:multiLevelType w:val="hybridMultilevel"/>
    <w:lvl w:ilvl="0">
      <w:lvlJc w:val="left"/>
      <w:lvlText w:val="%1."/>
      <w:numFmt w:val="decimal"/>
      <w:start w:val="7"/>
    </w:lvl>
  </w:abstractNum>
  <w:abstractNum w:abstractNumId="71">
    <w:nsid w:val="4C04A8AF"/>
    <w:multiLevelType w:val="hybridMultilevel"/>
    <w:lvl w:ilvl="0">
      <w:lvlJc w:val="left"/>
      <w:lvlText w:val="(%1)"/>
      <w:numFmt w:val="lowerLetter"/>
      <w:start w:val="1"/>
    </w:lvl>
  </w:abstractNum>
  <w:abstractNum w:abstractNumId="72">
    <w:nsid w:val="1716703B"/>
    <w:multiLevelType w:val="hybridMultilevel"/>
    <w:lvl w:ilvl="0">
      <w:lvlJc w:val="left"/>
      <w:lvlText w:val="%1"/>
      <w:numFmt w:val="lowerLetter"/>
      <w:start w:val="1"/>
    </w:lvl>
    <w:lvl w:ilvl="1">
      <w:lvlJc w:val="left"/>
      <w:lvlText w:val="(%2)"/>
      <w:numFmt w:val="lowerLetter"/>
      <w:start w:val="4"/>
    </w:lvl>
  </w:abstractNum>
  <w:abstractNum w:abstractNumId="73">
    <w:nsid w:val="14E17E33"/>
    <w:multiLevelType w:val="hybridMultilevel"/>
    <w:lvl w:ilvl="0">
      <w:lvlJc w:val="left"/>
      <w:lvlText w:val="(%1)"/>
      <w:numFmt w:val="lowerLetter"/>
      <w:start w:val="9"/>
    </w:lvl>
    <w:lvl w:ilvl="1">
      <w:lvlJc w:val="left"/>
      <w:lvlText w:val="%2"/>
      <w:numFmt w:val="lowerLetter"/>
      <w:start w:val="1"/>
    </w:lvl>
  </w:abstractNum>
  <w:abstractNum w:abstractNumId="74">
    <w:nsid w:val="3222E7CD"/>
    <w:multiLevelType w:val="hybridMultilevel"/>
    <w:lvl w:ilvl="0">
      <w:lvlJc w:val="left"/>
      <w:lvlText w:val="%1."/>
      <w:numFmt w:val="decimal"/>
      <w:start w:val="8"/>
    </w:lvl>
  </w:abstractNum>
  <w:abstractNum w:abstractNumId="75">
    <w:nsid w:val="74DE0EE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6">
    <w:nsid w:val="68EBC550"/>
    <w:multiLevelType w:val="hybridMultilevel"/>
    <w:lvl w:ilvl="0">
      <w:lvlJc w:val="left"/>
      <w:lvlText w:val="(%1)"/>
      <w:numFmt w:val="lowerLetter"/>
      <w:start w:val="4"/>
    </w:lvl>
    <w:lvl w:ilvl="1">
      <w:lvlJc w:val="left"/>
      <w:lvlText w:val="(%2)"/>
      <w:numFmt w:val="lowerRoman"/>
      <w:start w:val="1"/>
    </w:lvl>
  </w:abstractNum>
  <w:abstractNum w:abstractNumId="77">
    <w:nsid w:val="2DF6D648"/>
    <w:multiLevelType w:val="hybridMultilevel"/>
    <w:lvl w:ilvl="0">
      <w:lvlJc w:val="left"/>
      <w:lvlText w:val="%1"/>
      <w:numFmt w:val="lowerLetter"/>
      <w:start w:val="1"/>
    </w:lvl>
    <w:lvl w:ilvl="1">
      <w:lvlJc w:val="left"/>
      <w:lvlText w:val="(%2)"/>
      <w:numFmt w:val="lowerRoman"/>
      <w:start w:val="4"/>
    </w:lvl>
  </w:abstractNum>
  <w:abstractNum w:abstractNumId="78">
    <w:nsid w:val="46B7D447"/>
    <w:multiLevelType w:val="hybridMultilevel"/>
    <w:lvl w:ilvl="0">
      <w:lvlJc w:val="left"/>
      <w:lvlText w:val="(%1)"/>
      <w:numFmt w:val="lowerLetter"/>
      <w:start w:val="5"/>
    </w:lvl>
    <w:lvl w:ilvl="1">
      <w:lvlJc w:val="left"/>
      <w:lvlText w:val="%2"/>
      <w:numFmt w:val="lowerRoman"/>
      <w:start w:val="1"/>
    </w:lvl>
  </w:abstractNum>
  <w:abstractNum w:abstractNumId="79">
    <w:nsid w:val="4A2AC315"/>
    <w:multiLevelType w:val="hybridMultilevel"/>
    <w:lvl w:ilvl="0">
      <w:lvlJc w:val="left"/>
      <w:lvlText w:val="(%1)"/>
      <w:numFmt w:val="decimal"/>
      <w:start w:val="1"/>
    </w:lvl>
  </w:abstractNum>
  <w:abstractNum w:abstractNumId="80">
    <w:nsid w:val="39EE015C"/>
    <w:multiLevelType w:val="hybridMultilevel"/>
    <w:lvl w:ilvl="0">
      <w:lvlJc w:val="left"/>
      <w:lvlText w:val="%1"/>
      <w:numFmt w:val="lowerLetter"/>
      <w:start w:val="1"/>
    </w:lvl>
    <w:lvl w:ilvl="1">
      <w:lvlJc w:val="left"/>
      <w:lvlText w:val="(%2)"/>
      <w:numFmt w:val="decimal"/>
      <w:start w:val="6"/>
    </w:lvl>
  </w:abstractNum>
  <w:abstractNum w:abstractNumId="81">
    <w:nsid w:val="57FC4FBB"/>
    <w:multiLevelType w:val="hybridMultilevel"/>
    <w:lvl w:ilvl="0">
      <w:lvlJc w:val="left"/>
      <w:lvlText w:val="(%1)"/>
      <w:numFmt w:val="lowerLetter"/>
      <w:start w:val="8"/>
    </w:lvl>
    <w:lvl w:ilvl="1">
      <w:lvlJc w:val="left"/>
      <w:lvlText w:val="%2"/>
      <w:numFmt w:val="decimal"/>
      <w:start w:val="1"/>
    </w:lvl>
  </w:abstractNum>
  <w:abstractNum w:abstractNumId="82">
    <w:nsid w:val="CC1016F"/>
    <w:multiLevelType w:val="hybridMultilevel"/>
    <w:lvl w:ilvl="0">
      <w:lvlJc w:val="left"/>
      <w:lvlText w:val="(%1)"/>
      <w:numFmt w:val="lowerRoman"/>
      <w:start w:val="1"/>
    </w:lvl>
  </w:abstractNum>
  <w:abstractNum w:abstractNumId="83">
    <w:nsid w:val="43F18422"/>
    <w:multiLevelType w:val="hybridMultilevel"/>
    <w:lvl w:ilvl="0">
      <w:lvlJc w:val="left"/>
      <w:lvlText w:val="(%1)"/>
      <w:numFmt w:val="lowerRoman"/>
      <w:start w:val="3"/>
    </w:lvl>
    <w:lvl w:ilvl="1">
      <w:lvlJc w:val="left"/>
      <w:lvlText w:val="(%2)"/>
      <w:numFmt w:val="decimal"/>
      <w:start w:val="1"/>
    </w:lvl>
  </w:abstractNum>
  <w:abstractNum w:abstractNumId="84">
    <w:nsid w:val="60EF0119"/>
    <w:multiLevelType w:val="hybridMultilevel"/>
    <w:lvl w:ilvl="0">
      <w:lvlJc w:val="left"/>
      <w:lvlText w:val="(%1)"/>
      <w:numFmt w:val="lowerLetter"/>
      <w:start w:val="10"/>
    </w:lvl>
  </w:abstractNum>
  <w:abstractNum w:abstractNumId="85">
    <w:nsid w:val="26F324BA"/>
    <w:multiLevelType w:val="hybridMultilevel"/>
    <w:lvl w:ilvl="0">
      <w:lvlJc w:val="left"/>
      <w:lvlText w:val="(%1)"/>
      <w:numFmt w:val="lowerRoman"/>
      <w:start w:val="1"/>
    </w:lvl>
  </w:abstractNum>
  <w:abstractNum w:abstractNumId="86">
    <w:nsid w:val="7F01579B"/>
    <w:multiLevelType w:val="hybridMultilevel"/>
    <w:lvl w:ilvl="0">
      <w:lvlJc w:val="left"/>
      <w:lvlText w:val="(%1)"/>
      <w:numFmt w:val="lowerLetter"/>
      <w:start w:val="12"/>
    </w:lvl>
  </w:abstractNum>
  <w:abstractNum w:abstractNumId="87">
    <w:nsid w:val="49DA307D"/>
    <w:multiLevelType w:val="hybridMultilevel"/>
    <w:lvl w:ilvl="0">
      <w:lvlJc w:val="left"/>
      <w:lvlText w:val="(%1)"/>
      <w:numFmt w:val="lowerLetter"/>
      <w:start w:val="13"/>
    </w:lvl>
  </w:abstractNum>
  <w:abstractNum w:abstractNumId="88">
    <w:nsid w:val="7055A5F5"/>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89">
    <w:nsid w:val="5FB8370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0">
    <w:nsid w:val="50801EE1"/>
    <w:multiLevelType w:val="hybridMultilevel"/>
    <w:lvl w:ilvl="0">
      <w:lvlJc w:val="left"/>
      <w:lvlText w:val="%1"/>
      <w:numFmt w:val="decimal"/>
      <w:start w:val="1"/>
    </w:lvl>
    <w:lvl w:ilvl="1">
      <w:lvlJc w:val="left"/>
      <w:lvlText w:val="(%2)"/>
      <w:numFmt w:val="lowerRoman"/>
      <w:start w:val="2"/>
    </w:lvl>
  </w:abstractNum>
  <w:abstractNum w:abstractNumId="91">
    <w:nsid w:val="488AC1A"/>
    <w:multiLevelType w:val="hybridMultilevel"/>
    <w:lvl w:ilvl="0">
      <w:lvlJc w:val="left"/>
      <w:lvlText w:val="%1."/>
      <w:numFmt w:val="decimal"/>
      <w:start w:val="10"/>
    </w:lvl>
    <w:lvl w:ilvl="1">
      <w:lvlJc w:val="left"/>
      <w:lvlText w:val="%2"/>
      <w:numFmt w:val="lowerRoman"/>
      <w:start w:val="1"/>
    </w:lvl>
  </w:abstractNum>
  <w:abstractNum w:abstractNumId="92">
    <w:nsid w:val="5FB8011C"/>
    <w:multiLevelType w:val="hybridMultilevel"/>
    <w:lvl w:ilvl="0">
      <w:lvlJc w:val="left"/>
      <w:lvlText w:val="%1."/>
      <w:numFmt w:val="decimal"/>
      <w:start w:val="11"/>
    </w:lvl>
  </w:abstractNum>
  <w:abstractNum w:abstractNumId="93">
    <w:nsid w:val="6AA78F7F"/>
    <w:multiLevelType w:val="hybridMultilevel"/>
    <w:lvl w:ilvl="0">
      <w:lvlJc w:val="left"/>
      <w:lvlText w:val="%1."/>
      <w:numFmt w:val="decimal"/>
      <w:start w:val="12"/>
    </w:lvl>
  </w:abstractNum>
  <w:abstractNum w:abstractNumId="94">
    <w:nsid w:val="7672BD23"/>
    <w:multiLevelType w:val="hybridMultilevel"/>
    <w:lvl w:ilvl="0">
      <w:lvlJc w:val="left"/>
      <w:lvlText w:val="(%1)"/>
      <w:numFmt w:val="lowerLetter"/>
      <w:start w:val="1"/>
    </w:lvl>
  </w:abstractNum>
  <w:abstractNum w:abstractNumId="95">
    <w:nsid w:val="6FC75AF8"/>
    <w:multiLevelType w:val="hybridMultilevel"/>
    <w:lvl w:ilvl="0">
      <w:lvlJc w:val="left"/>
      <w:lvlText w:val="%1."/>
      <w:numFmt w:val="decimal"/>
      <w:start w:val="13"/>
    </w:lvl>
  </w:abstractNum>
  <w:abstractNum w:abstractNumId="96">
    <w:nsid w:val="6A5F7029"/>
    <w:multiLevelType w:val="hybridMultilevel"/>
    <w:lvl w:ilvl="0">
      <w:lvlJc w:val="left"/>
      <w:lvlText w:val="(%1)"/>
      <w:numFmt w:val="lowerRoman"/>
      <w:start w:val="2"/>
    </w:lvl>
  </w:abstractNum>
  <w:abstractNum w:abstractNumId="97">
    <w:nsid w:val="7D5E18F8"/>
    <w:multiLevelType w:val="hybridMultilevel"/>
    <w:lvl w:ilvl="0">
      <w:lvlJc w:val="left"/>
      <w:lvlText w:val="%1."/>
      <w:numFmt w:val="decimal"/>
      <w:start w:val="14"/>
    </w:lvl>
  </w:abstractNum>
  <w:abstractNum w:abstractNumId="98">
    <w:nsid w:val="5F3534A4"/>
    <w:multiLevelType w:val="hybridMultilevel"/>
    <w:lvl w:ilvl="0">
      <w:lvlJc w:val="left"/>
      <w:lvlText w:val="%1."/>
      <w:numFmt w:val="decimal"/>
      <w:start w:val="15"/>
    </w:lvl>
  </w:abstractNum>
  <w:abstractNum w:abstractNumId="99">
    <w:nsid w:val="73A1821B"/>
    <w:multiLevelType w:val="hybridMultilevel"/>
    <w:lvl w:ilvl="0">
      <w:lvlJc w:val="left"/>
      <w:lvlText w:val="%1."/>
      <w:numFmt w:val="decimal"/>
      <w:start w:val="16"/>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2019-12-11T14:58:51Z</dcterms:created>
  <dcterms:modified xsi:type="dcterms:W3CDTF">2019-12-11T14:58:51Z</dcterms:modified>
</cp:coreProperties>
</file>