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Registrant; State of</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5"/>
          <w:szCs w:val="15"/>
          <w:color w:val="auto"/>
        </w:rPr>
        <w:t>Incorporation; Address and Telephone</w:t>
      </w:r>
    </w:p>
    <w:p>
      <w:pPr>
        <w:spacing w:after="0" w:line="44"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38" w:lineRule="exact"/>
        <w:rPr>
          <w:sz w:val="24"/>
          <w:szCs w:val="24"/>
          <w:color w:val="auto"/>
        </w:rPr>
      </w:pPr>
    </w:p>
    <w:p>
      <w:pPr>
        <w:sectPr>
          <w:pgSz w:w="11900" w:h="16838" w:orient="portrait"/>
          <w:cols w:equalWidth="0" w:num="3">
            <w:col w:w="3660" w:space="720"/>
            <w:col w:w="3560" w:space="720"/>
            <w:col w:w="276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700" w:type="dxa"/>
            <w:vAlign w:val="bottom"/>
            <w:tcBorders>
              <w:top w:val="single" w:sz="8" w:color="auto"/>
            </w:tcBorders>
            <w:vMerge w:val="restart"/>
          </w:tcPr>
          <w:p>
            <w:pPr>
              <w:jc w:val="right"/>
              <w:ind w:right="672"/>
              <w:spacing w:after="0"/>
              <w:rPr>
                <w:sz w:val="20"/>
                <w:szCs w:val="20"/>
                <w:color w:val="auto"/>
              </w:rPr>
            </w:pPr>
            <w:r>
              <w:rPr>
                <w:rFonts w:ascii="Arial" w:cs="Arial" w:eastAsia="Arial" w:hAnsi="Arial"/>
                <w:sz w:val="18"/>
                <w:szCs w:val="18"/>
                <w:b w:val="1"/>
                <w:bCs w:val="1"/>
                <w:color w:val="auto"/>
              </w:rPr>
              <w:t>001-32871</w:t>
            </w:r>
          </w:p>
        </w:tc>
        <w:tc>
          <w:tcPr>
            <w:tcW w:w="60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8"/>
                <w:szCs w:val="18"/>
                <w:b w:val="1"/>
                <w:bCs w:val="1"/>
                <w:color w:val="auto"/>
              </w:rPr>
              <w:t>COMCAST CORPORATION</w:t>
            </w:r>
          </w:p>
        </w:tc>
        <w:tc>
          <w:tcPr>
            <w:tcW w:w="2680" w:type="dxa"/>
            <w:vAlign w:val="bottom"/>
            <w:tcBorders>
              <w:top w:val="single" w:sz="8" w:color="auto"/>
            </w:tcBorders>
            <w:vMerge w:val="restart"/>
          </w:tcPr>
          <w:p>
            <w:pPr>
              <w:jc w:val="right"/>
              <w:ind w:right="1032"/>
              <w:spacing w:after="0"/>
              <w:rPr>
                <w:sz w:val="20"/>
                <w:szCs w:val="20"/>
                <w:color w:val="auto"/>
              </w:rPr>
            </w:pPr>
            <w:r>
              <w:rPr>
                <w:rFonts w:ascii="Arial" w:cs="Arial" w:eastAsia="Arial" w:hAnsi="Arial"/>
                <w:sz w:val="18"/>
                <w:szCs w:val="18"/>
                <w:b w:val="1"/>
                <w:bCs w:val="1"/>
                <w:color w:val="auto"/>
              </w:rPr>
              <w:t>27-0000798</w:t>
            </w:r>
          </w:p>
        </w:tc>
        <w:tc>
          <w:tcPr>
            <w:tcW w:w="0" w:type="dxa"/>
            <w:vAlign w:val="bottom"/>
          </w:tcPr>
          <w:p>
            <w:pPr>
              <w:spacing w:after="0"/>
              <w:rPr>
                <w:sz w:val="1"/>
                <w:szCs w:val="1"/>
                <w:color w:val="auto"/>
              </w:rPr>
            </w:pPr>
          </w:p>
        </w:tc>
      </w:tr>
      <w:tr>
        <w:trPr>
          <w:trHeight w:val="71"/>
        </w:trPr>
        <w:tc>
          <w:tcPr>
            <w:tcW w:w="2700" w:type="dxa"/>
            <w:vAlign w:val="bottom"/>
            <w:vMerge w:val="continue"/>
          </w:tcPr>
          <w:p>
            <w:pPr>
              <w:spacing w:after="0"/>
              <w:rPr>
                <w:sz w:val="6"/>
                <w:szCs w:val="6"/>
                <w:color w:val="auto"/>
              </w:rPr>
            </w:pPr>
          </w:p>
        </w:tc>
        <w:tc>
          <w:tcPr>
            <w:tcW w:w="604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2700" w:type="dxa"/>
            <w:vAlign w:val="bottom"/>
          </w:tcPr>
          <w:p>
            <w:pPr>
              <w:spacing w:after="0"/>
              <w:rPr>
                <w:sz w:val="24"/>
                <w:szCs w:val="24"/>
                <w:color w:val="auto"/>
              </w:rPr>
            </w:pPr>
          </w:p>
        </w:tc>
        <w:tc>
          <w:tcPr>
            <w:tcW w:w="6040" w:type="dxa"/>
            <w:vAlign w:val="bottom"/>
          </w:tcPr>
          <w:p>
            <w:pPr>
              <w:jc w:val="center"/>
              <w:spacing w:after="0"/>
              <w:rPr>
                <w:sz w:val="20"/>
                <w:szCs w:val="20"/>
                <w:color w:val="auto"/>
              </w:rPr>
            </w:pPr>
            <w:r>
              <w:rPr>
                <w:rFonts w:ascii="Arial" w:cs="Arial" w:eastAsia="Arial" w:hAnsi="Arial"/>
                <w:sz w:val="18"/>
                <w:szCs w:val="18"/>
                <w:b w:val="1"/>
                <w:bCs w:val="1"/>
                <w:color w:val="auto"/>
                <w:w w:val="96"/>
              </w:rPr>
              <w:t>PENNSYLVANIA</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Arial" w:cs="Arial" w:eastAsia="Arial" w:hAnsi="Arial"/>
                <w:sz w:val="18"/>
                <w:szCs w:val="18"/>
                <w:b w:val="1"/>
                <w:bCs w:val="1"/>
                <w:color w:val="auto"/>
                <w:w w:val="88"/>
              </w:rPr>
              <w:t>One Comcast Center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Arial" w:cs="Arial" w:eastAsia="Arial" w:hAnsi="Arial"/>
                <w:sz w:val="18"/>
                <w:szCs w:val="18"/>
                <w:b w:val="1"/>
                <w:bCs w:val="1"/>
                <w:color w:val="auto"/>
                <w:w w:val="88"/>
              </w:rPr>
              <w:t>Philadelphia, PA 19103-2838</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0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8"/>
                <w:szCs w:val="18"/>
                <w:b w:val="1"/>
                <w:bCs w:val="1"/>
                <w:color w:val="auto"/>
                <w:w w:val="89"/>
              </w:rPr>
              <w:t>(215) 286-1700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700" w:type="dxa"/>
            <w:vAlign w:val="bottom"/>
            <w:vMerge w:val="restart"/>
          </w:tcPr>
          <w:p>
            <w:pPr>
              <w:jc w:val="right"/>
              <w:ind w:right="632"/>
              <w:spacing w:after="0"/>
              <w:rPr>
                <w:sz w:val="20"/>
                <w:szCs w:val="20"/>
                <w:color w:val="auto"/>
              </w:rPr>
            </w:pPr>
            <w:r>
              <w:rPr>
                <w:rFonts w:ascii="Arial" w:cs="Arial" w:eastAsia="Arial" w:hAnsi="Arial"/>
                <w:sz w:val="18"/>
                <w:szCs w:val="18"/>
                <w:b w:val="1"/>
                <w:bCs w:val="1"/>
                <w:color w:val="auto"/>
              </w:rPr>
              <w:t>333-174175</w:t>
            </w:r>
          </w:p>
        </w:tc>
        <w:tc>
          <w:tcPr>
            <w:tcW w:w="6040" w:type="dxa"/>
            <w:vAlign w:val="bottom"/>
          </w:tcPr>
          <w:p>
            <w:pPr>
              <w:jc w:val="center"/>
              <w:spacing w:after="0" w:line="286" w:lineRule="exact"/>
              <w:rPr>
                <w:sz w:val="20"/>
                <w:szCs w:val="20"/>
                <w:color w:val="auto"/>
              </w:rPr>
            </w:pPr>
            <w:r>
              <w:rPr>
                <w:rFonts w:ascii="Arial" w:cs="Arial" w:eastAsia="Arial" w:hAnsi="Arial"/>
                <w:sz w:val="32"/>
                <w:szCs w:val="32"/>
                <w:b w:val="1"/>
                <w:bCs w:val="1"/>
                <w:color w:val="auto"/>
              </w:rPr>
              <w:t>NBCUNIVERSAL MEDIA, LLC</w:t>
            </w:r>
          </w:p>
        </w:tc>
        <w:tc>
          <w:tcPr>
            <w:tcW w:w="2680" w:type="dxa"/>
            <w:vAlign w:val="bottom"/>
            <w:vMerge w:val="restart"/>
          </w:tcPr>
          <w:p>
            <w:pPr>
              <w:jc w:val="right"/>
              <w:ind w:right="1032"/>
              <w:spacing w:after="0"/>
              <w:rPr>
                <w:sz w:val="20"/>
                <w:szCs w:val="20"/>
                <w:color w:val="auto"/>
              </w:rPr>
            </w:pPr>
            <w:r>
              <w:rPr>
                <w:rFonts w:ascii="Arial" w:cs="Arial" w:eastAsia="Arial" w:hAnsi="Arial"/>
                <w:sz w:val="18"/>
                <w:szCs w:val="18"/>
                <w:b w:val="1"/>
                <w:bCs w:val="1"/>
                <w:color w:val="auto"/>
              </w:rPr>
              <w:t>14-1682529</w:t>
            </w:r>
          </w:p>
        </w:tc>
        <w:tc>
          <w:tcPr>
            <w:tcW w:w="0" w:type="dxa"/>
            <w:vAlign w:val="bottom"/>
          </w:tcPr>
          <w:p>
            <w:pPr>
              <w:spacing w:after="0"/>
              <w:rPr>
                <w:sz w:val="1"/>
                <w:szCs w:val="1"/>
                <w:color w:val="auto"/>
              </w:rPr>
            </w:pPr>
          </w:p>
        </w:tc>
      </w:tr>
      <w:tr>
        <w:trPr>
          <w:trHeight w:val="52"/>
        </w:trPr>
        <w:tc>
          <w:tcPr>
            <w:tcW w:w="2700" w:type="dxa"/>
            <w:vAlign w:val="bottom"/>
            <w:vMerge w:val="continue"/>
          </w:tcPr>
          <w:p>
            <w:pPr>
              <w:spacing w:after="0"/>
              <w:rPr>
                <w:sz w:val="4"/>
                <w:szCs w:val="4"/>
                <w:color w:val="auto"/>
              </w:rPr>
            </w:pPr>
          </w:p>
        </w:tc>
        <w:tc>
          <w:tcPr>
            <w:tcW w:w="604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10112-0015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1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ind w:right="280"/>
        <w:spacing w:after="0" w:line="317" w:lineRule="auto"/>
        <w:rPr>
          <w:sz w:val="20"/>
          <w:szCs w:val="20"/>
          <w:color w:val="auto"/>
        </w:rPr>
      </w:pPr>
      <w:r>
        <w:rPr>
          <w:rFonts w:ascii="Arial" w:cs="Arial" w:eastAsia="Arial" w:hAnsi="Arial"/>
          <w:sz w:val="16"/>
          <w:szCs w:val="16"/>
          <w:color w:val="auto"/>
        </w:rPr>
        <w:t>Comcast Corporation NBCUniversal Media, LLC</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338" w:lineRule="auto"/>
        <w:rPr>
          <w:sz w:val="20"/>
          <w:szCs w:val="20"/>
          <w:color w:val="auto"/>
        </w:rPr>
      </w:pPr>
      <w:r>
        <w:rPr>
          <w:rFonts w:ascii="Arial" w:cs="Arial" w:eastAsia="Arial" w:hAnsi="Arial"/>
          <w:sz w:val="15"/>
          <w:szCs w:val="15"/>
          <w:color w:val="auto"/>
        </w:rPr>
        <w:t>Large accelerated filer Large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2240" w:space="720"/>
            <w:col w:w="1580" w:space="300"/>
            <w:col w:w="1460" w:space="260"/>
            <w:col w:w="1760" w:space="320"/>
            <w:col w:w="2200" w:space="400"/>
            <w:col w:w="18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ectPr>
          <w:pgSz w:w="11900" w:h="16838" w:orient="portrait"/>
          <w:cols w:equalWidth="0" w:num="1">
            <w:col w:w="11420"/>
          </w:cols>
          <w:pgMar w:left="240" w:top="230" w:right="239" w:bottom="1440" w:gutter="0" w:footer="0" w:header="0"/>
          <w:type w:val="continuous"/>
        </w:sectPr>
      </w:pPr>
    </w:p>
    <w:p>
      <w:pPr>
        <w:spacing w:after="0" w:line="98"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5"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7"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As of March 31, 2014, there were 2,146,295,093 shares of Comcast Corporation Class A common stock, 444,064,771 shares of Comcast Corporation Class A Special common stock and 9,444,375 shares of Comcast Corporation Class B common stock outstanding.</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stock, as of the latest practical date: Not applicable for NBCUniversal Media, LLC.</w:t>
      </w:r>
    </w:p>
    <w:p>
      <w:pPr>
        <w:spacing w:after="0" w:line="80"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4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60" w:type="dxa"/>
            <w:vAlign w:val="bottom"/>
            <w:gridSpan w:val="20"/>
          </w:tcPr>
          <w:p>
            <w:pPr>
              <w:spacing w:after="0" w:line="129" w:lineRule="exact"/>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FINANCIAL INFORMATION</w:t>
              </w:r>
            </w:hyperlink>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tcBorders>
              <w:top w:val="single" w:sz="8" w:color="0000EE"/>
            </w:tcBorders>
            <w:gridSpan w:val="2"/>
          </w:tcPr>
          <w:p>
            <w:pPr>
              <w:ind w:left="800"/>
              <w:spacing w:after="0" w:line="129" w:lineRule="exact"/>
              <w:rPr>
                <w:sz w:val="20"/>
                <w:szCs w:val="20"/>
                <w:color w:val="auto"/>
              </w:rPr>
            </w:pPr>
            <w:r>
              <w:rPr>
                <w:rFonts w:ascii="Arial" w:cs="Arial" w:eastAsia="Arial" w:hAnsi="Arial"/>
                <w:sz w:val="14"/>
                <w:szCs w:val="14"/>
                <w:b w:val="1"/>
                <w:bCs w:val="1"/>
                <w:color w:val="auto"/>
              </w:rPr>
              <w:t>Item 1.</w:t>
            </w:r>
          </w:p>
        </w:tc>
        <w:tc>
          <w:tcPr>
            <w:tcW w:w="520" w:type="dxa"/>
            <w:vAlign w:val="bottom"/>
            <w:tcBorders>
              <w:top w:val="single" w:sz="8" w:color="0000EE"/>
            </w:tcBorders>
            <w:gridSpan w:val="3"/>
          </w:tcPr>
          <w:p>
            <w:pPr>
              <w:spacing w:after="0" w:line="129" w:lineRule="exact"/>
              <w:rPr>
                <w:rFonts w:ascii="Arial" w:cs="Arial" w:eastAsia="Arial" w:hAnsi="Arial"/>
                <w:sz w:val="14"/>
                <w:szCs w:val="14"/>
                <w:color w:val="0000EE"/>
                <w:w w:val="90"/>
              </w:rPr>
            </w:pPr>
            <w:hyperlink w:anchor="page3">
              <w:r>
                <w:rPr>
                  <w:rFonts w:ascii="Arial" w:cs="Arial" w:eastAsia="Arial" w:hAnsi="Arial"/>
                  <w:sz w:val="14"/>
                  <w:szCs w:val="14"/>
                  <w:color w:val="0000EE"/>
                  <w:w w:val="90"/>
                </w:rPr>
                <w:t>Comcast</w:t>
              </w:r>
            </w:hyperlink>
          </w:p>
        </w:tc>
        <w:tc>
          <w:tcPr>
            <w:tcW w:w="7580" w:type="dxa"/>
            <w:vAlign w:val="bottom"/>
            <w:gridSpan w:val="15"/>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Corporation Financial Statements</w:t>
              </w:r>
            </w:hyperlink>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20" w:type="dxa"/>
            <w:vAlign w:val="bottom"/>
            <w:tcBorders>
              <w:top w:val="single" w:sz="8" w:color="0000EE"/>
            </w:tcBorders>
            <w:gridSpan w:val="8"/>
          </w:tcPr>
          <w:p>
            <w:pPr>
              <w:spacing w:after="0" w:line="129" w:lineRule="exact"/>
              <w:rPr>
                <w:rFonts w:ascii="Arial" w:cs="Arial" w:eastAsia="Arial" w:hAnsi="Arial"/>
                <w:sz w:val="14"/>
                <w:szCs w:val="14"/>
                <w:color w:val="0000EE"/>
                <w:w w:val="84"/>
              </w:rPr>
            </w:pPr>
            <w:hyperlink w:anchor="page3">
              <w:r>
                <w:rPr>
                  <w:rFonts w:ascii="Arial" w:cs="Arial" w:eastAsia="Arial" w:hAnsi="Arial"/>
                  <w:sz w:val="14"/>
                  <w:szCs w:val="14"/>
                  <w:color w:val="0000EE"/>
                  <w:w w:val="84"/>
                </w:rPr>
                <w:t>Condensed Consolidated Balance Sheet as</w:t>
              </w:r>
            </w:hyperlink>
          </w:p>
        </w:tc>
        <w:tc>
          <w:tcPr>
            <w:tcW w:w="5780" w:type="dxa"/>
            <w:vAlign w:val="bottom"/>
            <w:gridSpan w:val="10"/>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of March 31, 2014 and December 31, 2013 (Unaudited)</w:t>
              </w:r>
            </w:hyperlink>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180" w:type="dxa"/>
            <w:vAlign w:val="bottom"/>
            <w:tcBorders>
              <w:bottom w:val="single" w:sz="8" w:color="0000EE"/>
            </w:tcBorders>
            <w:gridSpan w:val="14"/>
          </w:tcPr>
          <w:p>
            <w:pPr>
              <w:spacing w:after="0" w:line="129" w:lineRule="exact"/>
              <w:rPr>
                <w:rFonts w:ascii="Arial" w:cs="Arial" w:eastAsia="Arial" w:hAnsi="Arial"/>
                <w:sz w:val="14"/>
                <w:szCs w:val="14"/>
                <w:color w:val="0000EE"/>
                <w:w w:val="86"/>
              </w:rPr>
            </w:pPr>
            <w:hyperlink w:anchor="page4">
              <w:r>
                <w:rPr>
                  <w:rFonts w:ascii="Arial" w:cs="Arial" w:eastAsia="Arial" w:hAnsi="Arial"/>
                  <w:sz w:val="14"/>
                  <w:szCs w:val="14"/>
                  <w:color w:val="0000EE"/>
                  <w:w w:val="86"/>
                </w:rPr>
                <w:t>Condensed Consolidated Statement of Income for the Three Months Ended March 31, 2014 and 2013 (Unaudited)</w:t>
              </w:r>
            </w:hyperlink>
          </w:p>
        </w:tc>
        <w:tc>
          <w:tcPr>
            <w:tcW w:w="1920" w:type="dxa"/>
            <w:vAlign w:val="bottom"/>
            <w:gridSpan w:val="4"/>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100" w:type="dxa"/>
            <w:vAlign w:val="bottom"/>
            <w:gridSpan w:val="18"/>
          </w:tcPr>
          <w:p>
            <w:pPr>
              <w:spacing w:after="0" w:line="129" w:lineRule="exact"/>
              <w:rPr>
                <w:rFonts w:ascii="Arial" w:cs="Arial" w:eastAsia="Arial" w:hAnsi="Arial"/>
                <w:sz w:val="14"/>
                <w:szCs w:val="14"/>
                <w:color w:val="0000EE"/>
                <w:w w:val="99"/>
              </w:rPr>
            </w:pPr>
            <w:hyperlink w:anchor="page5">
              <w:r>
                <w:rPr>
                  <w:rFonts w:ascii="Arial" w:cs="Arial" w:eastAsia="Arial" w:hAnsi="Arial"/>
                  <w:sz w:val="14"/>
                  <w:szCs w:val="14"/>
                  <w:color w:val="0000EE"/>
                  <w:w w:val="99"/>
                </w:rPr>
                <w:t>Condensed Consolidated Statement of Comprehensive Income for the Three Months Ended March 31, 2014 and 2013 (Unaudited)</w:t>
              </w:r>
            </w:hyperlink>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60" w:type="dxa"/>
            <w:vAlign w:val="bottom"/>
            <w:tcBorders>
              <w:top w:val="single" w:sz="8" w:color="0000EE"/>
            </w:tcBorders>
            <w:gridSpan w:val="17"/>
          </w:tcPr>
          <w:p>
            <w:pPr>
              <w:spacing w:after="0" w:line="129" w:lineRule="exact"/>
              <w:rPr>
                <w:rFonts w:ascii="Arial" w:cs="Arial" w:eastAsia="Arial" w:hAnsi="Arial"/>
                <w:sz w:val="14"/>
                <w:szCs w:val="14"/>
                <w:color w:val="0000EE"/>
                <w:w w:val="95"/>
              </w:rPr>
            </w:pPr>
            <w:hyperlink w:anchor="page6">
              <w:r>
                <w:rPr>
                  <w:rFonts w:ascii="Arial" w:cs="Arial" w:eastAsia="Arial" w:hAnsi="Arial"/>
                  <w:sz w:val="14"/>
                  <w:szCs w:val="14"/>
                  <w:color w:val="0000EE"/>
                  <w:w w:val="95"/>
                </w:rPr>
                <w:t>Condensed Consolidated Statement of Cash Flows for the Three Months Ended March 31, 2014 and 2013 (Unaudited)</w:t>
              </w:r>
            </w:hyperlink>
          </w:p>
        </w:tc>
        <w:tc>
          <w:tcPr>
            <w:tcW w:w="1040" w:type="dxa"/>
            <w:vAlign w:val="bottom"/>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100" w:type="dxa"/>
            <w:vAlign w:val="bottom"/>
            <w:gridSpan w:val="18"/>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Three Months Ended March 31, 2014 and 2013 (Unaudited)</w:t>
              </w:r>
            </w:hyperlink>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78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320" w:type="dxa"/>
            <w:vAlign w:val="bottom"/>
            <w:gridSpan w:val="2"/>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3680" w:type="dxa"/>
            <w:vAlign w:val="bottom"/>
            <w:tcBorders>
              <w:top w:val="single" w:sz="8" w:color="0000EE"/>
            </w:tcBorders>
            <w:gridSpan w:val="11"/>
          </w:tcPr>
          <w:p>
            <w:pPr>
              <w:spacing w:after="0" w:line="129" w:lineRule="exact"/>
              <w:rPr>
                <w:rFonts w:ascii="Arial" w:cs="Arial" w:eastAsia="Arial" w:hAnsi="Arial"/>
                <w:sz w:val="14"/>
                <w:szCs w:val="14"/>
                <w:color w:val="0000EE"/>
                <w:w w:val="88"/>
              </w:rPr>
            </w:pPr>
            <w:hyperlink w:anchor="page25">
              <w:r>
                <w:rPr>
                  <w:rFonts w:ascii="Arial" w:cs="Arial" w:eastAsia="Arial" w:hAnsi="Arial"/>
                  <w:sz w:val="14"/>
                  <w:szCs w:val="14"/>
                  <w:color w:val="0000EE"/>
                  <w:w w:val="88"/>
                </w:rPr>
                <w:t>Management’s Discussion and Analysis of Financial Condition and</w:t>
              </w:r>
            </w:hyperlink>
          </w:p>
        </w:tc>
        <w:tc>
          <w:tcPr>
            <w:tcW w:w="4420" w:type="dxa"/>
            <w:vAlign w:val="bottom"/>
            <w:gridSpan w:val="7"/>
          </w:tcPr>
          <w:p>
            <w:pPr>
              <w:spacing w:after="0" w:line="129" w:lineRule="exact"/>
              <w:rPr>
                <w:rFonts w:ascii="Arial" w:cs="Arial" w:eastAsia="Arial" w:hAnsi="Arial"/>
                <w:sz w:val="14"/>
                <w:szCs w:val="14"/>
                <w:color w:val="0000EE"/>
              </w:rPr>
            </w:pPr>
            <w:hyperlink w:anchor="page25">
              <w:r>
                <w:rPr>
                  <w:rFonts w:ascii="Arial" w:cs="Arial" w:eastAsia="Arial" w:hAnsi="Arial"/>
                  <w:sz w:val="14"/>
                  <w:szCs w:val="14"/>
                  <w:color w:val="0000EE"/>
                </w:rPr>
                <w:t>Results of Operations</w:t>
              </w:r>
            </w:hyperlink>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4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Quantitative and Qualitative Disclosures About Market Risk</w:t>
              </w:r>
            </w:hyperlink>
          </w:p>
        </w:tc>
        <w:tc>
          <w:tcPr>
            <w:tcW w:w="3260" w:type="dxa"/>
            <w:vAlign w:val="bottom"/>
            <w:gridSpan w:val="6"/>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328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Controls and Procedures</w:t>
              </w:r>
            </w:hyperlink>
          </w:p>
        </w:tc>
        <w:tc>
          <w:tcPr>
            <w:tcW w:w="4820" w:type="dxa"/>
            <w:vAlign w:val="bottom"/>
            <w:gridSpan w:val="8"/>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40" w:type="dxa"/>
            <w:vAlign w:val="bottom"/>
            <w:gridSpan w:val="2"/>
            <w:vMerge w:val="restart"/>
          </w:tcPr>
          <w:p>
            <w:pPr>
              <w:spacing w:after="0" w:line="20" w:lineRule="exact"/>
              <w:rPr>
                <w:sz w:val="1"/>
                <w:szCs w:val="1"/>
                <w:color w:val="auto"/>
              </w:rPr>
            </w:pPr>
          </w:p>
        </w:tc>
        <w:tc>
          <w:tcPr>
            <w:tcW w:w="4840" w:type="dxa"/>
            <w:vAlign w:val="bottom"/>
            <w:gridSpan w:val="9"/>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gridSpan w:val="10"/>
          </w:tcPr>
          <w:p>
            <w:pPr>
              <w:spacing w:after="0" w:line="129" w:lineRule="exact"/>
              <w:rPr>
                <w:rFonts w:ascii="Arial" w:cs="Arial" w:eastAsia="Arial" w:hAnsi="Arial"/>
                <w:sz w:val="14"/>
                <w:szCs w:val="14"/>
                <w:b w:val="1"/>
                <w:bCs w:val="1"/>
                <w:color w:val="0000EE"/>
              </w:rPr>
            </w:pPr>
            <w:hyperlink w:anchor="page38">
              <w:r>
                <w:rPr>
                  <w:rFonts w:ascii="Arial" w:cs="Arial" w:eastAsia="Arial" w:hAnsi="Arial"/>
                  <w:sz w:val="14"/>
                  <w:szCs w:val="14"/>
                  <w:b w:val="1"/>
                  <w:bCs w:val="1"/>
                  <w:color w:val="0000EE"/>
                </w:rPr>
                <w:t>PART II. OTHER INFORMATION</w:t>
              </w:r>
            </w:hyperlink>
          </w:p>
        </w:tc>
        <w:tc>
          <w:tcPr>
            <w:tcW w:w="1940" w:type="dxa"/>
            <w:vAlign w:val="bottom"/>
            <w:gridSpan w:val="2"/>
            <w:vMerge w:val="continue"/>
          </w:tcPr>
          <w:p>
            <w:pPr>
              <w:spacing w:after="0"/>
              <w:rPr>
                <w:sz w:val="11"/>
                <w:szCs w:val="11"/>
                <w:color w:val="auto"/>
              </w:rPr>
            </w:pPr>
          </w:p>
        </w:tc>
        <w:tc>
          <w:tcPr>
            <w:tcW w:w="4840" w:type="dxa"/>
            <w:vAlign w:val="bottom"/>
            <w:gridSpan w:val="9"/>
            <w:vMerge w:val="continue"/>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tcBorders>
              <w:top w:val="single" w:sz="8" w:color="0000EE"/>
            </w:tcBorders>
            <w:gridSpan w:val="2"/>
          </w:tcPr>
          <w:p>
            <w:pPr>
              <w:ind w:left="800"/>
              <w:spacing w:after="0" w:line="129" w:lineRule="exact"/>
              <w:rPr>
                <w:sz w:val="20"/>
                <w:szCs w:val="20"/>
                <w:color w:val="auto"/>
              </w:rPr>
            </w:pPr>
            <w:r>
              <w:rPr>
                <w:rFonts w:ascii="Arial" w:cs="Arial" w:eastAsia="Arial" w:hAnsi="Arial"/>
                <w:sz w:val="14"/>
                <w:szCs w:val="14"/>
                <w:b w:val="1"/>
                <w:bCs w:val="1"/>
                <w:color w:val="auto"/>
              </w:rPr>
              <w:t>Item 1.</w:t>
            </w:r>
          </w:p>
        </w:tc>
        <w:tc>
          <w:tcPr>
            <w:tcW w:w="300" w:type="dxa"/>
            <w:vAlign w:val="bottom"/>
            <w:tcBorders>
              <w:top w:val="single" w:sz="8" w:color="0000EE"/>
            </w:tcBorders>
          </w:tcPr>
          <w:p>
            <w:pPr>
              <w:spacing w:after="0" w:line="129" w:lineRule="exact"/>
              <w:rPr>
                <w:rFonts w:ascii="Arial" w:cs="Arial" w:eastAsia="Arial" w:hAnsi="Arial"/>
                <w:sz w:val="14"/>
                <w:szCs w:val="14"/>
                <w:color w:val="0000EE"/>
                <w:w w:val="81"/>
              </w:rPr>
            </w:pPr>
            <w:hyperlink w:anchor="page38">
              <w:r>
                <w:rPr>
                  <w:rFonts w:ascii="Arial" w:cs="Arial" w:eastAsia="Arial" w:hAnsi="Arial"/>
                  <w:sz w:val="14"/>
                  <w:szCs w:val="14"/>
                  <w:color w:val="0000EE"/>
                  <w:w w:val="81"/>
                </w:rPr>
                <w:t>Legal</w:t>
              </w:r>
            </w:hyperlink>
          </w:p>
        </w:tc>
        <w:tc>
          <w:tcPr>
            <w:tcW w:w="7800" w:type="dxa"/>
            <w:vAlign w:val="bottom"/>
            <w:gridSpan w:val="17"/>
          </w:tcPr>
          <w:p>
            <w:pPr>
              <w:ind w:left="40"/>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Proceedings</w:t>
              </w:r>
            </w:hyperlink>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4840" w:type="dxa"/>
            <w:vAlign w:val="bottom"/>
            <w:gridSpan w:val="9"/>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80" w:type="dxa"/>
            <w:vAlign w:val="bottom"/>
            <w:tcBorders>
              <w:top w:val="single" w:sz="8" w:color="0000EE"/>
            </w:tcBorders>
            <w:gridSpan w:val="4"/>
          </w:tcPr>
          <w:p>
            <w:pPr>
              <w:spacing w:after="0" w:line="129" w:lineRule="exact"/>
              <w:rPr>
                <w:rFonts w:ascii="Arial" w:cs="Arial" w:eastAsia="Arial" w:hAnsi="Arial"/>
                <w:sz w:val="14"/>
                <w:szCs w:val="14"/>
                <w:color w:val="0000EE"/>
                <w:w w:val="82"/>
              </w:rPr>
            </w:pPr>
            <w:hyperlink w:anchor="page38">
              <w:r>
                <w:rPr>
                  <w:rFonts w:ascii="Arial" w:cs="Arial" w:eastAsia="Arial" w:hAnsi="Arial"/>
                  <w:sz w:val="14"/>
                  <w:szCs w:val="14"/>
                  <w:color w:val="0000EE"/>
                  <w:w w:val="82"/>
                </w:rPr>
                <w:t>Unregistered</w:t>
              </w:r>
            </w:hyperlink>
          </w:p>
        </w:tc>
        <w:tc>
          <w:tcPr>
            <w:tcW w:w="7420" w:type="dxa"/>
            <w:vAlign w:val="bottom"/>
            <w:gridSpan w:val="14"/>
          </w:tcPr>
          <w:p>
            <w:pPr>
              <w:ind w:left="40"/>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Sales of Equity Securities and Use of Proceeds</w:t>
              </w:r>
            </w:hyperlink>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39">
              <w:r>
                <w:rPr>
                  <w:rFonts w:ascii="Arial" w:cs="Arial" w:eastAsia="Arial" w:hAnsi="Arial"/>
                  <w:sz w:val="14"/>
                  <w:szCs w:val="14"/>
                  <w:color w:val="0000EE"/>
                </w:rPr>
                <w:t>Exhibits</w:t>
              </w:r>
            </w:hyperlink>
          </w:p>
        </w:tc>
        <w:tc>
          <w:tcPr>
            <w:tcW w:w="4840" w:type="dxa"/>
            <w:vAlign w:val="bottom"/>
            <w:gridSpan w:val="9"/>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29"/>
        </w:trPr>
        <w:tc>
          <w:tcPr>
            <w:tcW w:w="1780" w:type="dxa"/>
            <w:vAlign w:val="bottom"/>
            <w:gridSpan w:val="3"/>
          </w:tcPr>
          <w:p>
            <w:pPr>
              <w:spacing w:after="0" w:line="129" w:lineRule="exact"/>
              <w:rPr>
                <w:rFonts w:ascii="Arial" w:cs="Arial" w:eastAsia="Arial" w:hAnsi="Arial"/>
                <w:sz w:val="14"/>
                <w:szCs w:val="14"/>
                <w:b w:val="1"/>
                <w:bCs w:val="1"/>
                <w:color w:val="0000EE"/>
              </w:rPr>
            </w:pPr>
            <w:hyperlink w:anchor="page40">
              <w:r>
                <w:rPr>
                  <w:rFonts w:ascii="Arial" w:cs="Arial" w:eastAsia="Arial" w:hAnsi="Arial"/>
                  <w:sz w:val="14"/>
                  <w:szCs w:val="14"/>
                  <w:b w:val="1"/>
                  <w:bCs w:val="1"/>
                  <w:color w:val="0000EE"/>
                </w:rPr>
                <w:t>SIGNATURES</w:t>
              </w:r>
            </w:hyperlink>
          </w:p>
        </w:tc>
        <w:tc>
          <w:tcPr>
            <w:tcW w:w="3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Borders>
              <w:top w:val="single" w:sz="8" w:color="0000EE"/>
            </w:tcBorders>
          </w:tcPr>
          <w:p>
            <w:pPr>
              <w:spacing w:after="0" w:line="129" w:lineRule="exact"/>
              <w:rPr>
                <w:rFonts w:ascii="Arial" w:cs="Arial" w:eastAsia="Arial" w:hAnsi="Arial"/>
                <w:sz w:val="14"/>
                <w:szCs w:val="14"/>
                <w:color w:val="0000EE"/>
                <w:w w:val="95"/>
              </w:rPr>
            </w:pPr>
            <w:hyperlink w:anchor="page41">
              <w:r>
                <w:rPr>
                  <w:rFonts w:ascii="Arial" w:cs="Arial" w:eastAsia="Arial" w:hAnsi="Arial"/>
                  <w:sz w:val="14"/>
                  <w:szCs w:val="14"/>
                  <w:color w:val="0000EE"/>
                  <w:w w:val="95"/>
                </w:rPr>
                <w:t>NBCUniversal</w:t>
              </w:r>
            </w:hyperlink>
          </w:p>
        </w:tc>
        <w:tc>
          <w:tcPr>
            <w:tcW w:w="9000" w:type="dxa"/>
            <w:vAlign w:val="bottom"/>
            <w:gridSpan w:val="19"/>
          </w:tcPr>
          <w:p>
            <w:pPr>
              <w:spacing w:after="0" w:line="129" w:lineRule="exact"/>
              <w:rPr>
                <w:rFonts w:ascii="Arial" w:cs="Arial" w:eastAsia="Arial" w:hAnsi="Arial"/>
                <w:sz w:val="14"/>
                <w:szCs w:val="14"/>
                <w:color w:val="0000EE"/>
              </w:rPr>
            </w:pPr>
            <w:hyperlink w:anchor="page41">
              <w:r>
                <w:rPr>
                  <w:rFonts w:ascii="Arial" w:cs="Arial" w:eastAsia="Arial" w:hAnsi="Arial"/>
                  <w:sz w:val="14"/>
                  <w:szCs w:val="14"/>
                  <w:color w:val="0000EE"/>
                </w:rPr>
                <w:t>Media, LLC Financial Statements</w:t>
              </w:r>
            </w:hyperlink>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90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Corporation as “Comcast;” Comcast and its consolidated subsidiaries, including NBCUniversal and its consolidated subsidiaries, as “we,” “us” and “our;” Comcast Cable Communications, LLC and its consolidated subsidiaries as “Comcast Cable;” Comcast Holdings Corporation as “Comcast Holdings;” and NBCUniversal, LLC as “NBCUniversal Holdings.”</w:t>
      </w:r>
    </w:p>
    <w:p>
      <w:pPr>
        <w:spacing w:after="0" w:line="5"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This Quarterly Report on Form 10-Q is for the three months ended March 31, 2014.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w:t>
      </w:r>
    </w:p>
    <w:p>
      <w:pPr>
        <w:spacing w:after="0" w:line="18"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2"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businesses</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which is difficult to predict, and its businesses may be adversely affected if its content fails to achieve sufficient consumer acceptance or the costs to create or acquire content increase</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NBCUniversal’s programming distribution agreements, or the renewal of these agreements on less favorable terms, could adversely affect its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acquisitions and other strategic transactions, including the proposed transaction with Time Warner Cable, present many risks, and we may not realize the financial and strategic goals that were contemplated at the time of any transaction</w:t>
      </w:r>
    </w:p>
    <w:p>
      <w:pPr>
        <w:spacing w:after="0" w:line="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260" w:type="dxa"/>
            <w:vAlign w:val="bottom"/>
            <w:gridSpan w:val="2"/>
          </w:tcPr>
          <w:p>
            <w:pPr>
              <w:jc w:val="right"/>
              <w:ind w:right="293"/>
              <w:spacing w:after="0"/>
              <w:rPr>
                <w:sz w:val="20"/>
                <w:szCs w:val="20"/>
                <w:color w:val="auto"/>
              </w:rPr>
            </w:pPr>
            <w:r>
              <w:rPr>
                <w:rFonts w:ascii="Arial" w:cs="Arial" w:eastAsia="Arial" w:hAnsi="Arial"/>
                <w:sz w:val="14"/>
                <w:szCs w:val="14"/>
                <w:color w:val="auto"/>
              </w:rPr>
              <w:t>March 31,</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90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360" w:type="dxa"/>
            <w:vAlign w:val="bottom"/>
          </w:tcPr>
          <w:p>
            <w:pPr>
              <w:spacing w:after="0"/>
              <w:rPr>
                <w:sz w:val="13"/>
                <w:szCs w:val="13"/>
                <w:color w:val="auto"/>
              </w:rPr>
            </w:pPr>
          </w:p>
        </w:tc>
        <w:tc>
          <w:tcPr>
            <w:tcW w:w="900" w:type="dxa"/>
            <w:vAlign w:val="bottom"/>
          </w:tcPr>
          <w:p>
            <w:pPr>
              <w:jc w:val="right"/>
              <w:ind w:right="433"/>
              <w:spacing w:after="0" w:line="159" w:lineRule="exact"/>
              <w:rPr>
                <w:sz w:val="20"/>
                <w:szCs w:val="20"/>
                <w:color w:val="auto"/>
              </w:rPr>
            </w:pPr>
            <w:r>
              <w:rPr>
                <w:rFonts w:ascii="Arial" w:cs="Arial" w:eastAsia="Arial" w:hAnsi="Arial"/>
                <w:sz w:val="14"/>
                <w:szCs w:val="14"/>
                <w:color w:val="auto"/>
              </w:rPr>
              <w:t>2014</w:t>
            </w:r>
          </w:p>
        </w:tc>
        <w:tc>
          <w:tcPr>
            <w:tcW w:w="380" w:type="dxa"/>
            <w:vAlign w:val="bottom"/>
          </w:tcPr>
          <w:p>
            <w:pPr>
              <w:spacing w:after="0"/>
              <w:rPr>
                <w:sz w:val="13"/>
                <w:szCs w:val="13"/>
                <w:color w:val="auto"/>
              </w:rPr>
            </w:pPr>
          </w:p>
        </w:tc>
        <w:tc>
          <w:tcPr>
            <w:tcW w:w="74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3,054</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2,389</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6,151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863</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1,586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14,043</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5,058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3,090</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$43,381 and $42,574</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29,588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Franchise rights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59,364</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27,103</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$9,141 and $8,874</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17,145</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2,382</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6"/>
              </w:rPr>
              <w:t>157,773</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158,813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5,534</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1,256</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776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7,418</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2,819</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17,803</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44,581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31,595</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11,109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1,053</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0"/>
              </w:rPr>
              <w:t>Class A common stock, $0.01 par value—authorized, 7,500,000,000 shares; issued, 2,511,755,843 and 2,503,535,883;</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outstanding, 2,146,295,093 and 2,138,075,133</w:t>
            </w:r>
          </w:p>
        </w:tc>
        <w:tc>
          <w:tcPr>
            <w:tcW w:w="360" w:type="dxa"/>
            <w:vAlign w:val="bottom"/>
          </w:tcPr>
          <w:p>
            <w:pPr>
              <w:spacing w:after="0"/>
              <w:rPr>
                <w:sz w:val="19"/>
                <w:szCs w:val="19"/>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Special common stock, $0.01 par value—authorized, 7,500,000,000 shares; issued, 514,999,535 and</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529,964,944; outstanding, 444,064,771 and 459,030,180</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w:t>
            </w:r>
          </w:p>
        </w:tc>
        <w:tc>
          <w:tcPr>
            <w:tcW w:w="38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9"/>
              </w:rPr>
              <w:t>Class B common stock, $0.01 par value—authorized, 75,000,000 shares; issued and outstanding, 9,444,375</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38,985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19,737</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19,235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(7,517)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33</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51,268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364</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51,632</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51,058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6"/>
              </w:rPr>
              <w:t>157,773</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158,813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3"/>
          </w:tcPr>
          <w:p>
            <w:pPr>
              <w:jc w:val="right"/>
              <w:ind w:right="253"/>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Arial" w:cs="Arial" w:eastAsia="Arial" w:hAnsi="Arial"/>
                <w:sz w:val="14"/>
                <w:szCs w:val="14"/>
                <w:color w:val="auto"/>
              </w:rPr>
              <w:t>2014</w:t>
            </w:r>
          </w:p>
        </w:tc>
        <w:tc>
          <w:tcPr>
            <w:tcW w:w="28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w w:val="83"/>
              </w:rPr>
              <w:t>17,408</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15,310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5,908</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4,752</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1,210</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1,569</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401</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w w:val="83"/>
              </w:rPr>
              <w:t>13,840</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12,243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3,568</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(642)</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32</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(512)</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3,056</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91"/>
              </w:rPr>
              <w:t>(1,118)</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1,938</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1,871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1,437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0.72</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5"/>
              <w:spacing w:after="0"/>
              <w:rPr>
                <w:sz w:val="20"/>
                <w:szCs w:val="20"/>
                <w:color w:val="auto"/>
              </w:rPr>
            </w:pPr>
            <w:r>
              <w:rPr>
                <w:rFonts w:ascii="Arial" w:cs="Arial" w:eastAsia="Arial" w:hAnsi="Arial"/>
                <w:sz w:val="18"/>
                <w:szCs w:val="18"/>
                <w:b w:val="1"/>
                <w:bCs w:val="1"/>
                <w:color w:val="auto"/>
              </w:rPr>
              <w:t>0.71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0.225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0.195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160" w:type="dxa"/>
            <w:vAlign w:val="bottom"/>
            <w:gridSpan w:val="2"/>
          </w:tcPr>
          <w:p>
            <w:pPr>
              <w:jc w:val="right"/>
              <w:ind w:right="25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60" w:type="dxa"/>
            <w:vAlign w:val="bottom"/>
            <w:tcBorders>
              <w:bottom w:val="single" w:sz="8" w:color="auto"/>
            </w:tcBorders>
            <w:vMerge w:val="continue"/>
          </w:tcPr>
          <w:p>
            <w:pPr>
              <w:spacing w:after="0"/>
              <w:rPr>
                <w:sz w:val="12"/>
                <w:szCs w:val="12"/>
                <w:color w:val="auto"/>
              </w:rPr>
            </w:pPr>
          </w:p>
        </w:tc>
        <w:tc>
          <w:tcPr>
            <w:tcW w:w="1500" w:type="dxa"/>
            <w:vAlign w:val="bottom"/>
            <w:tcBorders>
              <w:bottom w:val="single" w:sz="8" w:color="auto"/>
            </w:tcBorders>
          </w:tcPr>
          <w:p>
            <w:pPr>
              <w:jc w:val="right"/>
              <w:ind w:right="577"/>
              <w:spacing w:after="0" w:line="142" w:lineRule="exact"/>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50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$ 1,938</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9"/>
              </w:rPr>
              <w:t>$ 1,645</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Unrealized gains (losses) on marketable securities, net of deferred taxes of $(17) and $(12)</w:t>
            </w:r>
          </w:p>
        </w:tc>
        <w:tc>
          <w:tcPr>
            <w:tcW w:w="1500" w:type="dxa"/>
            <w:vAlign w:val="bottom"/>
          </w:tcPr>
          <w:p>
            <w:pPr>
              <w:jc w:val="right"/>
              <w:ind w:right="437"/>
              <w:spacing w:after="0"/>
              <w:rPr>
                <w:sz w:val="20"/>
                <w:szCs w:val="20"/>
                <w:color w:val="auto"/>
              </w:rPr>
            </w:pPr>
            <w:r>
              <w:rPr>
                <w:rFonts w:ascii="Arial" w:cs="Arial" w:eastAsia="Arial" w:hAnsi="Arial"/>
                <w:sz w:val="18"/>
                <w:szCs w:val="18"/>
                <w:color w:val="auto"/>
              </w:rPr>
              <w:t>30</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 of deferred taxes of $1 and $21</w:t>
            </w:r>
          </w:p>
        </w:tc>
        <w:tc>
          <w:tcPr>
            <w:tcW w:w="1500" w:type="dxa"/>
            <w:vAlign w:val="bottom"/>
            <w:shd w:val="clear" w:color="auto" w:fill="E5E5E5"/>
          </w:tcPr>
          <w:p>
            <w:pPr>
              <w:jc w:val="right"/>
              <w:ind w:right="377"/>
              <w:spacing w:after="0"/>
              <w:rPr>
                <w:sz w:val="20"/>
                <w:szCs w:val="20"/>
                <w:color w:val="auto"/>
              </w:rPr>
            </w:pPr>
            <w:r>
              <w:rPr>
                <w:rFonts w:ascii="Arial" w:cs="Arial" w:eastAsia="Arial" w:hAnsi="Arial"/>
                <w:sz w:val="18"/>
                <w:szCs w:val="18"/>
                <w:color w:val="auto"/>
              </w:rPr>
              <w:t>(2)</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Realized (gains) losses on marketable securities, net of deferred taxes of $30 and $12</w:t>
            </w:r>
          </w:p>
        </w:tc>
        <w:tc>
          <w:tcPr>
            <w:tcW w:w="1500" w:type="dxa"/>
            <w:vAlign w:val="bottom"/>
            <w:shd w:val="clear" w:color="auto" w:fill="E5E5E5"/>
          </w:tcPr>
          <w:p>
            <w:pPr>
              <w:jc w:val="right"/>
              <w:ind w:right="377"/>
              <w:spacing w:after="0"/>
              <w:rPr>
                <w:sz w:val="20"/>
                <w:szCs w:val="20"/>
                <w:color w:val="auto"/>
              </w:rPr>
            </w:pPr>
            <w:r>
              <w:rPr>
                <w:rFonts w:ascii="Arial" w:cs="Arial" w:eastAsia="Arial" w:hAnsi="Arial"/>
                <w:sz w:val="18"/>
                <w:szCs w:val="18"/>
                <w:color w:val="auto"/>
              </w:rPr>
              <w:t>(50)</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260" w:type="dxa"/>
            <w:vAlign w:val="bottom"/>
          </w:tcPr>
          <w:p>
            <w:pPr>
              <w:ind w:left="440"/>
              <w:spacing w:after="0"/>
              <w:rPr>
                <w:sz w:val="20"/>
                <w:szCs w:val="20"/>
                <w:color w:val="auto"/>
              </w:rPr>
            </w:pPr>
            <w:r>
              <w:rPr>
                <w:rFonts w:ascii="Arial" w:cs="Arial" w:eastAsia="Arial" w:hAnsi="Arial"/>
                <w:sz w:val="18"/>
                <w:szCs w:val="18"/>
                <w:color w:val="auto"/>
              </w:rPr>
              <w:t>Realized (gains) losses on cash flow hedges, net of deferred taxes of $2 and $(27)</w:t>
            </w:r>
          </w:p>
        </w:tc>
        <w:tc>
          <w:tcPr>
            <w:tcW w:w="1500" w:type="dxa"/>
            <w:vAlign w:val="bottom"/>
          </w:tcPr>
          <w:p>
            <w:pPr>
              <w:jc w:val="right"/>
              <w:ind w:right="377"/>
              <w:spacing w:after="0"/>
              <w:rPr>
                <w:sz w:val="20"/>
                <w:szCs w:val="20"/>
                <w:color w:val="auto"/>
              </w:rPr>
            </w:pPr>
            <w:r>
              <w:rPr>
                <w:rFonts w:ascii="Arial" w:cs="Arial" w:eastAsia="Arial" w:hAnsi="Arial"/>
                <w:sz w:val="18"/>
                <w:szCs w:val="18"/>
                <w:color w:val="auto"/>
              </w:rPr>
              <w:t>(3)</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 and $(1)</w:t>
            </w:r>
          </w:p>
        </w:tc>
        <w:tc>
          <w:tcPr>
            <w:tcW w:w="150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$(1) and $5</w:t>
            </w:r>
          </w:p>
        </w:tc>
        <w:tc>
          <w:tcPr>
            <w:tcW w:w="150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50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1,915</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1500" w:type="dxa"/>
            <w:vAlign w:val="bottom"/>
          </w:tcPr>
          <w:p>
            <w:pPr>
              <w:jc w:val="right"/>
              <w:ind w:right="377"/>
              <w:spacing w:after="0"/>
              <w:rPr>
                <w:sz w:val="20"/>
                <w:szCs w:val="20"/>
                <w:color w:val="auto"/>
              </w:rPr>
            </w:pPr>
            <w:r>
              <w:rPr>
                <w:rFonts w:ascii="Arial" w:cs="Arial" w:eastAsia="Arial" w:hAnsi="Arial"/>
                <w:sz w:val="18"/>
                <w:szCs w:val="18"/>
                <w:color w:val="auto"/>
              </w:rPr>
              <w:t>(67)</w:t>
            </w:r>
          </w:p>
        </w:tc>
        <w:tc>
          <w:tcPr>
            <w:tcW w:w="66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50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50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b w:val="1"/>
                <w:bCs w:val="1"/>
                <w:color w:val="auto"/>
              </w:rPr>
              <w:t>$ 1,848</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9"/>
              </w:rPr>
              <w:t>$ 1,437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520" w:type="dxa"/>
            <w:vAlign w:val="bottom"/>
            <w:gridSpan w:val="3"/>
          </w:tcPr>
          <w:p>
            <w:pPr>
              <w:jc w:val="right"/>
              <w:ind w:right="393"/>
              <w:spacing w:after="0"/>
              <w:rPr>
                <w:sz w:val="20"/>
                <w:szCs w:val="20"/>
                <w:color w:val="auto"/>
              </w:rPr>
            </w:pPr>
            <w:r>
              <w:rPr>
                <w:rFonts w:ascii="Arial" w:cs="Arial" w:eastAsia="Arial" w:hAnsi="Arial"/>
                <w:sz w:val="14"/>
                <w:szCs w:val="14"/>
                <w:color w:val="auto"/>
              </w:rPr>
              <w:t>Three Months Ended</w:t>
            </w:r>
          </w:p>
        </w:tc>
      </w:tr>
      <w:tr>
        <w:trPr>
          <w:trHeight w:val="172"/>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2"/>
              </w:rPr>
              <w:t>March 31</w:t>
            </w:r>
          </w:p>
        </w:tc>
        <w:tc>
          <w:tcPr>
            <w:tcW w:w="680" w:type="dxa"/>
            <w:vAlign w:val="bottom"/>
            <w:tcBorders>
              <w:bottom w:val="single" w:sz="8" w:color="auto"/>
            </w:tcBorders>
          </w:tcPr>
          <w:p>
            <w:pPr>
              <w:spacing w:after="0"/>
              <w:rPr>
                <w:sz w:val="14"/>
                <w:szCs w:val="14"/>
                <w:color w:val="auto"/>
              </w:rPr>
            </w:pPr>
          </w:p>
        </w:tc>
      </w:tr>
      <w:tr>
        <w:trPr>
          <w:trHeight w:val="143"/>
        </w:trPr>
        <w:tc>
          <w:tcPr>
            <w:tcW w:w="890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180" w:type="dxa"/>
            <w:vAlign w:val="bottom"/>
          </w:tcPr>
          <w:p>
            <w:pPr>
              <w:jc w:val="right"/>
              <w:ind w:right="154"/>
              <w:spacing w:after="0" w:line="143" w:lineRule="exact"/>
              <w:rPr>
                <w:sz w:val="20"/>
                <w:szCs w:val="20"/>
                <w:color w:val="auto"/>
              </w:rPr>
            </w:pPr>
            <w:r>
              <w:rPr>
                <w:rFonts w:ascii="Arial" w:cs="Arial" w:eastAsia="Arial" w:hAnsi="Arial"/>
                <w:sz w:val="14"/>
                <w:szCs w:val="14"/>
                <w:color w:val="auto"/>
              </w:rPr>
              <w:t>2014</w:t>
            </w:r>
          </w:p>
        </w:tc>
        <w:tc>
          <w:tcPr>
            <w:tcW w:w="660" w:type="dxa"/>
            <w:vAlign w:val="bottom"/>
          </w:tcPr>
          <w:p>
            <w:pPr>
              <w:spacing w:after="0"/>
              <w:rPr>
                <w:sz w:val="12"/>
                <w:szCs w:val="12"/>
                <w:color w:val="auto"/>
              </w:rPr>
            </w:pPr>
          </w:p>
        </w:tc>
        <w:tc>
          <w:tcPr>
            <w:tcW w:w="680" w:type="dxa"/>
            <w:vAlign w:val="bottom"/>
          </w:tcPr>
          <w:p>
            <w:pPr>
              <w:jc w:val="right"/>
              <w:ind w:right="233"/>
              <w:spacing w:after="0" w:line="143" w:lineRule="exact"/>
              <w:rPr>
                <w:sz w:val="20"/>
                <w:szCs w:val="20"/>
                <w:color w:val="auto"/>
              </w:rPr>
            </w:pPr>
            <w:r>
              <w:rPr>
                <w:rFonts w:ascii="Arial" w:cs="Arial" w:eastAsia="Arial" w:hAnsi="Arial"/>
                <w:sz w:val="14"/>
                <w:szCs w:val="14"/>
                <w:color w:val="auto"/>
              </w:rPr>
              <w:t>2013</w:t>
            </w:r>
          </w:p>
        </w:tc>
      </w:tr>
      <w:tr>
        <w:trPr>
          <w:trHeight w:val="210"/>
        </w:trPr>
        <w:tc>
          <w:tcPr>
            <w:tcW w:w="20" w:type="dxa"/>
            <w:vAlign w:val="bottom"/>
          </w:tcPr>
          <w:p>
            <w:pPr>
              <w:spacing w:after="0"/>
              <w:rPr>
                <w:sz w:val="18"/>
                <w:szCs w:val="18"/>
                <w:color w:val="auto"/>
              </w:rPr>
            </w:pPr>
          </w:p>
        </w:tc>
        <w:tc>
          <w:tcPr>
            <w:tcW w:w="888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180" w:type="dxa"/>
            <w:vAlign w:val="bottom"/>
            <w:tcBorders>
              <w:top w:val="single" w:sz="8" w:color="auto"/>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$ 4,486</w:t>
            </w:r>
          </w:p>
        </w:tc>
        <w:tc>
          <w:tcPr>
            <w:tcW w:w="6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4,369</w:t>
            </w:r>
          </w:p>
        </w:tc>
      </w:tr>
      <w:tr>
        <w:trPr>
          <w:trHeight w:val="210"/>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(1,448)</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(1,361)</w:t>
            </w: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180" w:type="dxa"/>
            <w:vAlign w:val="bottom"/>
          </w:tcPr>
          <w:p>
            <w:pPr>
              <w:jc w:val="right"/>
              <w:spacing w:after="0"/>
              <w:rPr>
                <w:sz w:val="20"/>
                <w:szCs w:val="20"/>
                <w:color w:val="auto"/>
              </w:rPr>
            </w:pPr>
            <w:r>
              <w:rPr>
                <w:rFonts w:ascii="Arial" w:cs="Arial" w:eastAsia="Arial" w:hAnsi="Arial"/>
                <w:sz w:val="18"/>
                <w:szCs w:val="18"/>
                <w:color w:val="auto"/>
              </w:rPr>
              <w:t>(217)</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and construction of real estate properties</w:t>
            </w:r>
          </w:p>
        </w:tc>
        <w:tc>
          <w:tcPr>
            <w:tcW w:w="11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(1,311)</w:t>
            </w: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Proceeds from sales of businesses and investments</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6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8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w:t>
            </w:r>
          </w:p>
        </w:tc>
      </w:tr>
      <w:tr>
        <w:trPr>
          <w:trHeight w:val="210"/>
        </w:trPr>
        <w:tc>
          <w:tcPr>
            <w:tcW w:w="20" w:type="dxa"/>
            <w:vAlign w:val="bottom"/>
          </w:tcPr>
          <w:p>
            <w:pPr>
              <w:spacing w:after="0"/>
              <w:rPr>
                <w:sz w:val="18"/>
                <w:szCs w:val="18"/>
                <w:color w:val="auto"/>
              </w:rPr>
            </w:pPr>
          </w:p>
        </w:tc>
        <w:tc>
          <w:tcPr>
            <w:tcW w:w="8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(1,505)</w:t>
            </w:r>
          </w:p>
        </w:tc>
        <w:tc>
          <w:tcPr>
            <w:tcW w:w="6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(2,763)</w:t>
            </w:r>
          </w:p>
        </w:tc>
      </w:tr>
      <w:tr>
        <w:trPr>
          <w:trHeight w:val="210"/>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(repayments of) short-term borrowings, net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(364)</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491</w:t>
            </w: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2,187</w:t>
            </w:r>
          </w:p>
        </w:tc>
        <w:tc>
          <w:tcPr>
            <w:tcW w:w="6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2,933</w:t>
            </w: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(2,260)</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(1,811)</w:t>
            </w: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Repurchases and retirements of 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Dividends paid</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(508)</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(429)</w:t>
            </w: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Issuances of common stock</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 of NBCUniversal noncontrolling common equity interest</w:t>
            </w:r>
          </w:p>
        </w:tc>
        <w:tc>
          <w:tcPr>
            <w:tcW w:w="11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2"/>
              </w:rPr>
              <w:t>(10,747)</w:t>
            </w: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Settlement of Station Venture liability</w:t>
            </w:r>
          </w:p>
        </w:tc>
        <w:tc>
          <w:tcPr>
            <w:tcW w:w="11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20" w:type="dxa"/>
            <w:vAlign w:val="bottom"/>
          </w:tcPr>
          <w:p>
            <w:pPr>
              <w:spacing w:after="0"/>
              <w:rPr>
                <w:sz w:val="18"/>
                <w:szCs w:val="18"/>
                <w:color w:val="auto"/>
              </w:rPr>
            </w:pPr>
          </w:p>
        </w:tc>
        <w:tc>
          <w:tcPr>
            <w:tcW w:w="8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w:t>
            </w: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20" w:type="dxa"/>
            <w:vAlign w:val="bottom"/>
          </w:tcPr>
          <w:p>
            <w:pPr>
              <w:spacing w:after="0"/>
              <w:rPr>
                <w:sz w:val="18"/>
                <w:szCs w:val="18"/>
                <w:color w:val="auto"/>
              </w:rPr>
            </w:pPr>
          </w:p>
        </w:tc>
        <w:tc>
          <w:tcPr>
            <w:tcW w:w="8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(1,645)</w:t>
            </w:r>
          </w:p>
        </w:tc>
        <w:tc>
          <w:tcPr>
            <w:tcW w:w="6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2"/>
              </w:rPr>
              <w:t>(10,718)</w:t>
            </w:r>
          </w:p>
        </w:tc>
      </w:tr>
      <w:tr>
        <w:trPr>
          <w:trHeight w:val="210"/>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1,336</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(9,112)</w:t>
            </w:r>
          </w:p>
        </w:tc>
      </w:tr>
      <w:tr>
        <w:trPr>
          <w:trHeight w:val="216"/>
        </w:trPr>
        <w:tc>
          <w:tcPr>
            <w:tcW w:w="20" w:type="dxa"/>
            <w:vAlign w:val="bottom"/>
          </w:tcPr>
          <w:p>
            <w:pPr>
              <w:spacing w:after="0"/>
              <w:rPr>
                <w:sz w:val="18"/>
                <w:szCs w:val="18"/>
                <w:color w:val="auto"/>
              </w:rPr>
            </w:pPr>
          </w:p>
        </w:tc>
        <w:tc>
          <w:tcPr>
            <w:tcW w:w="8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11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1,718</w:t>
            </w:r>
          </w:p>
        </w:tc>
        <w:tc>
          <w:tcPr>
            <w:tcW w:w="6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10,951</w:t>
            </w:r>
          </w:p>
        </w:tc>
      </w:tr>
      <w:tr>
        <w:trPr>
          <w:trHeight w:val="217"/>
        </w:trPr>
        <w:tc>
          <w:tcPr>
            <w:tcW w:w="20" w:type="dxa"/>
            <w:vAlign w:val="bottom"/>
            <w:tcBorders>
              <w:bottom w:val="single" w:sz="8" w:color="auto"/>
            </w:tcBorders>
          </w:tcPr>
          <w:p>
            <w:pPr>
              <w:spacing w:after="0"/>
              <w:rPr>
                <w:sz w:val="18"/>
                <w:szCs w:val="18"/>
                <w:color w:val="auto"/>
              </w:rPr>
            </w:pPr>
          </w:p>
        </w:tc>
        <w:tc>
          <w:tcPr>
            <w:tcW w:w="8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$ 3,054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1,839</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83"/>
              </w:rPr>
              <w:t>Redeemable</w:t>
            </w:r>
          </w:p>
        </w:tc>
        <w:tc>
          <w:tcPr>
            <w:tcW w:w="28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Noncontrolling</w:t>
            </w:r>
          </w:p>
        </w:tc>
        <w:tc>
          <w:tcPr>
            <w:tcW w:w="2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6"/>
              </w:rPr>
              <w:t>Interests and</w:t>
            </w:r>
          </w:p>
        </w:tc>
        <w:tc>
          <w:tcPr>
            <w:tcW w:w="2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40"/>
              <w:spacing w:after="0" w:line="159" w:lineRule="exact"/>
              <w:rPr>
                <w:sz w:val="20"/>
                <w:szCs w:val="20"/>
                <w:color w:val="auto"/>
              </w:rPr>
            </w:pPr>
            <w:r>
              <w:rPr>
                <w:rFonts w:ascii="Arial" w:cs="Arial" w:eastAsia="Arial" w:hAnsi="Arial"/>
                <w:sz w:val="14"/>
                <w:szCs w:val="14"/>
                <w:color w:val="auto"/>
                <w:w w:val="87"/>
              </w:rPr>
              <w:t>Common Stock</w:t>
            </w:r>
          </w:p>
        </w:tc>
        <w:tc>
          <w:tcPr>
            <w:tcW w:w="3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8"/>
              </w:rPr>
              <w:t>Accumulated</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18"/>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gridSpan w:val="2"/>
          </w:tcPr>
          <w:p>
            <w:pPr>
              <w:jc w:val="center"/>
              <w:ind w:right="160"/>
              <w:spacing w:after="0" w:line="118" w:lineRule="exact"/>
              <w:rPr>
                <w:sz w:val="20"/>
                <w:szCs w:val="20"/>
                <w:color w:val="auto"/>
              </w:rPr>
            </w:pPr>
            <w:r>
              <w:rPr>
                <w:rFonts w:ascii="Arial" w:cs="Arial" w:eastAsia="Arial" w:hAnsi="Arial"/>
                <w:sz w:val="12"/>
                <w:szCs w:val="12"/>
                <w:color w:val="auto"/>
                <w:w w:val="96"/>
              </w:rPr>
              <w:t>Redeemable</w:t>
            </w:r>
          </w:p>
        </w:tc>
        <w:tc>
          <w:tcPr>
            <w:tcW w:w="2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3"/>
          </w:tcPr>
          <w:p>
            <w:pPr>
              <w:ind w:left="160"/>
              <w:spacing w:after="0" w:line="118" w:lineRule="exact"/>
              <w:rPr>
                <w:sz w:val="20"/>
                <w:szCs w:val="20"/>
                <w:color w:val="auto"/>
              </w:rPr>
            </w:pPr>
            <w:r>
              <w:rPr>
                <w:rFonts w:ascii="Arial" w:cs="Arial" w:eastAsia="Arial" w:hAnsi="Arial"/>
                <w:sz w:val="12"/>
                <w:szCs w:val="12"/>
                <w:color w:val="auto"/>
              </w:rPr>
              <w:t>Additional</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ind w:left="160"/>
              <w:spacing w:after="0" w:line="118" w:lineRule="exact"/>
              <w:rPr>
                <w:sz w:val="20"/>
                <w:szCs w:val="20"/>
                <w:color w:val="auto"/>
              </w:rPr>
            </w:pPr>
            <w:r>
              <w:rPr>
                <w:rFonts w:ascii="Arial" w:cs="Arial" w:eastAsia="Arial" w:hAnsi="Arial"/>
                <w:sz w:val="12"/>
                <w:szCs w:val="12"/>
                <w:color w:val="auto"/>
              </w:rPr>
              <w:t>Treasury</w:t>
            </w:r>
          </w:p>
        </w:tc>
        <w:tc>
          <w:tcPr>
            <w:tcW w:w="340" w:type="dxa"/>
            <w:vAlign w:val="bottom"/>
          </w:tcPr>
          <w:p>
            <w:pPr>
              <w:spacing w:after="0"/>
              <w:rPr>
                <w:sz w:val="10"/>
                <w:szCs w:val="10"/>
                <w:color w:val="auto"/>
              </w:rPr>
            </w:pPr>
          </w:p>
        </w:tc>
        <w:tc>
          <w:tcPr>
            <w:tcW w:w="760" w:type="dxa"/>
            <w:vAlign w:val="bottom"/>
            <w:gridSpan w:val="2"/>
          </w:tcPr>
          <w:p>
            <w:pPr>
              <w:jc w:val="center"/>
              <w:ind w:right="260"/>
              <w:spacing w:after="0" w:line="118" w:lineRule="exact"/>
              <w:rPr>
                <w:sz w:val="20"/>
                <w:szCs w:val="20"/>
                <w:color w:val="auto"/>
              </w:rPr>
            </w:pPr>
            <w:r>
              <w:rPr>
                <w:rFonts w:ascii="Arial" w:cs="Arial" w:eastAsia="Arial" w:hAnsi="Arial"/>
                <w:sz w:val="12"/>
                <w:szCs w:val="12"/>
                <w:color w:val="auto"/>
                <w:w w:val="99"/>
              </w:rPr>
              <w:t>Other</w:t>
            </w:r>
          </w:p>
        </w:tc>
        <w:tc>
          <w:tcPr>
            <w:tcW w:w="220" w:type="dxa"/>
            <w:vAlign w:val="bottom"/>
          </w:tcPr>
          <w:p>
            <w:pPr>
              <w:spacing w:after="0"/>
              <w:rPr>
                <w:sz w:val="10"/>
                <w:szCs w:val="10"/>
                <w:color w:val="auto"/>
              </w:rPr>
            </w:pPr>
          </w:p>
        </w:tc>
        <w:tc>
          <w:tcPr>
            <w:tcW w:w="620" w:type="dxa"/>
            <w:vAlign w:val="bottom"/>
            <w:gridSpan w:val="2"/>
          </w:tcPr>
          <w:p>
            <w:pPr>
              <w:jc w:val="right"/>
              <w:ind w:right="240"/>
              <w:spacing w:after="0" w:line="118" w:lineRule="exact"/>
              <w:rPr>
                <w:sz w:val="20"/>
                <w:szCs w:val="20"/>
                <w:color w:val="auto"/>
              </w:rPr>
            </w:pPr>
            <w:r>
              <w:rPr>
                <w:rFonts w:ascii="Arial" w:cs="Arial" w:eastAsia="Arial" w:hAnsi="Arial"/>
                <w:sz w:val="12"/>
                <w:szCs w:val="12"/>
                <w:color w:val="auto"/>
              </w:rPr>
              <w:t>Non-</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Subsidiary</w:t>
            </w:r>
          </w:p>
        </w:tc>
        <w:tc>
          <w:tcPr>
            <w:tcW w:w="2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Paid-In</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Retained</w:t>
            </w:r>
          </w:p>
        </w:tc>
        <w:tc>
          <w:tcPr>
            <w:tcW w:w="7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Stock at</w:t>
            </w:r>
          </w:p>
        </w:tc>
        <w:tc>
          <w:tcPr>
            <w:tcW w:w="110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3"/>
              </w:rPr>
              <w:t>Comprehensive</w:t>
            </w:r>
          </w:p>
        </w:tc>
        <w:tc>
          <w:tcPr>
            <w:tcW w:w="8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controlling</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Total</w:t>
            </w:r>
          </w:p>
        </w:tc>
      </w:tr>
      <w:tr>
        <w:trPr>
          <w:trHeight w:val="173"/>
        </w:trPr>
        <w:tc>
          <w:tcPr>
            <w:tcW w:w="31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60" w:type="dxa"/>
            <w:vAlign w:val="bottom"/>
            <w:gridSpan w:val="3"/>
          </w:tcPr>
          <w:p>
            <w:pPr>
              <w:ind w:left="320"/>
              <w:spacing w:after="0"/>
              <w:rPr>
                <w:sz w:val="20"/>
                <w:szCs w:val="20"/>
                <w:color w:val="auto"/>
              </w:rPr>
            </w:pPr>
            <w:r>
              <w:rPr>
                <w:rFonts w:ascii="Arial" w:cs="Arial" w:eastAsia="Arial" w:hAnsi="Arial"/>
                <w:sz w:val="14"/>
                <w:szCs w:val="14"/>
                <w:color w:val="auto"/>
                <w:w w:val="94"/>
              </w:rPr>
              <w:t>Preferred Stock</w:t>
            </w:r>
          </w:p>
        </w:tc>
        <w:tc>
          <w:tcPr>
            <w:tcW w:w="2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center"/>
              <w:ind w:left="52"/>
              <w:spacing w:after="0"/>
              <w:rPr>
                <w:sz w:val="20"/>
                <w:szCs w:val="20"/>
                <w:color w:val="auto"/>
              </w:rPr>
            </w:pPr>
            <w:r>
              <w:rPr>
                <w:rFonts w:ascii="Arial" w:cs="Arial" w:eastAsia="Arial" w:hAnsi="Arial"/>
                <w:sz w:val="14"/>
                <w:szCs w:val="14"/>
                <w:color w:val="auto"/>
              </w:rPr>
              <w:t>A</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A Special</w:t>
            </w:r>
          </w:p>
        </w:tc>
        <w:tc>
          <w:tcPr>
            <w:tcW w:w="320" w:type="dxa"/>
            <w:vAlign w:val="bottom"/>
          </w:tcPr>
          <w:p>
            <w:pPr>
              <w:jc w:val="center"/>
              <w:spacing w:after="0"/>
              <w:rPr>
                <w:sz w:val="20"/>
                <w:szCs w:val="20"/>
                <w:color w:val="auto"/>
              </w:rPr>
            </w:pPr>
            <w:r>
              <w:rPr>
                <w:rFonts w:ascii="Arial" w:cs="Arial" w:eastAsia="Arial" w:hAnsi="Arial"/>
                <w:sz w:val="14"/>
                <w:szCs w:val="14"/>
                <w:color w:val="auto"/>
              </w:rPr>
              <w:t>B</w:t>
            </w:r>
          </w:p>
        </w:tc>
        <w:tc>
          <w:tcPr>
            <w:tcW w:w="24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w w:val="87"/>
              </w:rPr>
              <w:t>Capital</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Earnings</w:t>
            </w:r>
          </w:p>
        </w:tc>
        <w:tc>
          <w:tcPr>
            <w:tcW w:w="240" w:type="dxa"/>
            <w:vAlign w:val="bottom"/>
          </w:tcPr>
          <w:p>
            <w:pPr>
              <w:spacing w:after="0"/>
              <w:rPr>
                <w:sz w:val="15"/>
                <w:szCs w:val="15"/>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Cost</w:t>
            </w:r>
          </w:p>
        </w:tc>
        <w:tc>
          <w:tcPr>
            <w:tcW w:w="1100" w:type="dxa"/>
            <w:vAlign w:val="bottom"/>
            <w:gridSpan w:val="3"/>
          </w:tcPr>
          <w:p>
            <w:pPr>
              <w:jc w:val="center"/>
              <w:ind w:left="12"/>
              <w:spacing w:after="0"/>
              <w:rPr>
                <w:sz w:val="20"/>
                <w:szCs w:val="20"/>
                <w:color w:val="auto"/>
              </w:rPr>
            </w:pPr>
            <w:r>
              <w:rPr>
                <w:rFonts w:ascii="Arial" w:cs="Arial" w:eastAsia="Arial" w:hAnsi="Arial"/>
                <w:sz w:val="14"/>
                <w:szCs w:val="14"/>
                <w:color w:val="auto"/>
                <w:w w:val="87"/>
              </w:rPr>
              <w:t>Income (Loss)</w:t>
            </w:r>
          </w:p>
        </w:tc>
        <w:tc>
          <w:tcPr>
            <w:tcW w:w="2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81"/>
              </w:rPr>
              <w:t>Interests</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Equity</w:t>
            </w:r>
          </w:p>
        </w:tc>
      </w:tr>
      <w:tr>
        <w:trPr>
          <w:trHeight w:val="142"/>
        </w:trPr>
        <w:tc>
          <w:tcPr>
            <w:tcW w:w="20" w:type="dxa"/>
            <w:vAlign w:val="bottom"/>
          </w:tcPr>
          <w:p>
            <w:pPr>
              <w:spacing w:after="0"/>
              <w:rPr>
                <w:sz w:val="12"/>
                <w:szCs w:val="12"/>
                <w:color w:val="auto"/>
              </w:rPr>
            </w:pPr>
          </w:p>
        </w:tc>
        <w:tc>
          <w:tcPr>
            <w:tcW w:w="31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January 1, 2013</w:t>
            </w:r>
          </w:p>
        </w:tc>
        <w:tc>
          <w:tcPr>
            <w:tcW w:w="400" w:type="dxa"/>
            <w:vAlign w:val="bottom"/>
            <w:tcBorders>
              <w:top w:val="single" w:sz="8" w:color="auto"/>
            </w:tcBorders>
            <w:shd w:val="clear" w:color="auto" w:fill="E5E5E5"/>
          </w:tcPr>
          <w:p>
            <w:pPr>
              <w:ind w:left="320"/>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16,998</w:t>
            </w:r>
          </w:p>
        </w:tc>
        <w:tc>
          <w:tcPr>
            <w:tcW w:w="80" w:type="dxa"/>
            <w:vAlign w:val="bottom"/>
            <w:tcBorders>
              <w:top w:val="single" w:sz="8" w:color="E5E5E5"/>
            </w:tcBorders>
            <w:shd w:val="clear" w:color="auto" w:fill="E5E5E5"/>
          </w:tcPr>
          <w:p>
            <w:pPr>
              <w:spacing w:after="0"/>
              <w:rPr>
                <w:sz w:val="12"/>
                <w:szCs w:val="12"/>
                <w:color w:val="auto"/>
              </w:rPr>
            </w:pPr>
          </w:p>
        </w:tc>
        <w:tc>
          <w:tcPr>
            <w:tcW w:w="280" w:type="dxa"/>
            <w:vAlign w:val="bottom"/>
            <w:tcBorders>
              <w:top w:val="single" w:sz="8" w:color="auto"/>
              <w:right w:val="single" w:sz="8" w:color="auto"/>
            </w:tcBorders>
            <w:shd w:val="clear" w:color="auto" w:fill="E5E5E5"/>
          </w:tcPr>
          <w:p>
            <w:pPr>
              <w:spacing w:after="0"/>
              <w:rPr>
                <w:sz w:val="12"/>
                <w:szCs w:val="12"/>
                <w:color w:val="auto"/>
              </w:rPr>
            </w:pPr>
          </w:p>
        </w:tc>
        <w:tc>
          <w:tcPr>
            <w:tcW w:w="620" w:type="dxa"/>
            <w:vAlign w:val="bottom"/>
            <w:tcBorders>
              <w:top w:val="single" w:sz="8" w:color="auto"/>
            </w:tcBorders>
            <w:gridSpan w:val="2"/>
            <w:shd w:val="clear" w:color="auto" w:fill="E5E5E5"/>
          </w:tcPr>
          <w:p>
            <w:pPr>
              <w:jc w:val="center"/>
              <w:ind w:left="312"/>
              <w:spacing w:after="0" w:line="142" w:lineRule="exact"/>
              <w:rPr>
                <w:sz w:val="20"/>
                <w:szCs w:val="20"/>
                <w:color w:val="auto"/>
              </w:rPr>
            </w:pPr>
            <w:r>
              <w:rPr>
                <w:rFonts w:ascii="Arial" w:cs="Arial" w:eastAsia="Arial" w:hAnsi="Arial"/>
                <w:sz w:val="14"/>
                <w:szCs w:val="14"/>
                <w:color w:val="auto"/>
                <w:w w:val="85"/>
              </w:rPr>
              <w:t>$25</w:t>
            </w:r>
          </w:p>
        </w:tc>
        <w:tc>
          <w:tcPr>
            <w:tcW w:w="44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6</w:t>
            </w:r>
          </w:p>
        </w:tc>
        <w:tc>
          <w:tcPr>
            <w:tcW w:w="32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rPr>
              <w:t>$ —</w:t>
            </w:r>
          </w:p>
        </w:tc>
        <w:tc>
          <w:tcPr>
            <w:tcW w:w="24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40,547</w:t>
            </w:r>
          </w:p>
        </w:tc>
        <w:tc>
          <w:tcPr>
            <w:tcW w:w="80" w:type="dxa"/>
            <w:vAlign w:val="bottom"/>
            <w:tcBorders>
              <w:top w:val="single" w:sz="8" w:color="E5E5E5"/>
            </w:tcBorders>
            <w:shd w:val="clear" w:color="auto" w:fill="E5E5E5"/>
          </w:tcPr>
          <w:p>
            <w:pPr>
              <w:spacing w:after="0"/>
              <w:rPr>
                <w:sz w:val="12"/>
                <w:szCs w:val="12"/>
                <w:color w:val="auto"/>
              </w:rPr>
            </w:pPr>
          </w:p>
        </w:tc>
        <w:tc>
          <w:tcPr>
            <w:tcW w:w="64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$ 16,280</w:t>
            </w:r>
          </w:p>
        </w:tc>
        <w:tc>
          <w:tcPr>
            <w:tcW w:w="100" w:type="dxa"/>
            <w:vAlign w:val="bottom"/>
            <w:tcBorders>
              <w:top w:val="single" w:sz="8" w:color="E5E5E5"/>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E5E5E5"/>
          </w:tcPr>
          <w:p>
            <w:pPr>
              <w:ind w:left="60"/>
              <w:spacing w:after="0" w:line="142" w:lineRule="exact"/>
              <w:rPr>
                <w:sz w:val="20"/>
                <w:szCs w:val="20"/>
                <w:color w:val="auto"/>
              </w:rPr>
            </w:pPr>
            <w:r>
              <w:rPr>
                <w:rFonts w:ascii="Arial" w:cs="Arial" w:eastAsia="Arial" w:hAnsi="Arial"/>
                <w:sz w:val="14"/>
                <w:szCs w:val="14"/>
                <w:color w:val="auto"/>
                <w:w w:val="72"/>
              </w:rPr>
              <w:t>(7,517)</w:t>
            </w:r>
          </w:p>
        </w:tc>
        <w:tc>
          <w:tcPr>
            <w:tcW w:w="80" w:type="dxa"/>
            <w:vAlign w:val="bottom"/>
            <w:tcBorders>
              <w:top w:val="single" w:sz="8" w:color="E5E5E5"/>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15</w:t>
            </w:r>
          </w:p>
        </w:tc>
        <w:tc>
          <w:tcPr>
            <w:tcW w:w="8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440</w:t>
            </w:r>
          </w:p>
        </w:tc>
        <w:tc>
          <w:tcPr>
            <w:tcW w:w="80" w:type="dxa"/>
            <w:vAlign w:val="bottom"/>
            <w:tcBorders>
              <w:top w:val="single" w:sz="8" w:color="E5E5E5"/>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$49,796</w:t>
            </w:r>
          </w:p>
        </w:tc>
        <w:tc>
          <w:tcPr>
            <w:tcW w:w="80" w:type="dxa"/>
            <w:vAlign w:val="bottom"/>
            <w:tcBorders>
              <w:top w:val="single" w:sz="8" w:color="E5E5E5"/>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(125)</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r>
      <w:tr>
        <w:trPr>
          <w:trHeight w:val="149"/>
        </w:trPr>
        <w:tc>
          <w:tcPr>
            <w:tcW w:w="20" w:type="dxa"/>
            <w:vAlign w:val="bottom"/>
          </w:tcPr>
          <w:p>
            <w:pPr>
              <w:spacing w:after="0"/>
              <w:rPr>
                <w:sz w:val="12"/>
                <w:szCs w:val="12"/>
                <w:color w:val="auto"/>
              </w:rPr>
            </w:pPr>
          </w:p>
        </w:tc>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40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80" w:type="dxa"/>
            <w:vAlign w:val="bottom"/>
            <w:tcBorders>
              <w:right w:val="single" w:sz="8" w:color="auto"/>
            </w:tcBorders>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(152)</w:t>
            </w:r>
          </w:p>
        </w:tc>
        <w:tc>
          <w:tcPr>
            <w:tcW w:w="74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(348)</w:t>
            </w:r>
          </w:p>
        </w:tc>
        <w:tc>
          <w:tcPr>
            <w:tcW w:w="2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(500)</w:t>
            </w:r>
          </w:p>
        </w:tc>
      </w:tr>
      <w:tr>
        <w:trPr>
          <w:trHeight w:val="138"/>
        </w:trPr>
        <w:tc>
          <w:tcPr>
            <w:tcW w:w="20" w:type="dxa"/>
            <w:vAlign w:val="bottom"/>
          </w:tcPr>
          <w:p>
            <w:pPr>
              <w:spacing w:after="0"/>
              <w:rPr>
                <w:sz w:val="11"/>
                <w:szCs w:val="11"/>
                <w:color w:val="auto"/>
              </w:rPr>
            </w:pPr>
          </w:p>
        </w:tc>
        <w:tc>
          <w:tcPr>
            <w:tcW w:w="3120" w:type="dxa"/>
            <w:vAlign w:val="bottom"/>
          </w:tcPr>
          <w:p>
            <w:pPr>
              <w:spacing w:after="0" w:line="138" w:lineRule="exact"/>
              <w:rPr>
                <w:sz w:val="20"/>
                <w:szCs w:val="20"/>
                <w:color w:val="auto"/>
              </w:rPr>
            </w:pPr>
            <w:r>
              <w:rPr>
                <w:rFonts w:ascii="Arial" w:cs="Arial" w:eastAsia="Arial" w:hAnsi="Arial"/>
                <w:sz w:val="14"/>
                <w:szCs w:val="14"/>
                <w:color w:val="auto"/>
              </w:rPr>
              <w:t>Employee stock purchase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200"/>
              <w:spacing w:after="0" w:line="159" w:lineRule="exact"/>
              <w:rPr>
                <w:sz w:val="20"/>
                <w:szCs w:val="20"/>
                <w:color w:val="auto"/>
              </w:rPr>
            </w:pPr>
            <w:r>
              <w:rPr>
                <w:rFonts w:ascii="Arial" w:cs="Arial" w:eastAsia="Arial" w:hAnsi="Arial"/>
                <w:sz w:val="14"/>
                <w:szCs w:val="14"/>
                <w:color w:val="auto"/>
              </w:rPr>
              <w:t>plans</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w:t>
            </w:r>
          </w:p>
        </w:tc>
      </w:tr>
      <w:tr>
        <w:trPr>
          <w:trHeight w:val="149"/>
        </w:trPr>
        <w:tc>
          <w:tcPr>
            <w:tcW w:w="20" w:type="dxa"/>
            <w:vAlign w:val="bottom"/>
          </w:tcPr>
          <w:p>
            <w:pPr>
              <w:spacing w:after="0"/>
              <w:rPr>
                <w:sz w:val="12"/>
                <w:szCs w:val="12"/>
                <w:color w:val="auto"/>
              </w:rPr>
            </w:pPr>
          </w:p>
        </w:tc>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40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80" w:type="dxa"/>
            <w:vAlign w:val="bottom"/>
            <w:tcBorders>
              <w:right w:val="single" w:sz="8" w:color="auto"/>
            </w:tcBorders>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74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(514)</w:t>
            </w:r>
          </w:p>
        </w:tc>
        <w:tc>
          <w:tcPr>
            <w:tcW w:w="2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(514)</w:t>
            </w:r>
          </w:p>
        </w:tc>
      </w:tr>
      <w:tr>
        <w:trPr>
          <w:trHeight w:val="138"/>
        </w:trPr>
        <w:tc>
          <w:tcPr>
            <w:tcW w:w="20" w:type="dxa"/>
            <w:vAlign w:val="bottom"/>
          </w:tcPr>
          <w:p>
            <w:pPr>
              <w:spacing w:after="0"/>
              <w:rPr>
                <w:sz w:val="11"/>
                <w:szCs w:val="11"/>
                <w:color w:val="auto"/>
              </w:rPr>
            </w:pPr>
          </w:p>
        </w:tc>
        <w:tc>
          <w:tcPr>
            <w:tcW w:w="3120" w:type="dxa"/>
            <w:vAlign w:val="bottom"/>
          </w:tcPr>
          <w:p>
            <w:pPr>
              <w:spacing w:after="0" w:line="138" w:lineRule="exact"/>
              <w:rPr>
                <w:sz w:val="20"/>
                <w:szCs w:val="20"/>
                <w:color w:val="auto"/>
              </w:rPr>
            </w:pPr>
            <w:r>
              <w:rPr>
                <w:rFonts w:ascii="Arial" w:cs="Arial" w:eastAsia="Arial" w:hAnsi="Arial"/>
                <w:sz w:val="14"/>
                <w:szCs w:val="14"/>
                <w:color w:val="auto"/>
              </w:rPr>
              <w:t>Other comprehensive income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200"/>
              <w:spacing w:after="0" w:line="159" w:lineRule="exact"/>
              <w:rPr>
                <w:sz w:val="20"/>
                <w:szCs w:val="20"/>
                <w:color w:val="auto"/>
              </w:rPr>
            </w:pPr>
            <w:r>
              <w:rPr>
                <w:rFonts w:ascii="Arial" w:cs="Arial" w:eastAsia="Arial" w:hAnsi="Arial"/>
                <w:sz w:val="14"/>
                <w:szCs w:val="14"/>
                <w:color w:val="auto"/>
              </w:rPr>
              <w:t>(loss)</w:t>
            </w:r>
          </w:p>
        </w:tc>
        <w:tc>
          <w:tcPr>
            <w:tcW w:w="400" w:type="dxa"/>
            <w:vAlign w:val="bottom"/>
          </w:tcPr>
          <w:p>
            <w:pPr>
              <w:spacing w:after="0"/>
              <w:rPr>
                <w:sz w:val="13"/>
                <w:szCs w:val="13"/>
                <w:color w:val="auto"/>
              </w:rPr>
            </w:pP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w:t>
            </w:r>
          </w:p>
        </w:tc>
        <w:tc>
          <w:tcPr>
            <w:tcW w:w="2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w w:val="98"/>
              </w:rPr>
              <w:t>Purchase of NBCUniversal noncontrolling common</w:t>
            </w:r>
          </w:p>
        </w:tc>
        <w:tc>
          <w:tcPr>
            <w:tcW w:w="40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80" w:type="dxa"/>
            <w:vAlign w:val="bottom"/>
            <w:tcBorders>
              <w:right w:val="single" w:sz="8" w:color="auto"/>
            </w:tcBorders>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6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equity interest</w:t>
            </w:r>
          </w:p>
        </w:tc>
        <w:tc>
          <w:tcPr>
            <w:tcW w:w="400" w:type="dxa"/>
            <w:vAlign w:val="bottom"/>
            <w:shd w:val="clear" w:color="auto" w:fill="E5E5E5"/>
          </w:tcPr>
          <w:p>
            <w:pPr>
              <w:spacing w:after="0"/>
              <w:rPr>
                <w:sz w:val="13"/>
                <w:szCs w:val="13"/>
                <w:color w:val="auto"/>
              </w:rPr>
            </w:pPr>
          </w:p>
        </w:tc>
        <w:tc>
          <w:tcPr>
            <w:tcW w:w="86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(17,006)</w:t>
            </w:r>
          </w:p>
        </w:tc>
        <w:tc>
          <w:tcPr>
            <w:tcW w:w="280" w:type="dxa"/>
            <w:vAlign w:val="bottom"/>
            <w:tcBorders>
              <w:right w:val="single" w:sz="8" w:color="auto"/>
            </w:tcBorders>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8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(1,482)</w:t>
            </w:r>
          </w:p>
        </w:tc>
        <w:tc>
          <w:tcPr>
            <w:tcW w:w="6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76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(26)</w:t>
            </w:r>
          </w:p>
        </w:tc>
        <w:tc>
          <w:tcPr>
            <w:tcW w:w="2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8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(1,508)</w:t>
            </w:r>
          </w:p>
        </w:tc>
      </w:tr>
      <w:tr>
        <w:trPr>
          <w:trHeight w:val="138"/>
        </w:trPr>
        <w:tc>
          <w:tcPr>
            <w:tcW w:w="20" w:type="dxa"/>
            <w:vAlign w:val="bottom"/>
          </w:tcPr>
          <w:p>
            <w:pPr>
              <w:spacing w:after="0"/>
              <w:rPr>
                <w:sz w:val="11"/>
                <w:szCs w:val="11"/>
                <w:color w:val="auto"/>
              </w:rPr>
            </w:pPr>
          </w:p>
        </w:tc>
        <w:tc>
          <w:tcPr>
            <w:tcW w:w="3120" w:type="dxa"/>
            <w:vAlign w:val="bottom"/>
          </w:tcPr>
          <w:p>
            <w:pPr>
              <w:spacing w:after="0" w:line="138" w:lineRule="exact"/>
              <w:rPr>
                <w:sz w:val="20"/>
                <w:szCs w:val="20"/>
                <w:color w:val="auto"/>
              </w:rPr>
            </w:pPr>
            <w:r>
              <w:rPr>
                <w:rFonts w:ascii="Arial" w:cs="Arial" w:eastAsia="Arial" w:hAnsi="Arial"/>
                <w:sz w:val="14"/>
                <w:szCs w:val="14"/>
                <w:color w:val="auto"/>
              </w:rPr>
              <w:t>Redeemable subsidiary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40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725</w:t>
            </w: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w:t>
            </w:r>
          </w:p>
        </w:tc>
        <w:tc>
          <w:tcPr>
            <w:tcW w:w="40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80" w:type="dxa"/>
            <w:vAlign w:val="bottom"/>
            <w:tcBorders>
              <w:right w:val="single" w:sz="8" w:color="auto"/>
            </w:tcBorders>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6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(distributions to) noncontrolling interests, net</w:t>
            </w:r>
          </w:p>
        </w:tc>
        <w:tc>
          <w:tcPr>
            <w:tcW w:w="400" w:type="dxa"/>
            <w:vAlign w:val="bottom"/>
            <w:shd w:val="clear" w:color="auto" w:fill="E5E5E5"/>
          </w:tcPr>
          <w:p>
            <w:pPr>
              <w:spacing w:after="0"/>
              <w:rPr>
                <w:sz w:val="13"/>
                <w:szCs w:val="13"/>
                <w:color w:val="auto"/>
              </w:rPr>
            </w:pPr>
          </w:p>
        </w:tc>
        <w:tc>
          <w:tcPr>
            <w:tcW w:w="86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(9)</w:t>
            </w:r>
          </w:p>
        </w:tc>
        <w:tc>
          <w:tcPr>
            <w:tcW w:w="280" w:type="dxa"/>
            <w:vAlign w:val="bottom"/>
            <w:tcBorders>
              <w:right w:val="single" w:sz="8" w:color="auto"/>
            </w:tcBorders>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62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(31)</w:t>
            </w:r>
          </w:p>
        </w:tc>
        <w:tc>
          <w:tcPr>
            <w:tcW w:w="680" w:type="dxa"/>
            <w:vAlign w:val="bottom"/>
            <w:gridSpan w:val="2"/>
            <w:shd w:val="clear" w:color="auto" w:fill="E5E5E5"/>
          </w:tcPr>
          <w:p>
            <w:pPr>
              <w:jc w:val="right"/>
              <w:ind w:right="40"/>
              <w:spacing w:after="0" w:line="159" w:lineRule="exact"/>
              <w:rPr>
                <w:sz w:val="20"/>
                <w:szCs w:val="20"/>
                <w:color w:val="auto"/>
              </w:rPr>
            </w:pPr>
            <w:r>
              <w:rPr>
                <w:rFonts w:ascii="Arial" w:cs="Arial" w:eastAsia="Arial" w:hAnsi="Arial"/>
                <w:sz w:val="14"/>
                <w:szCs w:val="14"/>
                <w:color w:val="auto"/>
              </w:rPr>
              <w:t>(31)</w:t>
            </w: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4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2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(124)</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(121)</w:t>
            </w:r>
          </w:p>
        </w:tc>
      </w:tr>
      <w:tr>
        <w:trPr>
          <w:trHeight w:val="149"/>
        </w:trPr>
        <w:tc>
          <w:tcPr>
            <w:tcW w:w="20" w:type="dxa"/>
            <w:vAlign w:val="bottom"/>
          </w:tcPr>
          <w:p>
            <w:pPr>
              <w:spacing w:after="0"/>
              <w:rPr>
                <w:sz w:val="12"/>
                <w:szCs w:val="12"/>
                <w:color w:val="auto"/>
              </w:rPr>
            </w:pPr>
          </w:p>
        </w:tc>
        <w:tc>
          <w:tcPr>
            <w:tcW w:w="31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40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159</w:t>
            </w:r>
          </w:p>
        </w:tc>
        <w:tc>
          <w:tcPr>
            <w:tcW w:w="80" w:type="dxa"/>
            <w:vAlign w:val="bottom"/>
            <w:tcBorders>
              <w:bottom w:val="single" w:sz="8" w:color="auto"/>
            </w:tcBorders>
            <w:shd w:val="clear" w:color="auto" w:fill="E5E5E5"/>
          </w:tcPr>
          <w:p>
            <w:pPr>
              <w:spacing w:after="0"/>
              <w:rPr>
                <w:sz w:val="12"/>
                <w:szCs w:val="12"/>
                <w:color w:val="auto"/>
              </w:rPr>
            </w:pPr>
          </w:p>
        </w:tc>
        <w:tc>
          <w:tcPr>
            <w:tcW w:w="280" w:type="dxa"/>
            <w:vAlign w:val="bottom"/>
            <w:tcBorders>
              <w:bottom w:val="single" w:sz="8" w:color="auto"/>
              <w:right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spacing w:after="0"/>
              <w:rPr>
                <w:sz w:val="12"/>
                <w:szCs w:val="12"/>
                <w:color w:val="auto"/>
              </w:rPr>
            </w:pPr>
          </w:p>
        </w:tc>
        <w:tc>
          <w:tcPr>
            <w:tcW w:w="460" w:type="dxa"/>
            <w:vAlign w:val="bottom"/>
            <w:tcBorders>
              <w:bottom w:val="single" w:sz="8" w:color="auto"/>
            </w:tcBorders>
            <w:shd w:val="clear" w:color="auto" w:fill="E5E5E5"/>
          </w:tcPr>
          <w:p>
            <w:pPr>
              <w:spacing w:after="0"/>
              <w:rPr>
                <w:sz w:val="12"/>
                <w:szCs w:val="12"/>
                <w:color w:val="auto"/>
              </w:rPr>
            </w:pPr>
          </w:p>
        </w:tc>
        <w:tc>
          <w:tcPr>
            <w:tcW w:w="32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spacing w:after="0"/>
              <w:rPr>
                <w:sz w:val="12"/>
                <w:szCs w:val="12"/>
                <w:color w:val="auto"/>
              </w:rPr>
            </w:pPr>
          </w:p>
        </w:tc>
        <w:tc>
          <w:tcPr>
            <w:tcW w:w="8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1,437</w:t>
            </w:r>
          </w:p>
        </w:tc>
        <w:tc>
          <w:tcPr>
            <w:tcW w:w="10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spacing w:after="0"/>
              <w:rPr>
                <w:sz w:val="12"/>
                <w:szCs w:val="12"/>
                <w:color w:val="auto"/>
              </w:rPr>
            </w:pPr>
          </w:p>
        </w:tc>
        <w:tc>
          <w:tcPr>
            <w:tcW w:w="8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spacing w:after="0"/>
              <w:rPr>
                <w:sz w:val="12"/>
                <w:szCs w:val="12"/>
                <w:color w:val="auto"/>
              </w:rPr>
            </w:pPr>
          </w:p>
        </w:tc>
        <w:tc>
          <w:tcPr>
            <w:tcW w:w="80" w:type="dxa"/>
            <w:vAlign w:val="bottom"/>
            <w:tcBorders>
              <w:bottom w:val="single" w:sz="8" w:color="auto"/>
            </w:tcBorders>
            <w:shd w:val="clear" w:color="auto" w:fill="E5E5E5"/>
          </w:tcPr>
          <w:p>
            <w:pPr>
              <w:spacing w:after="0"/>
              <w:rPr>
                <w:sz w:val="12"/>
                <w:szCs w:val="12"/>
                <w:color w:val="auto"/>
              </w:rPr>
            </w:pPr>
          </w:p>
        </w:tc>
        <w:tc>
          <w:tcPr>
            <w:tcW w:w="22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680" w:type="dxa"/>
            <w:vAlign w:val="bottom"/>
            <w:tcBorders>
              <w:bottom w:val="single" w:sz="8" w:color="auto"/>
            </w:tcBorders>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1,486</w:t>
            </w:r>
          </w:p>
        </w:tc>
      </w:tr>
      <w:tr>
        <w:trPr>
          <w:trHeight w:val="149"/>
        </w:trPr>
        <w:tc>
          <w:tcPr>
            <w:tcW w:w="20" w:type="dxa"/>
            <w:vAlign w:val="bottom"/>
          </w:tcPr>
          <w:p>
            <w:pPr>
              <w:spacing w:after="0"/>
              <w:rPr>
                <w:sz w:val="12"/>
                <w:szCs w:val="12"/>
                <w:color w:val="auto"/>
              </w:rPr>
            </w:pPr>
          </w:p>
        </w:tc>
        <w:tc>
          <w:tcPr>
            <w:tcW w:w="3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March 31, 2013</w:t>
            </w:r>
          </w:p>
        </w:tc>
        <w:tc>
          <w:tcPr>
            <w:tcW w:w="4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854</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gridSpan w:val="2"/>
          </w:tcPr>
          <w:p>
            <w:pPr>
              <w:jc w:val="center"/>
              <w:ind w:left="312"/>
              <w:spacing w:after="0" w:line="142" w:lineRule="exact"/>
              <w:rPr>
                <w:sz w:val="20"/>
                <w:szCs w:val="20"/>
                <w:color w:val="auto"/>
              </w:rPr>
            </w:pPr>
            <w:r>
              <w:rPr>
                <w:rFonts w:ascii="Arial" w:cs="Arial" w:eastAsia="Arial" w:hAnsi="Arial"/>
                <w:sz w:val="14"/>
                <w:szCs w:val="14"/>
                <w:b w:val="1"/>
                <w:bCs w:val="1"/>
                <w:color w:val="auto"/>
                <w:w w:val="85"/>
              </w:rPr>
              <w:t>$25</w:t>
            </w:r>
          </w:p>
        </w:tc>
        <w:tc>
          <w:tcPr>
            <w:tcW w:w="4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6</w:t>
            </w: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38,957</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$ 16,730</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0"/>
              </w:rPr>
              <w:t>(7,517)</w:t>
            </w:r>
          </w:p>
        </w:tc>
        <w:tc>
          <w:tcPr>
            <w:tcW w:w="3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(11)</w:t>
            </w:r>
          </w:p>
        </w:tc>
        <w:tc>
          <w:tcPr>
            <w:tcW w:w="22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461</w:t>
            </w:r>
          </w:p>
        </w:tc>
        <w:tc>
          <w:tcPr>
            <w:tcW w:w="6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$48,651</w:t>
            </w:r>
          </w:p>
        </w:tc>
      </w:tr>
      <w:tr>
        <w:trPr>
          <w:trHeight w:val="149"/>
        </w:trPr>
        <w:tc>
          <w:tcPr>
            <w:tcW w:w="20" w:type="dxa"/>
            <w:vAlign w:val="bottom"/>
          </w:tcPr>
          <w:p>
            <w:pPr>
              <w:spacing w:after="0"/>
              <w:rPr>
                <w:sz w:val="12"/>
                <w:szCs w:val="12"/>
                <w:color w:val="auto"/>
              </w:rPr>
            </w:pPr>
          </w:p>
        </w:tc>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Balance, January 1, 2014</w:t>
            </w:r>
          </w:p>
        </w:tc>
        <w:tc>
          <w:tcPr>
            <w:tcW w:w="400" w:type="dxa"/>
            <w:vAlign w:val="bottom"/>
            <w:shd w:val="clear" w:color="auto" w:fill="E5E5E5"/>
          </w:tcPr>
          <w:p>
            <w:pPr>
              <w:ind w:left="3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957</w:t>
            </w:r>
          </w:p>
        </w:tc>
        <w:tc>
          <w:tcPr>
            <w:tcW w:w="80" w:type="dxa"/>
            <w:vAlign w:val="bottom"/>
            <w:shd w:val="clear" w:color="auto" w:fill="E5E5E5"/>
          </w:tcPr>
          <w:p>
            <w:pPr>
              <w:spacing w:after="0"/>
              <w:rPr>
                <w:sz w:val="12"/>
                <w:szCs w:val="12"/>
                <w:color w:val="auto"/>
              </w:rPr>
            </w:pPr>
          </w:p>
        </w:tc>
        <w:tc>
          <w:tcPr>
            <w:tcW w:w="280" w:type="dxa"/>
            <w:vAlign w:val="bottom"/>
            <w:tcBorders>
              <w:right w:val="single" w:sz="8" w:color="auto"/>
            </w:tcBorders>
            <w:shd w:val="clear" w:color="auto" w:fill="E5E5E5"/>
          </w:tcPr>
          <w:p>
            <w:pPr>
              <w:spacing w:after="0"/>
              <w:rPr>
                <w:sz w:val="12"/>
                <w:szCs w:val="12"/>
                <w:color w:val="auto"/>
              </w:rPr>
            </w:pPr>
          </w:p>
        </w:tc>
        <w:tc>
          <w:tcPr>
            <w:tcW w:w="620" w:type="dxa"/>
            <w:vAlign w:val="bottom"/>
            <w:gridSpan w:val="2"/>
            <w:shd w:val="clear" w:color="auto" w:fill="E5E5E5"/>
          </w:tcPr>
          <w:p>
            <w:pPr>
              <w:jc w:val="center"/>
              <w:ind w:left="312"/>
              <w:spacing w:after="0" w:line="149" w:lineRule="exact"/>
              <w:rPr>
                <w:sz w:val="20"/>
                <w:szCs w:val="20"/>
                <w:color w:val="auto"/>
              </w:rPr>
            </w:pPr>
            <w:r>
              <w:rPr>
                <w:rFonts w:ascii="Arial" w:cs="Arial" w:eastAsia="Arial" w:hAnsi="Arial"/>
                <w:sz w:val="14"/>
                <w:szCs w:val="14"/>
                <w:color w:val="auto"/>
                <w:w w:val="85"/>
              </w:rPr>
              <w:t>$25</w:t>
            </w:r>
          </w:p>
        </w:tc>
        <w:tc>
          <w:tcPr>
            <w:tcW w:w="440" w:type="dxa"/>
            <w:vAlign w:val="bottom"/>
            <w:shd w:val="clear" w:color="auto" w:fill="E5E5E5"/>
          </w:tcPr>
          <w:p>
            <w:pPr>
              <w:ind w:left="1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5</w:t>
            </w:r>
          </w:p>
        </w:tc>
        <w:tc>
          <w:tcPr>
            <w:tcW w:w="32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rPr>
              <w:t>$ —</w:t>
            </w:r>
          </w:p>
        </w:tc>
        <w:tc>
          <w:tcPr>
            <w:tcW w:w="24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38,890</w:t>
            </w:r>
          </w:p>
        </w:tc>
        <w:tc>
          <w:tcPr>
            <w:tcW w:w="6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$ 19,235</w:t>
            </w:r>
          </w:p>
        </w:tc>
        <w:tc>
          <w:tcPr>
            <w:tcW w:w="100" w:type="dxa"/>
            <w:vAlign w:val="bottom"/>
            <w:shd w:val="clear" w:color="auto" w:fill="E5E5E5"/>
          </w:tcPr>
          <w:p>
            <w:pPr>
              <w:spacing w:after="0"/>
              <w:rPr>
                <w:sz w:val="12"/>
                <w:szCs w:val="12"/>
                <w:color w:val="auto"/>
              </w:rPr>
            </w:pPr>
          </w:p>
        </w:tc>
        <w:tc>
          <w:tcPr>
            <w:tcW w:w="24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E5E5E5"/>
          </w:tcPr>
          <w:p>
            <w:pPr>
              <w:ind w:left="60"/>
              <w:spacing w:after="0" w:line="149" w:lineRule="exact"/>
              <w:rPr>
                <w:sz w:val="20"/>
                <w:szCs w:val="20"/>
                <w:color w:val="auto"/>
              </w:rPr>
            </w:pPr>
            <w:r>
              <w:rPr>
                <w:rFonts w:ascii="Arial" w:cs="Arial" w:eastAsia="Arial" w:hAnsi="Arial"/>
                <w:sz w:val="14"/>
                <w:szCs w:val="14"/>
                <w:color w:val="auto"/>
                <w:w w:val="90"/>
              </w:rPr>
              <w:t>(7,517)</w:t>
            </w:r>
          </w:p>
        </w:tc>
        <w:tc>
          <w:tcPr>
            <w:tcW w:w="34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56</w:t>
            </w:r>
          </w:p>
        </w:tc>
        <w:tc>
          <w:tcPr>
            <w:tcW w:w="80" w:type="dxa"/>
            <w:vAlign w:val="bottom"/>
            <w:shd w:val="clear" w:color="auto" w:fill="E5E5E5"/>
          </w:tcPr>
          <w:p>
            <w:pPr>
              <w:spacing w:after="0"/>
              <w:rPr>
                <w:sz w:val="12"/>
                <w:szCs w:val="12"/>
                <w:color w:val="auto"/>
              </w:rPr>
            </w:pPr>
          </w:p>
        </w:tc>
        <w:tc>
          <w:tcPr>
            <w:tcW w:w="220" w:type="dxa"/>
            <w:vAlign w:val="bottom"/>
            <w:shd w:val="clear" w:color="auto" w:fill="E5E5E5"/>
          </w:tcPr>
          <w:p>
            <w:pPr>
              <w:ind w:left="16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364</w:t>
            </w:r>
          </w:p>
        </w:tc>
        <w:tc>
          <w:tcPr>
            <w:tcW w:w="68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$51,058</w:t>
            </w: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242</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(206)</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w:t>
            </w:r>
          </w:p>
        </w:tc>
      </w:tr>
      <w:tr>
        <w:trPr>
          <w:trHeight w:val="149"/>
        </w:trPr>
        <w:tc>
          <w:tcPr>
            <w:tcW w:w="20" w:type="dxa"/>
            <w:vAlign w:val="bottom"/>
          </w:tcPr>
          <w:p>
            <w:pPr>
              <w:spacing w:after="0"/>
              <w:rPr>
                <w:sz w:val="12"/>
                <w:szCs w:val="12"/>
                <w:color w:val="auto"/>
              </w:rPr>
            </w:pPr>
          </w:p>
        </w:tc>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40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80" w:type="dxa"/>
            <w:vAlign w:val="bottom"/>
            <w:tcBorders>
              <w:right w:val="single" w:sz="8" w:color="auto"/>
            </w:tcBorders>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(172)</w:t>
            </w:r>
          </w:p>
        </w:tc>
        <w:tc>
          <w:tcPr>
            <w:tcW w:w="74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(578)</w:t>
            </w:r>
          </w:p>
        </w:tc>
        <w:tc>
          <w:tcPr>
            <w:tcW w:w="2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(750)</w:t>
            </w:r>
          </w:p>
        </w:tc>
      </w:tr>
      <w:tr>
        <w:trPr>
          <w:trHeight w:val="138"/>
        </w:trPr>
        <w:tc>
          <w:tcPr>
            <w:tcW w:w="20" w:type="dxa"/>
            <w:vAlign w:val="bottom"/>
          </w:tcPr>
          <w:p>
            <w:pPr>
              <w:spacing w:after="0"/>
              <w:rPr>
                <w:sz w:val="11"/>
                <w:szCs w:val="11"/>
                <w:color w:val="auto"/>
              </w:rPr>
            </w:pPr>
          </w:p>
        </w:tc>
        <w:tc>
          <w:tcPr>
            <w:tcW w:w="3120" w:type="dxa"/>
            <w:vAlign w:val="bottom"/>
          </w:tcPr>
          <w:p>
            <w:pPr>
              <w:spacing w:after="0" w:line="138" w:lineRule="exact"/>
              <w:rPr>
                <w:sz w:val="20"/>
                <w:szCs w:val="20"/>
                <w:color w:val="auto"/>
              </w:rPr>
            </w:pPr>
            <w:r>
              <w:rPr>
                <w:rFonts w:ascii="Arial" w:cs="Arial" w:eastAsia="Arial" w:hAnsi="Arial"/>
                <w:sz w:val="14"/>
                <w:szCs w:val="14"/>
                <w:color w:val="auto"/>
              </w:rPr>
              <w:t>Employee stock purchase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200"/>
              <w:spacing w:after="0" w:line="159" w:lineRule="exact"/>
              <w:rPr>
                <w:sz w:val="20"/>
                <w:szCs w:val="20"/>
                <w:color w:val="auto"/>
              </w:rPr>
            </w:pPr>
            <w:r>
              <w:rPr>
                <w:rFonts w:ascii="Arial" w:cs="Arial" w:eastAsia="Arial" w:hAnsi="Arial"/>
                <w:sz w:val="14"/>
                <w:szCs w:val="14"/>
                <w:color w:val="auto"/>
              </w:rPr>
              <w:t>plans</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w:t>
            </w:r>
          </w:p>
        </w:tc>
      </w:tr>
      <w:tr>
        <w:trPr>
          <w:trHeight w:val="149"/>
        </w:trPr>
        <w:tc>
          <w:tcPr>
            <w:tcW w:w="20" w:type="dxa"/>
            <w:vAlign w:val="bottom"/>
          </w:tcPr>
          <w:p>
            <w:pPr>
              <w:spacing w:after="0"/>
              <w:rPr>
                <w:sz w:val="12"/>
                <w:szCs w:val="12"/>
                <w:color w:val="auto"/>
              </w:rPr>
            </w:pPr>
          </w:p>
        </w:tc>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40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80" w:type="dxa"/>
            <w:vAlign w:val="bottom"/>
            <w:tcBorders>
              <w:right w:val="single" w:sz="8" w:color="auto"/>
            </w:tcBorders>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74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(585)</w:t>
            </w:r>
          </w:p>
        </w:tc>
        <w:tc>
          <w:tcPr>
            <w:tcW w:w="2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(585)</w:t>
            </w:r>
          </w:p>
        </w:tc>
      </w:tr>
      <w:tr>
        <w:trPr>
          <w:trHeight w:val="138"/>
        </w:trPr>
        <w:tc>
          <w:tcPr>
            <w:tcW w:w="20" w:type="dxa"/>
            <w:vAlign w:val="bottom"/>
          </w:tcPr>
          <w:p>
            <w:pPr>
              <w:spacing w:after="0"/>
              <w:rPr>
                <w:sz w:val="11"/>
                <w:szCs w:val="11"/>
                <w:color w:val="auto"/>
              </w:rPr>
            </w:pPr>
          </w:p>
        </w:tc>
        <w:tc>
          <w:tcPr>
            <w:tcW w:w="3120" w:type="dxa"/>
            <w:vAlign w:val="bottom"/>
          </w:tcPr>
          <w:p>
            <w:pPr>
              <w:spacing w:after="0" w:line="138" w:lineRule="exact"/>
              <w:rPr>
                <w:sz w:val="20"/>
                <w:szCs w:val="20"/>
                <w:color w:val="auto"/>
              </w:rPr>
            </w:pPr>
            <w:r>
              <w:rPr>
                <w:rFonts w:ascii="Arial" w:cs="Arial" w:eastAsia="Arial" w:hAnsi="Arial"/>
                <w:sz w:val="14"/>
                <w:szCs w:val="14"/>
                <w:color w:val="auto"/>
              </w:rPr>
              <w:t>Other comprehensive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200"/>
              <w:spacing w:after="0" w:line="159" w:lineRule="exact"/>
              <w:rPr>
                <w:sz w:val="20"/>
                <w:szCs w:val="20"/>
                <w:color w:val="auto"/>
              </w:rPr>
            </w:pPr>
            <w:r>
              <w:rPr>
                <w:rFonts w:ascii="Arial" w:cs="Arial" w:eastAsia="Arial" w:hAnsi="Arial"/>
                <w:sz w:val="14"/>
                <w:szCs w:val="14"/>
                <w:color w:val="auto"/>
              </w:rPr>
              <w:t>income (loss)</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(23)</w:t>
            </w:r>
          </w:p>
        </w:tc>
      </w:tr>
      <w:tr>
        <w:trPr>
          <w:trHeight w:val="138"/>
        </w:trPr>
        <w:tc>
          <w:tcPr>
            <w:tcW w:w="20" w:type="dxa"/>
            <w:vAlign w:val="bottom"/>
          </w:tcPr>
          <w:p>
            <w:pPr>
              <w:spacing w:after="0"/>
              <w:rPr>
                <w:sz w:val="11"/>
                <w:szCs w:val="11"/>
                <w:color w:val="auto"/>
              </w:rPr>
            </w:pPr>
          </w:p>
        </w:tc>
        <w:tc>
          <w:tcPr>
            <w:tcW w:w="312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Issuance of subsidiary shares</w:t>
            </w:r>
          </w:p>
        </w:tc>
        <w:tc>
          <w:tcPr>
            <w:tcW w:w="40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80" w:type="dxa"/>
            <w:vAlign w:val="bottom"/>
            <w:tcBorders>
              <w:right w:val="single" w:sz="8" w:color="auto"/>
            </w:tcBorders>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6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to noncontrolling interests</w:t>
            </w:r>
          </w:p>
        </w:tc>
        <w:tc>
          <w:tcPr>
            <w:tcW w:w="400" w:type="dxa"/>
            <w:vAlign w:val="bottom"/>
            <w:shd w:val="clear" w:color="auto" w:fill="E5E5E5"/>
          </w:tcPr>
          <w:p>
            <w:pPr>
              <w:spacing w:after="0"/>
              <w:rPr>
                <w:sz w:val="13"/>
                <w:szCs w:val="13"/>
                <w:color w:val="auto"/>
              </w:rPr>
            </w:pPr>
          </w:p>
        </w:tc>
        <w:tc>
          <w:tcPr>
            <w:tcW w:w="78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82</w:t>
            </w:r>
          </w:p>
        </w:tc>
        <w:tc>
          <w:tcPr>
            <w:tcW w:w="80" w:type="dxa"/>
            <w:vAlign w:val="bottom"/>
            <w:shd w:val="clear" w:color="auto" w:fill="E5E5E5"/>
          </w:tcPr>
          <w:p>
            <w:pPr>
              <w:spacing w:after="0"/>
              <w:rPr>
                <w:sz w:val="13"/>
                <w:szCs w:val="13"/>
                <w:color w:val="auto"/>
              </w:rPr>
            </w:pPr>
          </w:p>
        </w:tc>
        <w:tc>
          <w:tcPr>
            <w:tcW w:w="280" w:type="dxa"/>
            <w:vAlign w:val="bottom"/>
            <w:tcBorders>
              <w:right w:val="single" w:sz="8" w:color="auto"/>
            </w:tcBorders>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3120" w:type="dxa"/>
            <w:vAlign w:val="bottom"/>
          </w:tcPr>
          <w:p>
            <w:pPr>
              <w:spacing w:after="0" w:line="138" w:lineRule="exact"/>
              <w:rPr>
                <w:sz w:val="20"/>
                <w:szCs w:val="20"/>
                <w:color w:val="auto"/>
              </w:rPr>
            </w:pPr>
            <w:r>
              <w:rPr>
                <w:rFonts w:ascii="Arial" w:cs="Arial" w:eastAsia="Arial" w:hAnsi="Arial"/>
                <w:sz w:val="14"/>
                <w:szCs w:val="14"/>
                <w:color w:val="auto"/>
              </w:rPr>
              <w:t>Contributions from</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200"/>
              <w:spacing w:after="0" w:line="159" w:lineRule="exact"/>
              <w:rPr>
                <w:sz w:val="20"/>
                <w:szCs w:val="20"/>
                <w:color w:val="auto"/>
              </w:rPr>
            </w:pPr>
            <w:r>
              <w:rPr>
                <w:rFonts w:ascii="Arial" w:cs="Arial" w:eastAsia="Arial" w:hAnsi="Arial"/>
                <w:sz w:val="14"/>
                <w:szCs w:val="14"/>
                <w:color w:val="auto"/>
              </w:rPr>
              <w:t>(distributions to) noncontrolling interests, net</w:t>
            </w:r>
          </w:p>
        </w:tc>
        <w:tc>
          <w:tcPr>
            <w:tcW w:w="400" w:type="dxa"/>
            <w:vAlign w:val="bottom"/>
          </w:tcPr>
          <w:p>
            <w:pPr>
              <w:spacing w:after="0"/>
              <w:rPr>
                <w:sz w:val="13"/>
                <w:szCs w:val="13"/>
                <w:color w:val="auto"/>
              </w:rPr>
            </w:pP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w:t>
            </w:r>
          </w:p>
        </w:tc>
        <w:tc>
          <w:tcPr>
            <w:tcW w:w="2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(37)</w:t>
            </w: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(37)</w:t>
            </w:r>
          </w:p>
        </w:tc>
      </w:tr>
      <w:tr>
        <w:trPr>
          <w:trHeight w:val="149"/>
        </w:trPr>
        <w:tc>
          <w:tcPr>
            <w:tcW w:w="20" w:type="dxa"/>
            <w:vAlign w:val="bottom"/>
          </w:tcPr>
          <w:p>
            <w:pPr>
              <w:spacing w:after="0"/>
              <w:rPr>
                <w:sz w:val="12"/>
                <w:szCs w:val="12"/>
                <w:color w:val="auto"/>
              </w:rPr>
            </w:pPr>
          </w:p>
        </w:tc>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400" w:type="dxa"/>
            <w:vAlign w:val="bottom"/>
            <w:shd w:val="clear" w:color="auto" w:fill="E5E5E5"/>
          </w:tcPr>
          <w:p>
            <w:pPr>
              <w:spacing w:after="0"/>
              <w:rPr>
                <w:sz w:val="12"/>
                <w:szCs w:val="12"/>
                <w:color w:val="auto"/>
              </w:rPr>
            </w:pPr>
          </w:p>
        </w:tc>
        <w:tc>
          <w:tcPr>
            <w:tcW w:w="86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280" w:type="dxa"/>
            <w:vAlign w:val="bottom"/>
            <w:tcBorders>
              <w:right w:val="single" w:sz="8" w:color="auto"/>
            </w:tcBorders>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2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680" w:type="dxa"/>
            <w:vAlign w:val="bottom"/>
            <w:gridSpan w:val="2"/>
            <w:shd w:val="clear" w:color="auto" w:fill="E5E5E5"/>
          </w:tcPr>
          <w:p>
            <w:pPr>
              <w:jc w:val="right"/>
              <w:ind w:right="40"/>
              <w:spacing w:after="0" w:line="149"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Pr>
          <w:p>
            <w:pPr>
              <w:spacing w:after="0"/>
              <w:rPr>
                <w:sz w:val="12"/>
                <w:szCs w:val="12"/>
                <w:color w:val="auto"/>
              </w:rPr>
            </w:pPr>
          </w:p>
        </w:tc>
        <w:tc>
          <w:tcPr>
            <w:tcW w:w="31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1,871</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68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1,914</w:t>
            </w:r>
          </w:p>
        </w:tc>
      </w:tr>
      <w:tr>
        <w:trPr>
          <w:trHeight w:val="149"/>
        </w:trPr>
        <w:tc>
          <w:tcPr>
            <w:tcW w:w="20" w:type="dxa"/>
            <w:vAlign w:val="bottom"/>
          </w:tcPr>
          <w:p>
            <w:pPr>
              <w:spacing w:after="0"/>
              <w:rPr>
                <w:sz w:val="12"/>
                <w:szCs w:val="12"/>
                <w:color w:val="auto"/>
              </w:rPr>
            </w:pPr>
          </w:p>
        </w:tc>
        <w:tc>
          <w:tcPr>
            <w:tcW w:w="31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Balance, March 31, 2014</w:t>
            </w:r>
          </w:p>
        </w:tc>
        <w:tc>
          <w:tcPr>
            <w:tcW w:w="400" w:type="dxa"/>
            <w:vAlign w:val="bottom"/>
            <w:tcBorders>
              <w:bottom w:val="single" w:sz="8" w:color="auto"/>
            </w:tcBorders>
            <w:shd w:val="clear" w:color="auto" w:fill="E5E5E5"/>
          </w:tcPr>
          <w:p>
            <w:pPr>
              <w:ind w:left="32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1,053</w:t>
            </w:r>
          </w:p>
        </w:tc>
        <w:tc>
          <w:tcPr>
            <w:tcW w:w="80" w:type="dxa"/>
            <w:vAlign w:val="bottom"/>
            <w:tcBorders>
              <w:bottom w:val="single" w:sz="8" w:color="auto"/>
            </w:tcBorders>
            <w:shd w:val="clear" w:color="auto" w:fill="E5E5E5"/>
          </w:tcPr>
          <w:p>
            <w:pPr>
              <w:spacing w:after="0"/>
              <w:rPr>
                <w:sz w:val="12"/>
                <w:szCs w:val="12"/>
                <w:color w:val="auto"/>
              </w:rPr>
            </w:pPr>
          </w:p>
        </w:tc>
        <w:tc>
          <w:tcPr>
            <w:tcW w:w="280" w:type="dxa"/>
            <w:vAlign w:val="bottom"/>
            <w:tcBorders>
              <w:bottom w:val="single" w:sz="8" w:color="auto"/>
              <w:right w:val="single" w:sz="8" w:color="auto"/>
            </w:tcBorders>
            <w:shd w:val="clear" w:color="auto" w:fill="E5E5E5"/>
          </w:tcPr>
          <w:p>
            <w:pPr>
              <w:spacing w:after="0"/>
              <w:rPr>
                <w:sz w:val="12"/>
                <w:szCs w:val="12"/>
                <w:color w:val="auto"/>
              </w:rPr>
            </w:pPr>
          </w:p>
        </w:tc>
        <w:tc>
          <w:tcPr>
            <w:tcW w:w="620" w:type="dxa"/>
            <w:vAlign w:val="bottom"/>
            <w:tcBorders>
              <w:bottom w:val="single" w:sz="8" w:color="auto"/>
            </w:tcBorders>
            <w:gridSpan w:val="2"/>
            <w:shd w:val="clear" w:color="auto" w:fill="E5E5E5"/>
          </w:tcPr>
          <w:p>
            <w:pPr>
              <w:jc w:val="center"/>
              <w:ind w:left="312"/>
              <w:spacing w:after="0" w:line="142" w:lineRule="exact"/>
              <w:rPr>
                <w:sz w:val="20"/>
                <w:szCs w:val="20"/>
                <w:color w:val="auto"/>
              </w:rPr>
            </w:pPr>
            <w:r>
              <w:rPr>
                <w:rFonts w:ascii="Arial" w:cs="Arial" w:eastAsia="Arial" w:hAnsi="Arial"/>
                <w:sz w:val="14"/>
                <w:szCs w:val="14"/>
                <w:b w:val="1"/>
                <w:bCs w:val="1"/>
                <w:color w:val="auto"/>
                <w:w w:val="85"/>
              </w:rPr>
              <w:t>$25</w:t>
            </w:r>
          </w:p>
        </w:tc>
        <w:tc>
          <w:tcPr>
            <w:tcW w:w="44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5</w:t>
            </w:r>
          </w:p>
        </w:tc>
        <w:tc>
          <w:tcPr>
            <w:tcW w:w="320" w:type="dxa"/>
            <w:vAlign w:val="bottom"/>
            <w:tcBorders>
              <w:bottom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gridSpan w:val="2"/>
            <w:shd w:val="clear" w:color="auto" w:fill="E5E5E5"/>
          </w:tcPr>
          <w:p>
            <w:pPr>
              <w:jc w:val="right"/>
              <w:ind w:right="80"/>
              <w:spacing w:after="0" w:line="142" w:lineRule="exact"/>
              <w:rPr>
                <w:sz w:val="20"/>
                <w:szCs w:val="20"/>
                <w:color w:val="auto"/>
              </w:rPr>
            </w:pPr>
            <w:r>
              <w:rPr>
                <w:rFonts w:ascii="Arial" w:cs="Arial" w:eastAsia="Arial" w:hAnsi="Arial"/>
                <w:sz w:val="14"/>
                <w:szCs w:val="14"/>
                <w:b w:val="1"/>
                <w:bCs w:val="1"/>
                <w:color w:val="auto"/>
              </w:rPr>
              <w:t>38,985</w:t>
            </w:r>
          </w:p>
        </w:tc>
        <w:tc>
          <w:tcPr>
            <w:tcW w:w="6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$ 19,737</w:t>
            </w:r>
          </w:p>
        </w:tc>
        <w:tc>
          <w:tcPr>
            <w:tcW w:w="100" w:type="dxa"/>
            <w:vAlign w:val="bottom"/>
            <w:tcBorders>
              <w:bottom w:val="single" w:sz="8" w:color="auto"/>
            </w:tcBorders>
            <w:shd w:val="clear" w:color="auto" w:fill="E5E5E5"/>
          </w:tcPr>
          <w:p>
            <w:pPr>
              <w:spacing w:after="0"/>
              <w:rPr>
                <w:sz w:val="12"/>
                <w:szCs w:val="12"/>
                <w:color w:val="auto"/>
              </w:rPr>
            </w:pP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gridSpan w:val="2"/>
            <w:shd w:val="clear" w:color="auto" w:fill="E5E5E5"/>
          </w:tcPr>
          <w:p>
            <w:pPr>
              <w:ind w:left="60"/>
              <w:spacing w:after="0" w:line="142" w:lineRule="exact"/>
              <w:rPr>
                <w:sz w:val="20"/>
                <w:szCs w:val="20"/>
                <w:color w:val="auto"/>
              </w:rPr>
            </w:pPr>
            <w:r>
              <w:rPr>
                <w:rFonts w:ascii="Arial" w:cs="Arial" w:eastAsia="Arial" w:hAnsi="Arial"/>
                <w:sz w:val="14"/>
                <w:szCs w:val="14"/>
                <w:b w:val="1"/>
                <w:bCs w:val="1"/>
                <w:color w:val="auto"/>
                <w:w w:val="90"/>
              </w:rPr>
              <w:t>(7,517)</w:t>
            </w:r>
          </w:p>
        </w:tc>
        <w:tc>
          <w:tcPr>
            <w:tcW w:w="3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80" w:type="dxa"/>
            <w:vAlign w:val="bottom"/>
            <w:tcBorders>
              <w:bottom w:val="single" w:sz="8" w:color="auto"/>
            </w:tcBorders>
            <w:shd w:val="clear" w:color="auto" w:fill="E5E5E5"/>
          </w:tcPr>
          <w:p>
            <w:pPr>
              <w:spacing w:after="0"/>
              <w:rPr>
                <w:sz w:val="12"/>
                <w:szCs w:val="12"/>
                <w:color w:val="auto"/>
              </w:rPr>
            </w:pPr>
          </w:p>
        </w:tc>
        <w:tc>
          <w:tcPr>
            <w:tcW w:w="2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gridSpan w:val="2"/>
            <w:shd w:val="clear" w:color="auto" w:fill="E5E5E5"/>
          </w:tcPr>
          <w:p>
            <w:pPr>
              <w:jc w:val="right"/>
              <w:ind w:right="80"/>
              <w:spacing w:after="0" w:line="142" w:lineRule="exact"/>
              <w:rPr>
                <w:sz w:val="20"/>
                <w:szCs w:val="20"/>
                <w:color w:val="auto"/>
              </w:rPr>
            </w:pPr>
            <w:r>
              <w:rPr>
                <w:rFonts w:ascii="Arial" w:cs="Arial" w:eastAsia="Arial" w:hAnsi="Arial"/>
                <w:sz w:val="14"/>
                <w:szCs w:val="14"/>
                <w:b w:val="1"/>
                <w:bCs w:val="1"/>
                <w:color w:val="auto"/>
              </w:rPr>
              <w:t>364</w:t>
            </w:r>
          </w:p>
        </w:tc>
        <w:tc>
          <w:tcPr>
            <w:tcW w:w="680" w:type="dxa"/>
            <w:vAlign w:val="bottom"/>
            <w:tcBorders>
              <w:bottom w:val="single" w:sz="8" w:color="auto"/>
            </w:tcBorders>
            <w:gridSpan w:val="2"/>
            <w:shd w:val="clear" w:color="auto" w:fill="E5E5E5"/>
          </w:tcPr>
          <w:p>
            <w:pPr>
              <w:jc w:val="right"/>
              <w:ind w:right="80"/>
              <w:spacing w:after="0" w:line="142" w:lineRule="exact"/>
              <w:rPr>
                <w:sz w:val="20"/>
                <w:szCs w:val="20"/>
                <w:color w:val="auto"/>
              </w:rPr>
            </w:pPr>
            <w:r>
              <w:rPr>
                <w:rFonts w:ascii="Arial" w:cs="Arial" w:eastAsia="Arial" w:hAnsi="Arial"/>
                <w:sz w:val="14"/>
                <w:szCs w:val="14"/>
                <w:b w:val="1"/>
                <w:bCs w:val="1"/>
                <w:color w:val="auto"/>
              </w:rPr>
              <w:t>$51,632</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year-end condensed consolidated balance sheet was derived from audited financial statements but does not include all disclosures required by generally accepted accounting principles in the United States of America (“GAAP”). For a more complete discussion of our accounting policies and certain other information, refer to our consolidated financial statements included in our 2013 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4"/>
                <w:szCs w:val="14"/>
                <w:color w:val="auto"/>
                <w:w w:val="92"/>
              </w:rPr>
              <w:t>Three Months Ended March 31</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31"/>
        </w:trPr>
        <w:tc>
          <w:tcPr>
            <w:tcW w:w="5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center"/>
              <w:ind w:right="124"/>
              <w:spacing w:after="0" w:line="131" w:lineRule="exact"/>
              <w:rPr>
                <w:sz w:val="20"/>
                <w:szCs w:val="20"/>
                <w:color w:val="auto"/>
              </w:rPr>
            </w:pPr>
            <w:r>
              <w:rPr>
                <w:rFonts w:ascii="Arial" w:cs="Arial" w:eastAsia="Arial" w:hAnsi="Arial"/>
                <w:sz w:val="14"/>
                <w:szCs w:val="14"/>
                <w:color w:val="auto"/>
                <w:w w:val="89"/>
              </w:rPr>
              <w:t>Net Income</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ind w:right="164"/>
              <w:spacing w:after="0" w:line="131" w:lineRule="exact"/>
              <w:rPr>
                <w:sz w:val="20"/>
                <w:szCs w:val="20"/>
                <w:color w:val="auto"/>
              </w:rPr>
            </w:pPr>
            <w:r>
              <w:rPr>
                <w:rFonts w:ascii="Arial" w:cs="Arial" w:eastAsia="Arial" w:hAnsi="Arial"/>
                <w:sz w:val="14"/>
                <w:szCs w:val="14"/>
                <w:color w:val="auto"/>
                <w:w w:val="89"/>
              </w:rPr>
              <w:t>Net Income</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9"/>
        </w:trPr>
        <w:tc>
          <w:tcPr>
            <w:tcW w:w="5820" w:type="dxa"/>
            <w:vAlign w:val="bottom"/>
          </w:tcPr>
          <w:p>
            <w:pPr>
              <w:spacing w:after="0"/>
              <w:rPr>
                <w:sz w:val="12"/>
                <w:szCs w:val="12"/>
                <w:color w:val="auto"/>
              </w:rPr>
            </w:pPr>
          </w:p>
        </w:tc>
        <w:tc>
          <w:tcPr>
            <w:tcW w:w="1180" w:type="dxa"/>
            <w:vAlign w:val="bottom"/>
            <w:gridSpan w:val="2"/>
          </w:tcPr>
          <w:p>
            <w:pPr>
              <w:jc w:val="center"/>
              <w:ind w:left="19"/>
              <w:spacing w:after="0" w:line="149" w:lineRule="exact"/>
              <w:rPr>
                <w:sz w:val="20"/>
                <w:szCs w:val="20"/>
                <w:color w:val="auto"/>
              </w:rPr>
            </w:pPr>
            <w:r>
              <w:rPr>
                <w:rFonts w:ascii="Arial" w:cs="Arial" w:eastAsia="Arial" w:hAnsi="Arial"/>
                <w:sz w:val="14"/>
                <w:szCs w:val="14"/>
                <w:color w:val="auto"/>
                <w:w w:val="92"/>
              </w:rPr>
              <w:t>Attributable to</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Attributable to</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5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center"/>
              <w:ind w:right="124"/>
              <w:spacing w:after="0" w:line="149" w:lineRule="exact"/>
              <w:rPr>
                <w:sz w:val="20"/>
                <w:szCs w:val="20"/>
                <w:color w:val="auto"/>
              </w:rPr>
            </w:pPr>
            <w:r>
              <w:rPr>
                <w:rFonts w:ascii="Arial" w:cs="Arial" w:eastAsia="Arial" w:hAnsi="Arial"/>
                <w:sz w:val="14"/>
                <w:szCs w:val="14"/>
                <w:color w:val="auto"/>
                <w:w w:val="86"/>
              </w:rPr>
              <w:t>Comcast</w:t>
            </w:r>
          </w:p>
        </w:tc>
        <w:tc>
          <w:tcPr>
            <w:tcW w:w="740" w:type="dxa"/>
            <w:vAlign w:val="bottom"/>
          </w:tcPr>
          <w:p>
            <w:pPr>
              <w:spacing w:after="0"/>
              <w:rPr>
                <w:sz w:val="12"/>
                <w:szCs w:val="12"/>
                <w:color w:val="auto"/>
              </w:rPr>
            </w:pPr>
          </w:p>
        </w:tc>
        <w:tc>
          <w:tcPr>
            <w:tcW w:w="8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Per Share</w:t>
            </w:r>
          </w:p>
        </w:tc>
        <w:tc>
          <w:tcPr>
            <w:tcW w:w="220" w:type="dxa"/>
            <w:vAlign w:val="bottom"/>
          </w:tcPr>
          <w:p>
            <w:pPr>
              <w:spacing w:after="0"/>
              <w:rPr>
                <w:sz w:val="12"/>
                <w:szCs w:val="12"/>
                <w:color w:val="auto"/>
              </w:rPr>
            </w:pPr>
          </w:p>
        </w:tc>
        <w:tc>
          <w:tcPr>
            <w:tcW w:w="920" w:type="dxa"/>
            <w:vAlign w:val="bottom"/>
          </w:tcPr>
          <w:p>
            <w:pPr>
              <w:jc w:val="center"/>
              <w:ind w:right="164"/>
              <w:spacing w:after="0" w:line="149" w:lineRule="exact"/>
              <w:rPr>
                <w:sz w:val="20"/>
                <w:szCs w:val="20"/>
                <w:color w:val="auto"/>
              </w:rPr>
            </w:pPr>
            <w:r>
              <w:rPr>
                <w:rFonts w:ascii="Arial" w:cs="Arial" w:eastAsia="Arial" w:hAnsi="Arial"/>
                <w:sz w:val="14"/>
                <w:szCs w:val="14"/>
                <w:color w:val="auto"/>
                <w:w w:val="86"/>
              </w:rPr>
              <w:t>Comcast</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82"/>
              <w:spacing w:after="0" w:line="149" w:lineRule="exact"/>
              <w:rPr>
                <w:sz w:val="20"/>
                <w:szCs w:val="20"/>
                <w:color w:val="auto"/>
              </w:rPr>
            </w:pPr>
            <w:r>
              <w:rPr>
                <w:rFonts w:ascii="Arial" w:cs="Arial" w:eastAsia="Arial" w:hAnsi="Arial"/>
                <w:sz w:val="14"/>
                <w:szCs w:val="14"/>
                <w:color w:val="auto"/>
                <w:w w:val="79"/>
              </w:rPr>
              <w:t>Per Share</w:t>
            </w:r>
          </w:p>
        </w:tc>
      </w:tr>
      <w:tr>
        <w:trPr>
          <w:trHeight w:val="159"/>
        </w:trPr>
        <w:tc>
          <w:tcPr>
            <w:tcW w:w="58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24"/>
              <w:spacing w:after="0" w:line="159" w:lineRule="exact"/>
              <w:rPr>
                <w:sz w:val="20"/>
                <w:szCs w:val="20"/>
                <w:color w:val="auto"/>
              </w:rPr>
            </w:pPr>
            <w:r>
              <w:rPr>
                <w:rFonts w:ascii="Arial" w:cs="Arial" w:eastAsia="Arial" w:hAnsi="Arial"/>
                <w:sz w:val="14"/>
                <w:szCs w:val="14"/>
                <w:color w:val="auto"/>
                <w:w w:val="87"/>
              </w:rPr>
              <w:t>Corporation</w:t>
            </w:r>
          </w:p>
        </w:tc>
        <w:tc>
          <w:tcPr>
            <w:tcW w:w="740" w:type="dxa"/>
            <w:vAlign w:val="bottom"/>
            <w:tcBorders>
              <w:bottom w:val="single" w:sz="8" w:color="auto"/>
            </w:tcBorders>
          </w:tcPr>
          <w:p>
            <w:pPr>
              <w:jc w:val="right"/>
              <w:ind w:right="80"/>
              <w:spacing w:after="0" w:line="159" w:lineRule="exact"/>
              <w:rPr>
                <w:sz w:val="20"/>
                <w:szCs w:val="20"/>
                <w:color w:val="auto"/>
              </w:rPr>
            </w:pPr>
            <w:r>
              <w:rPr>
                <w:rFonts w:ascii="Arial" w:cs="Arial" w:eastAsia="Arial" w:hAnsi="Arial"/>
                <w:sz w:val="14"/>
                <w:szCs w:val="14"/>
                <w:color w:val="auto"/>
              </w:rPr>
              <w:t>Shares</w:t>
            </w:r>
          </w:p>
        </w:tc>
        <w:tc>
          <w:tcPr>
            <w:tcW w:w="880" w:type="dxa"/>
            <w:vAlign w:val="bottom"/>
            <w:tcBorders>
              <w:bottom w:val="single" w:sz="8" w:color="auto"/>
            </w:tcBorders>
            <w:gridSpan w:val="2"/>
          </w:tcPr>
          <w:p>
            <w:pPr>
              <w:jc w:val="right"/>
              <w:ind w:right="112"/>
              <w:spacing w:after="0" w:line="159" w:lineRule="exact"/>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64"/>
              <w:spacing w:after="0" w:line="159" w:lineRule="exact"/>
              <w:rPr>
                <w:sz w:val="20"/>
                <w:szCs w:val="20"/>
                <w:color w:val="auto"/>
              </w:rPr>
            </w:pPr>
            <w:r>
              <w:rPr>
                <w:rFonts w:ascii="Arial" w:cs="Arial" w:eastAsia="Arial" w:hAnsi="Arial"/>
                <w:sz w:val="14"/>
                <w:szCs w:val="14"/>
                <w:color w:val="auto"/>
                <w:w w:val="87"/>
              </w:rPr>
              <w:t>Corporation</w:t>
            </w:r>
          </w:p>
        </w:tc>
        <w:tc>
          <w:tcPr>
            <w:tcW w:w="760" w:type="dxa"/>
            <w:vAlign w:val="bottom"/>
            <w:tcBorders>
              <w:bottom w:val="single" w:sz="8" w:color="auto"/>
            </w:tcBorders>
          </w:tcPr>
          <w:p>
            <w:pPr>
              <w:jc w:val="right"/>
              <w:ind w:right="120"/>
              <w:spacing w:after="0" w:line="159" w:lineRule="exact"/>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2"/>
              <w:spacing w:after="0" w:line="159" w:lineRule="exact"/>
              <w:rPr>
                <w:sz w:val="20"/>
                <w:szCs w:val="20"/>
                <w:color w:val="auto"/>
              </w:rPr>
            </w:pPr>
            <w:r>
              <w:rPr>
                <w:rFonts w:ascii="Arial" w:cs="Arial" w:eastAsia="Arial" w:hAnsi="Arial"/>
                <w:sz w:val="14"/>
                <w:szCs w:val="14"/>
                <w:color w:val="auto"/>
                <w:w w:val="95"/>
              </w:rPr>
              <w:t>Amount</w:t>
            </w:r>
          </w:p>
        </w:tc>
      </w:tr>
      <w:tr>
        <w:trPr>
          <w:trHeight w:val="210"/>
        </w:trPr>
        <w:tc>
          <w:tcPr>
            <w:tcW w:w="582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44"/>
              <w:spacing w:after="0"/>
              <w:rPr>
                <w:sz w:val="20"/>
                <w:szCs w:val="20"/>
                <w:color w:val="auto"/>
              </w:rPr>
            </w:pPr>
            <w:r>
              <w:rPr>
                <w:rFonts w:ascii="Arial" w:cs="Arial" w:eastAsia="Arial" w:hAnsi="Arial"/>
                <w:sz w:val="18"/>
                <w:szCs w:val="18"/>
                <w:color w:val="auto"/>
              </w:rPr>
              <w:t>1,871</w:t>
            </w:r>
          </w:p>
        </w:tc>
        <w:tc>
          <w:tcPr>
            <w:tcW w:w="74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2,603</w:t>
            </w:r>
          </w:p>
        </w:tc>
        <w:tc>
          <w:tcPr>
            <w:tcW w:w="340" w:type="dxa"/>
            <w:vAlign w:val="bottom"/>
            <w:shd w:val="clear" w:color="auto" w:fill="E5E5E5"/>
          </w:tcPr>
          <w:p>
            <w:pPr>
              <w:jc w:val="right"/>
              <w:ind w:right="4"/>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0.72</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64"/>
              <w:spacing w:after="0"/>
              <w:rPr>
                <w:sz w:val="20"/>
                <w:szCs w:val="20"/>
                <w:color w:val="auto"/>
              </w:rPr>
            </w:pPr>
            <w:r>
              <w:rPr>
                <w:rFonts w:ascii="Arial" w:cs="Arial" w:eastAsia="Arial" w:hAnsi="Arial"/>
                <w:sz w:val="18"/>
                <w:szCs w:val="18"/>
                <w:color w:val="auto"/>
              </w:rPr>
              <w:t>1,437</w:t>
            </w:r>
          </w:p>
        </w:tc>
        <w:tc>
          <w:tcPr>
            <w:tcW w:w="76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2,634</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82"/>
              <w:spacing w:after="0"/>
              <w:rPr>
                <w:sz w:val="20"/>
                <w:szCs w:val="20"/>
                <w:color w:val="auto"/>
              </w:rPr>
            </w:pPr>
            <w:r>
              <w:rPr>
                <w:rFonts w:ascii="Arial" w:cs="Arial" w:eastAsia="Arial" w:hAnsi="Arial"/>
                <w:sz w:val="18"/>
                <w:szCs w:val="18"/>
                <w:color w:val="auto"/>
              </w:rPr>
              <w:t>0.55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3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r>
      <w:tr>
        <w:trPr>
          <w:trHeight w:val="21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b w:val="1"/>
                <w:bCs w:val="1"/>
                <w:color w:val="auto"/>
              </w:rPr>
              <w:t>1,871</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2,645</w:t>
            </w:r>
          </w:p>
        </w:tc>
        <w:tc>
          <w:tcPr>
            <w:tcW w:w="34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8"/>
                <w:szCs w:val="18"/>
                <w:b w:val="1"/>
                <w:bCs w:val="1"/>
                <w:color w:val="auto"/>
              </w:rPr>
              <w:t>1,437</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2,675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0.54</w:t>
            </w:r>
          </w:p>
        </w:tc>
      </w:tr>
    </w:tbl>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Diluted EPS excludes the impact of potential common shares related to our stock options in periods in which the combination of the option exercise price and the associated unrecognized compensation expense is greater than the average market price of our Class A common stock or our Class A Special common stock, as applicable.</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Diluted EPS for the three months ended March 31, 2014 and 2013 excludes 2 million of potential common shares related to our share-based compensation plans, because the inclusion of the potential common shares would have had an antidilutive effect.</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Transaction</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February 12, 2014, we entered into an agreement and plan of merger with Time Warner Cable Inc. (“Time Warner Cable”). As a result of this agreement, we will acquire 100% of Time Warner Cable’s outstanding shares of common stock in exchange for shares of our Class A common stock. Time Warner Cable stockholders will receive, in exchange for each share of Time Warner Cable common stock owned immediately prior to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transaction, 2.875 shares of our Class A common stock. Time Warner Cable stockholders will then own approximately 23% of our common stock, estimated based on the number of shares outstanding as of the date of the agreement. Because the exchange ratio was fixed at the time of the merger agreement and the market value of our Class A common stock will continue to fluctuate, the number of shares of Class A common stock to be issued and the total value of the consideration exchanged will not be determinable until the closing date. Following the close of the transaction, Time Warner Cable will be our wholly owned subsidiary. The transaction remains subject to shareholder approval at both companies, regulatory review and other customary conditions and is expected to close by the end of 2014.</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4000" w:type="dxa"/>
            <w:vAlign w:val="bottom"/>
            <w:gridSpan w:val="2"/>
          </w:tcPr>
          <w:p>
            <w:pPr>
              <w:ind w:left="3100"/>
              <w:spacing w:after="0"/>
              <w:rPr>
                <w:sz w:val="20"/>
                <w:szCs w:val="20"/>
                <w:color w:val="auto"/>
              </w:rPr>
            </w:pPr>
            <w:r>
              <w:rPr>
                <w:rFonts w:ascii="Arial" w:cs="Arial" w:eastAsia="Arial" w:hAnsi="Arial"/>
                <w:sz w:val="14"/>
                <w:szCs w:val="14"/>
                <w:color w:val="auto"/>
              </w:rPr>
              <w:t>March 31,</w:t>
            </w:r>
          </w:p>
        </w:tc>
        <w:tc>
          <w:tcPr>
            <w:tcW w:w="1180" w:type="dxa"/>
            <w:vAlign w:val="bottom"/>
            <w:gridSpan w:val="2"/>
          </w:tcPr>
          <w:p>
            <w:pPr>
              <w:ind w:left="360"/>
              <w:spacing w:after="0"/>
              <w:rPr>
                <w:sz w:val="20"/>
                <w:szCs w:val="20"/>
                <w:color w:val="auto"/>
              </w:rPr>
            </w:pPr>
            <w:r>
              <w:rPr>
                <w:rFonts w:ascii="Arial" w:cs="Arial" w:eastAsia="Arial" w:hAnsi="Arial"/>
                <w:sz w:val="14"/>
                <w:szCs w:val="14"/>
                <w:color w:val="auto"/>
                <w:w w:val="90"/>
              </w:rPr>
              <w:t>December 31,</w:t>
            </w:r>
          </w:p>
        </w:tc>
      </w:tr>
      <w:tr>
        <w:trPr>
          <w:trHeight w:val="159"/>
        </w:trPr>
        <w:tc>
          <w:tcPr>
            <w:tcW w:w="62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line="159" w:lineRule="exact"/>
              <w:rPr>
                <w:sz w:val="20"/>
                <w:szCs w:val="20"/>
                <w:color w:val="auto"/>
              </w:rPr>
            </w:pPr>
            <w:r>
              <w:rPr>
                <w:rFonts w:ascii="Arial" w:cs="Arial" w:eastAsia="Arial" w:hAnsi="Arial"/>
                <w:sz w:val="14"/>
                <w:szCs w:val="14"/>
                <w:color w:val="auto"/>
                <w:w w:val="89"/>
              </w:rPr>
              <w:t>2014</w:t>
            </w:r>
          </w:p>
        </w:tc>
        <w:tc>
          <w:tcPr>
            <w:tcW w:w="5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4"/>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6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200" w:type="dxa"/>
            <w:vAlign w:val="bottom"/>
          </w:tcPr>
          <w:p>
            <w:pPr>
              <w:ind w:left="30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254"/>
              <w:spacing w:after="0"/>
              <w:rPr>
                <w:sz w:val="20"/>
                <w:szCs w:val="20"/>
                <w:color w:val="auto"/>
              </w:rPr>
            </w:pPr>
            <w:r>
              <w:rPr>
                <w:rFonts w:ascii="Arial" w:cs="Arial" w:eastAsia="Arial" w:hAnsi="Arial"/>
                <w:sz w:val="18"/>
                <w:szCs w:val="18"/>
                <w:color w:val="auto"/>
                <w:w w:val="97"/>
              </w:rPr>
              <w:t>1,480</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1,630</w:t>
            </w:r>
          </w:p>
        </w:tc>
      </w:tr>
      <w:tr>
        <w:trPr>
          <w:trHeight w:val="216"/>
        </w:trPr>
        <w:tc>
          <w:tcPr>
            <w:tcW w:w="6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40</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865</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r>
      <w:tr>
        <w:trPr>
          <w:trHeight w:val="210"/>
        </w:trPr>
        <w:tc>
          <w:tcPr>
            <w:tcW w:w="6240" w:type="dxa"/>
            <w:vAlign w:val="bottom"/>
            <w:shd w:val="clear" w:color="auto" w:fill="E5E5E5"/>
          </w:tcPr>
          <w:p>
            <w:pPr>
              <w:spacing w:after="0"/>
              <w:rPr>
                <w:sz w:val="18"/>
                <w:szCs w:val="18"/>
                <w:color w:val="auto"/>
              </w:rPr>
            </w:pP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2,385</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2,358</w:t>
            </w: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3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1,169</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1,155</w:t>
            </w:r>
          </w:p>
        </w:tc>
      </w:tr>
      <w:tr>
        <w:trPr>
          <w:trHeight w:val="216"/>
        </w:trPr>
        <w:tc>
          <w:tcPr>
            <w:tcW w:w="6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363</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10"/>
        </w:trPr>
        <w:tc>
          <w:tcPr>
            <w:tcW w:w="6240" w:type="dxa"/>
            <w:vAlign w:val="bottom"/>
            <w:shd w:val="clear" w:color="auto" w:fill="E5E5E5"/>
          </w:tcPr>
          <w:p>
            <w:pPr>
              <w:spacing w:after="0"/>
              <w:rPr>
                <w:sz w:val="18"/>
                <w:szCs w:val="18"/>
                <w:color w:val="auto"/>
              </w:rPr>
            </w:pP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1,532</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1,525</w:t>
            </w:r>
          </w:p>
        </w:tc>
      </w:tr>
      <w:tr>
        <w:trPr>
          <w:trHeight w:val="216"/>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97"/>
              </w:rPr>
              <w:t>2,004</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r>
      <w:tr>
        <w:trPr>
          <w:trHeight w:val="210"/>
        </w:trPr>
        <w:tc>
          <w:tcPr>
            <w:tcW w:w="6240" w:type="dxa"/>
            <w:vAlign w:val="bottom"/>
            <w:shd w:val="clear" w:color="auto" w:fill="E5E5E5"/>
          </w:tcPr>
          <w:p>
            <w:pPr>
              <w:spacing w:after="0"/>
              <w:rPr>
                <w:sz w:val="18"/>
                <w:szCs w:val="18"/>
                <w:color w:val="auto"/>
              </w:rPr>
            </w:pP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5,921</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5,922</w:t>
            </w:r>
          </w:p>
        </w:tc>
      </w:tr>
      <w:tr>
        <w:trPr>
          <w:trHeight w:val="216"/>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863</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r>
      <w:tr>
        <w:trPr>
          <w:trHeight w:val="217"/>
        </w:trPr>
        <w:tc>
          <w:tcPr>
            <w:tcW w:w="6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200" w:type="dxa"/>
            <w:vAlign w:val="bottom"/>
            <w:tcBorders>
              <w:bottom w:val="single" w:sz="8" w:color="auto"/>
            </w:tcBorders>
            <w:shd w:val="clear" w:color="auto" w:fill="E5E5E5"/>
          </w:tcPr>
          <w:p>
            <w:pPr>
              <w:ind w:left="308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b w:val="1"/>
                <w:bCs w:val="1"/>
                <w:color w:val="auto"/>
                <w:w w:val="97"/>
              </w:rPr>
              <w:t>5,058</w:t>
            </w:r>
          </w:p>
        </w:tc>
        <w:tc>
          <w:tcPr>
            <w:tcW w:w="5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4,994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6420" w:type="dxa"/>
            <w:vAlign w:val="bottom"/>
            <w:gridSpan w:val="2"/>
          </w:tcPr>
          <w:p>
            <w:pPr>
              <w:ind w:left="5520"/>
              <w:spacing w:after="0"/>
              <w:rPr>
                <w:sz w:val="20"/>
                <w:szCs w:val="20"/>
                <w:color w:val="auto"/>
              </w:rPr>
            </w:pPr>
            <w:r>
              <w:rPr>
                <w:rFonts w:ascii="Arial" w:cs="Arial" w:eastAsia="Arial" w:hAnsi="Arial"/>
                <w:sz w:val="14"/>
                <w:szCs w:val="14"/>
                <w:color w:val="auto"/>
              </w:rPr>
              <w:t>March 31,</w:t>
            </w:r>
          </w:p>
        </w:tc>
        <w:tc>
          <w:tcPr>
            <w:tcW w:w="1180" w:type="dxa"/>
            <w:vAlign w:val="bottom"/>
            <w:gridSpan w:val="2"/>
          </w:tcPr>
          <w:p>
            <w:pPr>
              <w:ind w:left="360"/>
              <w:spacing w:after="0"/>
              <w:rPr>
                <w:sz w:val="20"/>
                <w:szCs w:val="20"/>
                <w:color w:val="auto"/>
              </w:rPr>
            </w:pPr>
            <w:r>
              <w:rPr>
                <w:rFonts w:ascii="Arial" w:cs="Arial" w:eastAsia="Arial" w:hAnsi="Arial"/>
                <w:sz w:val="14"/>
                <w:szCs w:val="14"/>
                <w:color w:val="auto"/>
                <w:w w:val="90"/>
              </w:rPr>
              <w:t>December 31,</w:t>
            </w:r>
          </w:p>
        </w:tc>
      </w:tr>
      <w:tr>
        <w:trPr>
          <w:trHeight w:val="159"/>
        </w:trPr>
        <w:tc>
          <w:tcPr>
            <w:tcW w:w="38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6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line="159" w:lineRule="exact"/>
              <w:rPr>
                <w:sz w:val="20"/>
                <w:szCs w:val="20"/>
                <w:color w:val="auto"/>
              </w:rPr>
            </w:pPr>
            <w:r>
              <w:rPr>
                <w:rFonts w:ascii="Arial" w:cs="Arial" w:eastAsia="Arial" w:hAnsi="Arial"/>
                <w:sz w:val="14"/>
                <w:szCs w:val="14"/>
                <w:color w:val="auto"/>
                <w:w w:val="89"/>
              </w:rPr>
              <w:t>2014</w:t>
            </w:r>
          </w:p>
        </w:tc>
        <w:tc>
          <w:tcPr>
            <w:tcW w:w="5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4"/>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5620" w:type="dxa"/>
            <w:vAlign w:val="bottom"/>
            <w:shd w:val="clear" w:color="auto" w:fill="E5E5E5"/>
          </w:tcPr>
          <w:p>
            <w:pPr>
              <w:ind w:left="55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2,448</w:t>
            </w:r>
          </w:p>
        </w:tc>
        <w:tc>
          <w:tcPr>
            <w:tcW w:w="52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4,345</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Equity Method:</w:t>
            </w:r>
          </w:p>
        </w:tc>
        <w:tc>
          <w:tcPr>
            <w:tcW w:w="5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8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56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331</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Hulu</w:t>
            </w:r>
          </w:p>
        </w:tc>
        <w:tc>
          <w:tcPr>
            <w:tcW w:w="56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191</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38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6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496</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469</w:t>
            </w:r>
          </w:p>
        </w:tc>
      </w:tr>
      <w:tr>
        <w:trPr>
          <w:trHeight w:val="210"/>
        </w:trPr>
        <w:tc>
          <w:tcPr>
            <w:tcW w:w="38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w w:val="97"/>
              </w:rPr>
              <w:t>1,018</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16"/>
        </w:trPr>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Cost Method:</w:t>
            </w:r>
          </w:p>
        </w:tc>
        <w:tc>
          <w:tcPr>
            <w:tcW w:w="56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AirTouch</w:t>
            </w:r>
          </w:p>
        </w:tc>
        <w:tc>
          <w:tcPr>
            <w:tcW w:w="56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w w:val="97"/>
              </w:rPr>
              <w:t>1,556</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1,553</w:t>
            </w:r>
          </w:p>
        </w:tc>
      </w:tr>
      <w:tr>
        <w:trPr>
          <w:trHeight w:val="216"/>
        </w:trPr>
        <w:tc>
          <w:tcPr>
            <w:tcW w:w="38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6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457</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456</w:t>
            </w:r>
          </w:p>
        </w:tc>
      </w:tr>
      <w:tr>
        <w:trPr>
          <w:trHeight w:val="210"/>
        </w:trPr>
        <w:tc>
          <w:tcPr>
            <w:tcW w:w="38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w w:val="97"/>
              </w:rPr>
              <w:t>2,013</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56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5,479</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7,343</w:t>
            </w:r>
          </w:p>
        </w:tc>
      </w:tr>
      <w:tr>
        <w:trPr>
          <w:trHeight w:val="216"/>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5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97"/>
              </w:rPr>
              <w:t>2,389</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w:t>
            </w:r>
          </w:p>
        </w:tc>
      </w:tr>
      <w:tr>
        <w:trPr>
          <w:trHeight w:val="217"/>
        </w:trPr>
        <w:tc>
          <w:tcPr>
            <w:tcW w:w="3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5620" w:type="dxa"/>
            <w:vAlign w:val="bottom"/>
            <w:tcBorders>
              <w:bottom w:val="single" w:sz="8" w:color="auto"/>
            </w:tcBorders>
            <w:shd w:val="clear" w:color="auto" w:fill="E5E5E5"/>
          </w:tcPr>
          <w:p>
            <w:pPr>
              <w:ind w:left="550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b w:val="1"/>
                <w:bCs w:val="1"/>
                <w:color w:val="auto"/>
                <w:w w:val="97"/>
              </w:rPr>
              <w:t>3,090</w:t>
            </w:r>
          </w:p>
        </w:tc>
        <w:tc>
          <w:tcPr>
            <w:tcW w:w="5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3,770</w:t>
            </w:r>
          </w:p>
        </w:tc>
      </w:tr>
      <w:tr>
        <w:trPr>
          <w:trHeight w:val="363"/>
        </w:trPr>
        <w:tc>
          <w:tcPr>
            <w:tcW w:w="3820" w:type="dxa"/>
            <w:vAlign w:val="bottom"/>
          </w:tcPr>
          <w:p>
            <w:pPr>
              <w:spacing w:after="0"/>
              <w:rPr>
                <w:sz w:val="24"/>
                <w:szCs w:val="24"/>
                <w:color w:val="auto"/>
              </w:rPr>
            </w:pPr>
          </w:p>
        </w:tc>
        <w:tc>
          <w:tcPr>
            <w:tcW w:w="5620" w:type="dxa"/>
            <w:vAlign w:val="bottom"/>
          </w:tcPr>
          <w:p>
            <w:pPr>
              <w:jc w:val="right"/>
              <w:ind w:right="3597"/>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Income (Loss), Net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gridSpan w:val="3"/>
          </w:tcPr>
          <w:p>
            <w:pPr>
              <w:jc w:val="right"/>
              <w:ind w:right="355"/>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w w:val="89"/>
              </w:rPr>
              <w:t>2014</w:t>
            </w: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8860" w:type="dxa"/>
            <w:vAlign w:val="bottom"/>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83</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86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(113)</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w w:val="92"/>
              </w:rPr>
              <w:t>Mark to market adjustments on derivative component of prepaid forward sale agreements and indexed debt instruments</w:t>
            </w:r>
          </w:p>
        </w:tc>
        <w:tc>
          <w:tcPr>
            <w:tcW w:w="740" w:type="dxa"/>
            <w:vAlign w:val="bottom"/>
          </w:tcPr>
          <w:p>
            <w:pPr>
              <w:spacing w:after="0"/>
              <w:rPr>
                <w:sz w:val="18"/>
                <w:szCs w:val="18"/>
                <w:color w:val="auto"/>
              </w:rPr>
            </w:pP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117</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886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28</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7"/>
        </w:trPr>
        <w:tc>
          <w:tcPr>
            <w:tcW w:w="8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113</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2014, the majority of our fair value method investments were equity securities held as collateral that were related to our obligations under prepaid forward sale agreements.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Forward Sale Agreements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320" w:type="dxa"/>
            <w:vAlign w:val="bottom"/>
            <w:gridSpan w:val="2"/>
          </w:tcPr>
          <w:p>
            <w:pPr>
              <w:ind w:left="2420"/>
              <w:spacing w:after="0"/>
              <w:rPr>
                <w:sz w:val="20"/>
                <w:szCs w:val="20"/>
                <w:color w:val="auto"/>
              </w:rPr>
            </w:pPr>
            <w:r>
              <w:rPr>
                <w:rFonts w:ascii="Arial" w:cs="Arial" w:eastAsia="Arial" w:hAnsi="Arial"/>
                <w:sz w:val="14"/>
                <w:szCs w:val="14"/>
                <w:color w:val="auto"/>
              </w:rPr>
              <w:t>March 31,</w:t>
            </w:r>
          </w:p>
        </w:tc>
        <w:tc>
          <w:tcPr>
            <w:tcW w:w="1180" w:type="dxa"/>
            <w:vAlign w:val="bottom"/>
            <w:gridSpan w:val="2"/>
          </w:tcPr>
          <w:p>
            <w:pPr>
              <w:ind w:left="360"/>
              <w:spacing w:after="0"/>
              <w:rPr>
                <w:sz w:val="20"/>
                <w:szCs w:val="20"/>
                <w:color w:val="auto"/>
              </w:rPr>
            </w:pPr>
            <w:r>
              <w:rPr>
                <w:rFonts w:ascii="Arial" w:cs="Arial" w:eastAsia="Arial" w:hAnsi="Arial"/>
                <w:sz w:val="14"/>
                <w:szCs w:val="14"/>
                <w:color w:val="auto"/>
                <w:w w:val="90"/>
              </w:rPr>
              <w:t>December 31,</w:t>
            </w:r>
          </w:p>
        </w:tc>
      </w:tr>
      <w:tr>
        <w:trPr>
          <w:trHeight w:val="159"/>
        </w:trPr>
        <w:tc>
          <w:tcPr>
            <w:tcW w:w="69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520" w:type="dxa"/>
            <w:vAlign w:val="bottom"/>
          </w:tcPr>
          <w:p>
            <w:pPr>
              <w:spacing w:after="0"/>
              <w:rPr>
                <w:sz w:val="13"/>
                <w:szCs w:val="13"/>
                <w:color w:val="auto"/>
              </w:rPr>
            </w:pPr>
          </w:p>
        </w:tc>
        <w:tc>
          <w:tcPr>
            <w:tcW w:w="800" w:type="dxa"/>
            <w:vAlign w:val="bottom"/>
          </w:tcPr>
          <w:p>
            <w:pPr>
              <w:jc w:val="right"/>
              <w:ind w:right="416"/>
              <w:spacing w:after="0" w:line="159" w:lineRule="exact"/>
              <w:rPr>
                <w:sz w:val="20"/>
                <w:szCs w:val="20"/>
                <w:color w:val="auto"/>
              </w:rPr>
            </w:pPr>
            <w:r>
              <w:rPr>
                <w:rFonts w:ascii="Arial" w:cs="Arial" w:eastAsia="Arial" w:hAnsi="Arial"/>
                <w:sz w:val="14"/>
                <w:szCs w:val="14"/>
                <w:color w:val="auto"/>
                <w:w w:val="89"/>
              </w:rPr>
              <w:t>2014</w:t>
            </w:r>
          </w:p>
        </w:tc>
        <w:tc>
          <w:tcPr>
            <w:tcW w:w="520" w:type="dxa"/>
            <w:vAlign w:val="bottom"/>
          </w:tcPr>
          <w:p>
            <w:pPr>
              <w:spacing w:after="0"/>
              <w:rPr>
                <w:sz w:val="13"/>
                <w:szCs w:val="13"/>
                <w:color w:val="auto"/>
              </w:rPr>
            </w:pPr>
          </w:p>
        </w:tc>
        <w:tc>
          <w:tcPr>
            <w:tcW w:w="660" w:type="dxa"/>
            <w:vAlign w:val="bottom"/>
          </w:tcPr>
          <w:p>
            <w:pPr>
              <w:jc w:val="right"/>
              <w:ind w:right="216"/>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20" w:type="dxa"/>
            <w:vAlign w:val="bottom"/>
          </w:tcPr>
          <w:p>
            <w:pPr>
              <w:spacing w:after="0"/>
              <w:rPr>
                <w:sz w:val="18"/>
                <w:szCs w:val="18"/>
                <w:color w:val="auto"/>
              </w:rPr>
            </w:pPr>
          </w:p>
        </w:tc>
        <w:tc>
          <w:tcPr>
            <w:tcW w:w="69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Assets:</w:t>
            </w:r>
          </w:p>
        </w:tc>
        <w:tc>
          <w:tcPr>
            <w:tcW w:w="25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Fair value equity securities held as collateral</w:t>
            </w:r>
          </w:p>
        </w:tc>
        <w:tc>
          <w:tcPr>
            <w:tcW w:w="252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7"/>
              </w:rPr>
              <w:t>2,164</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r>
      <w:tr>
        <w:trPr>
          <w:trHeight w:val="210"/>
        </w:trPr>
        <w:tc>
          <w:tcPr>
            <w:tcW w:w="20" w:type="dxa"/>
            <w:vAlign w:val="bottom"/>
          </w:tcPr>
          <w:p>
            <w:pPr>
              <w:spacing w:after="0"/>
              <w:rPr>
                <w:sz w:val="18"/>
                <w:szCs w:val="18"/>
                <w:color w:val="auto"/>
              </w:rPr>
            </w:pPr>
          </w:p>
        </w:tc>
        <w:tc>
          <w:tcPr>
            <w:tcW w:w="6900" w:type="dxa"/>
            <w:vAlign w:val="bottom"/>
            <w:shd w:val="clear" w:color="auto" w:fill="E5E5E5"/>
          </w:tcPr>
          <w:p>
            <w:pPr>
              <w:spacing w:after="0"/>
              <w:rPr>
                <w:sz w:val="20"/>
                <w:szCs w:val="20"/>
                <w:color w:val="auto"/>
              </w:rPr>
            </w:pPr>
            <w:r>
              <w:rPr>
                <w:rFonts w:ascii="Arial" w:cs="Arial" w:eastAsia="Arial" w:hAnsi="Arial"/>
                <w:sz w:val="18"/>
                <w:szCs w:val="18"/>
                <w:color w:val="auto"/>
              </w:rPr>
              <w:t>Liabilities:</w:t>
            </w:r>
          </w:p>
        </w:tc>
        <w:tc>
          <w:tcPr>
            <w:tcW w:w="25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Obligations under prepaid forward sale agreements</w:t>
            </w:r>
          </w:p>
        </w:tc>
        <w:tc>
          <w:tcPr>
            <w:tcW w:w="2520" w:type="dxa"/>
            <w:vAlign w:val="bottom"/>
          </w:tcPr>
          <w:p>
            <w:pPr>
              <w:ind w:left="24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256"/>
              <w:spacing w:after="0"/>
              <w:rPr>
                <w:sz w:val="20"/>
                <w:szCs w:val="20"/>
                <w:color w:val="auto"/>
              </w:rPr>
            </w:pPr>
            <w:r>
              <w:rPr>
                <w:rFonts w:ascii="Arial" w:cs="Arial" w:eastAsia="Arial" w:hAnsi="Arial"/>
                <w:sz w:val="18"/>
                <w:szCs w:val="18"/>
                <w:color w:val="auto"/>
              </w:rPr>
              <w:t>463</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16"/>
        </w:trPr>
        <w:tc>
          <w:tcPr>
            <w:tcW w:w="20" w:type="dxa"/>
            <w:vAlign w:val="bottom"/>
          </w:tcPr>
          <w:p>
            <w:pPr>
              <w:spacing w:after="0"/>
              <w:rPr>
                <w:sz w:val="18"/>
                <w:szCs w:val="18"/>
                <w:color w:val="auto"/>
              </w:rPr>
            </w:pPr>
          </w:p>
        </w:tc>
        <w:tc>
          <w:tcPr>
            <w:tcW w:w="69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Derivative component of prepaid forward sale agreements</w:t>
            </w:r>
          </w:p>
        </w:tc>
        <w:tc>
          <w:tcPr>
            <w:tcW w:w="25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w w:val="97"/>
              </w:rPr>
              <w:t>1,501</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2,800</w:t>
            </w:r>
          </w:p>
        </w:tc>
      </w:tr>
      <w:tr>
        <w:trPr>
          <w:trHeight w:val="217"/>
        </w:trPr>
        <w:tc>
          <w:tcPr>
            <w:tcW w:w="2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252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7"/>
              </w:rPr>
              <w:t>1,964</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r>
    </w:tbl>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March 31, 2014, we settled $1.5 billion of obligations under certain of our prepaid forward sale agreements by delivering equity securities. As of March 31, 2014, our remaining prepaid forward sale obligations had an estimated fair value of $2 billion. The estimated fair values are based on Level 2 inputs using pricing models whose inputs are derived primarily from or corroborated by observable market data through correlation or other means for substantially the full term of the financial instrument.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hold two series of preferred stock of AirTouch Communications, Inc. (“AirTouch”), a subsidiary of Verizon Communications Inc., which are redeemable in April 2020. As of March 31, 2014, the estimated fair values of the AirTouch preferred stock and the associated liability related to the redeemable preferred shares issued by one of our consolidated subsidiaries were each $1.7 billion. The estimated fair values are based on Level 2 inputs using pricing models whose inputs are derived primarily from or corroborated by observable market data through correlation or other means for substantially the full term of the financial instrument.</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2014, our debt had a carrying value of $47.4 billion and an estimated fair value of $52.5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2014, we issued $1.2 billion aggregate principal amount of 3.60% senior notes due 2024 and $1 billion aggregate principal amount of 4.75% senior notes due 2044. The proceeds from this offering were used for working capital and general corporate purposes, including the repayment of a portion of our outstanding commercial paper and our $900 million aggregate principal amount of 2.10% senior notes in April 2014 at maturity.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2014, we repaid at maturity $1 billion aggregate principal amount of 5.30% senior notes due 2014. In February 2014, we repaid $1.25 billion of borrowings outstanding under NBCUniversal Enterprise Inc.’s (“NBCUniversal Enterprise”) revolving credit facility with the proceeds from $990 million of borrowings under its new commercial paper program and cash on hand.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March 31, 2014, amounts available under our consolidated revolving credit facilities, net of amounts outstanding under our commercial paper program and outstanding letters of credit, totaled $6.3 billion, which included $360 million available under NBCUniversal Enterprise’s credit facility.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February 2014, NBCUniversal Enterprise entered into a commercial paper program. The maximum borrowing capacity under this commercial paper program is $1.35 billion, and it is supported by NBCUniversal Enterprise’s existing $1.35 billion revolving credit facility due March 2018. The commercial paper program is fully and unconditionally guaranteed by us and our 100% owned cable holding company subsidiaries, Comcast Cable Communications, LLC (“CCCL Parent”), Comcast MO Group, Inc. (“Comcast MO Group”), Comcast Cable Holdings, LLC (“CCH”) and Comcast MO of Delaware, LLC (“Comcast MO of Delaware”) (collectively, the “cable guarantors”). As of March 31, 2014, NBCUniversal Enterprise had $990 million face amount of commercial paper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 as of</w:t>
            </w: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40"/>
              <w:spacing w:after="0" w:line="131"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59"/>
        </w:trPr>
        <w:tc>
          <w:tcPr>
            <w:tcW w:w="62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612"/>
              <w:spacing w:after="0" w:line="159" w:lineRule="exact"/>
              <w:rPr>
                <w:sz w:val="20"/>
                <w:szCs w:val="20"/>
                <w:color w:val="auto"/>
              </w:rPr>
            </w:pPr>
            <w:r>
              <w:rPr>
                <w:rFonts w:ascii="Arial" w:cs="Arial" w:eastAsia="Arial" w:hAnsi="Arial"/>
                <w:sz w:val="14"/>
                <w:szCs w:val="14"/>
                <w:color w:val="auto"/>
              </w:rPr>
              <w:t>March 31, 2014</w:t>
            </w:r>
          </w:p>
        </w:tc>
        <w:tc>
          <w:tcPr>
            <w:tcW w:w="8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6"/>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1160" w:type="dxa"/>
            <w:vAlign w:val="bottom"/>
            <w:gridSpan w:val="2"/>
          </w:tcPr>
          <w:p>
            <w:pPr>
              <w:jc w:val="right"/>
              <w:ind w:right="192"/>
              <w:spacing w:after="0" w:line="142" w:lineRule="exact"/>
              <w:rPr>
                <w:sz w:val="20"/>
                <w:szCs w:val="20"/>
                <w:color w:val="auto"/>
              </w:rPr>
            </w:pPr>
            <w:r>
              <w:rPr>
                <w:rFonts w:ascii="Arial" w:cs="Arial" w:eastAsia="Arial" w:hAnsi="Arial"/>
                <w:sz w:val="14"/>
                <w:szCs w:val="14"/>
                <w:color w:val="auto"/>
              </w:rPr>
              <w:t>Level 1</w:t>
            </w:r>
          </w:p>
        </w:tc>
        <w:tc>
          <w:tcPr>
            <w:tcW w:w="960" w:type="dxa"/>
            <w:vAlign w:val="bottom"/>
            <w:gridSpan w:val="2"/>
          </w:tcPr>
          <w:p>
            <w:pPr>
              <w:jc w:val="right"/>
              <w:ind w:right="174"/>
              <w:spacing w:after="0" w:line="142" w:lineRule="exact"/>
              <w:rPr>
                <w:sz w:val="20"/>
                <w:szCs w:val="20"/>
                <w:color w:val="auto"/>
              </w:rPr>
            </w:pPr>
            <w:r>
              <w:rPr>
                <w:rFonts w:ascii="Arial" w:cs="Arial" w:eastAsia="Arial" w:hAnsi="Arial"/>
                <w:sz w:val="14"/>
                <w:szCs w:val="14"/>
                <w:color w:val="auto"/>
              </w:rPr>
              <w:t>Level 2</w:t>
            </w:r>
          </w:p>
        </w:tc>
        <w:tc>
          <w:tcPr>
            <w:tcW w:w="1140" w:type="dxa"/>
            <w:vAlign w:val="bottom"/>
            <w:gridSpan w:val="2"/>
          </w:tcPr>
          <w:p>
            <w:pPr>
              <w:jc w:val="right"/>
              <w:ind w:right="352"/>
              <w:spacing w:after="0" w:line="142" w:lineRule="exact"/>
              <w:rPr>
                <w:sz w:val="20"/>
                <w:szCs w:val="20"/>
                <w:color w:val="auto"/>
              </w:rPr>
            </w:pPr>
            <w:r>
              <w:rPr>
                <w:rFonts w:ascii="Arial" w:cs="Arial" w:eastAsia="Arial" w:hAnsi="Arial"/>
                <w:sz w:val="14"/>
                <w:szCs w:val="14"/>
                <w:color w:val="auto"/>
              </w:rPr>
              <w:t>Level 3</w:t>
            </w:r>
          </w:p>
        </w:tc>
        <w:tc>
          <w:tcPr>
            <w:tcW w:w="82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Total</w:t>
            </w:r>
          </w:p>
        </w:tc>
        <w:tc>
          <w:tcPr>
            <w:tcW w:w="400" w:type="dxa"/>
            <w:vAlign w:val="bottom"/>
          </w:tcPr>
          <w:p>
            <w:pPr>
              <w:spacing w:after="0"/>
              <w:rPr>
                <w:sz w:val="12"/>
                <w:szCs w:val="12"/>
                <w:color w:val="auto"/>
              </w:rPr>
            </w:pPr>
          </w:p>
        </w:tc>
        <w:tc>
          <w:tcPr>
            <w:tcW w:w="660" w:type="dxa"/>
            <w:vAlign w:val="bottom"/>
          </w:tcPr>
          <w:p>
            <w:pPr>
              <w:jc w:val="right"/>
              <w:ind w:right="216"/>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Trading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2,168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$2,168</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11</w:t>
            </w:r>
          </w:p>
        </w:tc>
        <w:tc>
          <w:tcPr>
            <w:tcW w:w="8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279</w:t>
            </w: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5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92"/>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2,319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292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12</w:t>
            </w: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$2,623</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88"/>
              </w:rPr>
              <w:t>Derivative component of prepaid forward sale agreements and indexed debt instruments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1,515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$1,515</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761</w:t>
            </w:r>
          </w:p>
        </w:tc>
        <w:tc>
          <w:tcPr>
            <w:tcW w:w="8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761</w:t>
            </w: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5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677</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677</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84"/>
              </w:rPr>
              <w:t>1,532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88"/>
              </w:rPr>
              <w:t>1,438</w:t>
            </w: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$2,970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4,263</w:t>
            </w:r>
          </w:p>
        </w:tc>
        <w:tc>
          <w:tcPr>
            <w:tcW w:w="0" w:type="dxa"/>
            <w:vAlign w:val="bottom"/>
          </w:tcPr>
          <w:p>
            <w:pPr>
              <w:spacing w:after="0"/>
              <w:rPr>
                <w:sz w:val="1"/>
                <w:szCs w:val="1"/>
                <w:color w:val="auto"/>
              </w:rPr>
            </w:pPr>
          </w:p>
        </w:tc>
      </w:tr>
      <w:tr>
        <w:trPr>
          <w:trHeight w:val="363"/>
        </w:trPr>
        <w:tc>
          <w:tcPr>
            <w:tcW w:w="6280" w:type="dxa"/>
            <w:vAlign w:val="bottom"/>
            <w:gridSpan w:val="2"/>
          </w:tcPr>
          <w:p>
            <w:pPr>
              <w:jc w:val="right"/>
              <w:ind w:right="432"/>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Redeemable Subsidiary Preferred Stock Financial Instrument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2014, the fair value of the NBCUniversal Enterprise redeemable subsidiary preferred stock was $750 million. The estimated fair value is based on Level 2 inputs using pricing models whose inputs are derived primarily from or corroborated by observable market data through correlation or other means for substantially the full term of the financial instrument.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 and Contingent Consideration</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values of the contractual obligation and contingent consideration in the table above are primarily based on certain expected future discounted cash flows, the determination of which involves the use of significant unobservable inputs. The most significant unobservable inputs we use are our estimates of the future revenue we expect to generate from certain NBCUniversal businesses, which are related to our contractual obligation, and future net tax benefits that will affect payments to GE, which are related to contingent consideration. The discount rates used in the measurements of fair value were between 5% and 13% and are based on the underlying risk associated with our estimate of future revenue and the terms of the respective contracts, and the uncertainty in the timing of our payments to GE. The fair value adjustments to contractual obligation and contingent consideration are sensitive to the assumptions related to future revenue and tax benefits, respectively, as well as to current interest rates, and therefore, the adjustments are recorded to other income (expense), net in our condensed consolidated statement of income.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Contractual Obligation and Contingent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4600" w:type="dxa"/>
            <w:vAlign w:val="bottom"/>
            <w:gridSpan w:val="2"/>
          </w:tcPr>
          <w:p>
            <w:pPr>
              <w:ind w:left="3480"/>
              <w:spacing w:after="0"/>
              <w:rPr>
                <w:sz w:val="20"/>
                <w:szCs w:val="20"/>
                <w:color w:val="auto"/>
              </w:rPr>
            </w:pPr>
            <w:r>
              <w:rPr>
                <w:rFonts w:ascii="Arial" w:cs="Arial" w:eastAsia="Arial" w:hAnsi="Arial"/>
                <w:sz w:val="14"/>
                <w:szCs w:val="14"/>
                <w:color w:val="auto"/>
              </w:rPr>
              <w:t>Contractual</w:t>
            </w:r>
          </w:p>
        </w:tc>
        <w:tc>
          <w:tcPr>
            <w:tcW w:w="1300" w:type="dxa"/>
            <w:vAlign w:val="bottom"/>
            <w:gridSpan w:val="2"/>
          </w:tcPr>
          <w:p>
            <w:pPr>
              <w:jc w:val="right"/>
              <w:ind w:right="112"/>
              <w:spacing w:after="0"/>
              <w:rPr>
                <w:sz w:val="20"/>
                <w:szCs w:val="20"/>
                <w:color w:val="auto"/>
              </w:rPr>
            </w:pPr>
            <w:r>
              <w:rPr>
                <w:rFonts w:ascii="Arial" w:cs="Arial" w:eastAsia="Arial" w:hAnsi="Arial"/>
                <w:sz w:val="14"/>
                <w:szCs w:val="14"/>
                <w:color w:val="auto"/>
              </w:rPr>
              <w:t>Contingent</w:t>
            </w:r>
          </w:p>
        </w:tc>
      </w:tr>
      <w:tr>
        <w:trPr>
          <w:trHeight w:val="159"/>
        </w:trPr>
        <w:tc>
          <w:tcPr>
            <w:tcW w:w="55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600" w:type="dxa"/>
            <w:vAlign w:val="bottom"/>
            <w:tcBorders>
              <w:bottom w:val="single" w:sz="8" w:color="auto"/>
            </w:tcBorders>
            <w:gridSpan w:val="2"/>
          </w:tcPr>
          <w:p>
            <w:pPr>
              <w:jc w:val="right"/>
              <w:ind w:right="432"/>
              <w:spacing w:after="0" w:line="159" w:lineRule="exact"/>
              <w:rPr>
                <w:sz w:val="20"/>
                <w:szCs w:val="20"/>
                <w:color w:val="auto"/>
              </w:rPr>
            </w:pPr>
            <w:r>
              <w:rPr>
                <w:rFonts w:ascii="Arial" w:cs="Arial" w:eastAsia="Arial" w:hAnsi="Arial"/>
                <w:sz w:val="14"/>
                <w:szCs w:val="14"/>
                <w:color w:val="auto"/>
              </w:rPr>
              <w:t>Obligation</w:t>
            </w:r>
          </w:p>
        </w:tc>
        <w:tc>
          <w:tcPr>
            <w:tcW w:w="130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w w:val="99"/>
              </w:rPr>
              <w:t>Consideration</w:t>
            </w:r>
          </w:p>
        </w:tc>
      </w:tr>
      <w:tr>
        <w:trPr>
          <w:trHeight w:val="210"/>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2013</w:t>
            </w:r>
          </w:p>
        </w:tc>
        <w:tc>
          <w:tcPr>
            <w:tcW w:w="3700" w:type="dxa"/>
            <w:vAlign w:val="bottom"/>
            <w:shd w:val="clear" w:color="auto" w:fill="E5E5E5"/>
          </w:tcPr>
          <w:p>
            <w:pPr>
              <w:ind w:left="3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747</w:t>
            </w:r>
          </w:p>
        </w:tc>
        <w:tc>
          <w:tcPr>
            <w:tcW w:w="7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684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Fair value adjustments</w:t>
            </w:r>
          </w:p>
        </w:tc>
        <w:tc>
          <w:tcPr>
            <w:tcW w:w="3700" w:type="dxa"/>
            <w:vAlign w:val="bottom"/>
          </w:tcPr>
          <w:p>
            <w:pPr>
              <w:spacing w:after="0"/>
              <w:rPr>
                <w:sz w:val="18"/>
                <w:szCs w:val="18"/>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16"/>
        </w:trPr>
        <w:tc>
          <w:tcPr>
            <w:tcW w:w="5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37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rPr>
              <w:t>(13)</w:t>
            </w:r>
          </w:p>
        </w:tc>
        <w:tc>
          <w:tcPr>
            <w:tcW w:w="7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w:t>
            </w:r>
          </w:p>
        </w:tc>
      </w:tr>
      <w:tr>
        <w:trPr>
          <w:trHeight w:val="217"/>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2014</w:t>
            </w:r>
          </w:p>
        </w:tc>
        <w:tc>
          <w:tcPr>
            <w:tcW w:w="3700" w:type="dxa"/>
            <w:vAlign w:val="bottom"/>
            <w:tcBorders>
              <w:bottom w:val="single" w:sz="8" w:color="auto"/>
            </w:tcBorders>
          </w:tcPr>
          <w:p>
            <w:pPr>
              <w:ind w:left="34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761</w:t>
            </w: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677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compensation primarily consists of awards of stock options and RSUs to certain employees and directors as part of our approach to long-term incentive compensation.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2014, we granted 16.4 million stock options and 5.4 million RSUs related to our annual management awards. The weighted-average fair values associated with these grants were $11.09 per stock option and $46.57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gridSpan w:val="3"/>
          </w:tcPr>
          <w:p>
            <w:pPr>
              <w:jc w:val="right"/>
              <w:ind w:right="276"/>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9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92"/>
              </w:rPr>
              <w:t>March 31</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9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9"/>
              </w:rPr>
              <w:t>2014</w:t>
            </w: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896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7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7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March 31, 2014, we had unrecognized pretax compensation expense of $428 million and $575 million related to nonvested stock options and nonvested RSUs,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77"/>
              <w:spacing w:after="0"/>
              <w:rPr>
                <w:sz w:val="20"/>
                <w:szCs w:val="20"/>
                <w:color w:val="auto"/>
              </w:rPr>
            </w:pPr>
            <w:r>
              <w:rPr>
                <w:rFonts w:ascii="Arial" w:cs="Arial" w:eastAsia="Arial" w:hAnsi="Arial"/>
                <w:sz w:val="14"/>
                <w:szCs w:val="14"/>
                <w:color w:val="auto"/>
                <w:w w:val="99"/>
              </w:rPr>
              <w:t>March 31,</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59"/>
        </w:trPr>
        <w:tc>
          <w:tcPr>
            <w:tcW w:w="92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ind w:left="240"/>
              <w:spacing w:after="0" w:line="159" w:lineRule="exact"/>
              <w:rPr>
                <w:sz w:val="20"/>
                <w:szCs w:val="20"/>
                <w:color w:val="auto"/>
              </w:rPr>
            </w:pPr>
            <w:r>
              <w:rPr>
                <w:rFonts w:ascii="Arial" w:cs="Arial" w:eastAsia="Arial" w:hAnsi="Arial"/>
                <w:sz w:val="14"/>
                <w:szCs w:val="14"/>
                <w:color w:val="auto"/>
                <w:w w:val="83"/>
              </w:rPr>
              <w:t>2014</w:t>
            </w: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400"/>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200" w:type="dxa"/>
            <w:vAlign w:val="bottom"/>
            <w:gridSpan w:val="2"/>
            <w:shd w:val="clear" w:color="auto" w:fill="E5E5E5"/>
          </w:tcPr>
          <w:p>
            <w:pPr>
              <w:jc w:val="right"/>
              <w:ind w:right="457"/>
              <w:spacing w:after="0"/>
              <w:rPr>
                <w:sz w:val="20"/>
                <w:szCs w:val="20"/>
                <w:color w:val="auto"/>
              </w:rPr>
            </w:pPr>
            <w:r>
              <w:rPr>
                <w:rFonts w:ascii="Arial" w:cs="Arial" w:eastAsia="Arial" w:hAnsi="Arial"/>
                <w:sz w:val="18"/>
                <w:szCs w:val="18"/>
                <w:color w:val="auto"/>
              </w:rPr>
              <w:t>$ 6,645</w:t>
            </w:r>
          </w:p>
        </w:tc>
        <w:tc>
          <w:tcPr>
            <w:tcW w:w="48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6,972</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Less: Allowance for returns and customer incentives</w:t>
            </w:r>
          </w:p>
        </w:tc>
        <w:tc>
          <w:tcPr>
            <w:tcW w:w="1200" w:type="dxa"/>
            <w:vAlign w:val="bottom"/>
            <w:gridSpan w:val="2"/>
          </w:tcPr>
          <w:p>
            <w:pPr>
              <w:jc w:val="right"/>
              <w:ind w:right="457"/>
              <w:spacing w:after="0"/>
              <w:rPr>
                <w:sz w:val="20"/>
                <w:szCs w:val="20"/>
                <w:color w:val="auto"/>
              </w:rPr>
            </w:pPr>
            <w:r>
              <w:rPr>
                <w:rFonts w:ascii="Arial" w:cs="Arial" w:eastAsia="Arial" w:hAnsi="Arial"/>
                <w:sz w:val="18"/>
                <w:szCs w:val="18"/>
                <w:color w:val="auto"/>
              </w:rPr>
              <w:t>285</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1200" w:type="dxa"/>
            <w:vAlign w:val="bottom"/>
            <w:tcBorders>
              <w:bottom w:val="single" w:sz="8" w:color="auto"/>
            </w:tcBorders>
            <w:gridSpan w:val="2"/>
            <w:shd w:val="clear" w:color="auto" w:fill="E5E5E5"/>
          </w:tcPr>
          <w:p>
            <w:pPr>
              <w:jc w:val="right"/>
              <w:ind w:right="457"/>
              <w:spacing w:after="0"/>
              <w:rPr>
                <w:sz w:val="20"/>
                <w:szCs w:val="20"/>
                <w:color w:val="auto"/>
              </w:rPr>
            </w:pPr>
            <w:r>
              <w:rPr>
                <w:rFonts w:ascii="Arial" w:cs="Arial" w:eastAsia="Arial" w:hAnsi="Arial"/>
                <w:sz w:val="18"/>
                <w:szCs w:val="18"/>
                <w:color w:val="auto"/>
              </w:rPr>
              <w:t>209</w:t>
            </w: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7"/>
        </w:trPr>
        <w:tc>
          <w:tcPr>
            <w:tcW w:w="9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Receivables, net</w:t>
            </w:r>
          </w:p>
        </w:tc>
        <w:tc>
          <w:tcPr>
            <w:tcW w:w="1200" w:type="dxa"/>
            <w:vAlign w:val="bottom"/>
            <w:tcBorders>
              <w:bottom w:val="single" w:sz="8" w:color="auto"/>
            </w:tcBorders>
            <w:gridSpan w:val="2"/>
          </w:tcPr>
          <w:p>
            <w:pPr>
              <w:jc w:val="right"/>
              <w:ind w:right="457"/>
              <w:spacing w:after="0"/>
              <w:rPr>
                <w:sz w:val="20"/>
                <w:szCs w:val="20"/>
                <w:color w:val="auto"/>
              </w:rPr>
            </w:pPr>
            <w:r>
              <w:rPr>
                <w:rFonts w:ascii="Arial" w:cs="Arial" w:eastAsia="Arial" w:hAnsi="Arial"/>
                <w:sz w:val="18"/>
                <w:szCs w:val="18"/>
                <w:b w:val="1"/>
                <w:bCs w:val="1"/>
                <w:color w:val="auto"/>
              </w:rPr>
              <w:t>$ 6,151</w:t>
            </w: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6,376</w:t>
            </w:r>
          </w:p>
        </w:tc>
        <w:tc>
          <w:tcPr>
            <w:tcW w:w="0" w:type="dxa"/>
            <w:vAlign w:val="bottom"/>
          </w:tcPr>
          <w:p>
            <w:pPr>
              <w:spacing w:after="0"/>
              <w:rPr>
                <w:sz w:val="1"/>
                <w:szCs w:val="1"/>
                <w:color w:val="auto"/>
              </w:rPr>
            </w:pPr>
          </w:p>
        </w:tc>
      </w:tr>
      <w:tr>
        <w:trPr>
          <w:trHeight w:val="403"/>
        </w:trPr>
        <w:tc>
          <w:tcPr>
            <w:tcW w:w="9240" w:type="dxa"/>
            <w:vAlign w:val="bottom"/>
            <w:gridSpan w:val="2"/>
          </w:tcPr>
          <w:p>
            <w:pPr>
              <w:jc w:val="center"/>
              <w:ind w:left="2095"/>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March 31,</w:t>
            </w:r>
          </w:p>
        </w:tc>
        <w:tc>
          <w:tcPr>
            <w:tcW w:w="980" w:type="dxa"/>
            <w:vAlign w:val="bottom"/>
            <w:gridSpan w:val="2"/>
          </w:tcPr>
          <w:p>
            <w:pPr>
              <w:ind w:left="32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59"/>
        </w:trPr>
        <w:tc>
          <w:tcPr>
            <w:tcW w:w="92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200" w:type="dxa"/>
            <w:vAlign w:val="bottom"/>
            <w:tcBorders>
              <w:bottom w:val="single" w:sz="8" w:color="auto"/>
            </w:tcBorders>
            <w:gridSpan w:val="2"/>
          </w:tcPr>
          <w:p>
            <w:pPr>
              <w:jc w:val="right"/>
              <w:ind w:right="497"/>
              <w:spacing w:after="0" w:line="159" w:lineRule="exact"/>
              <w:rPr>
                <w:sz w:val="20"/>
                <w:szCs w:val="20"/>
                <w:color w:val="auto"/>
              </w:rPr>
            </w:pPr>
            <w:r>
              <w:rPr>
                <w:rFonts w:ascii="Arial" w:cs="Arial" w:eastAsia="Arial" w:hAnsi="Arial"/>
                <w:sz w:val="14"/>
                <w:szCs w:val="14"/>
                <w:color w:val="auto"/>
              </w:rPr>
              <w:t>2014</w:t>
            </w:r>
          </w:p>
        </w:tc>
        <w:tc>
          <w:tcPr>
            <w:tcW w:w="980" w:type="dxa"/>
            <w:vAlign w:val="bottom"/>
            <w:tcBorders>
              <w:bottom w:val="single" w:sz="8" w:color="auto"/>
            </w:tcBorders>
            <w:gridSpan w:val="2"/>
          </w:tcPr>
          <w:p>
            <w:pPr>
              <w:jc w:val="right"/>
              <w:ind w:right="173"/>
              <w:spacing w:after="0" w:line="15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47</w:t>
            </w:r>
          </w:p>
        </w:tc>
        <w:tc>
          <w:tcPr>
            <w:tcW w:w="48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w:t>
            </w:r>
          </w:p>
        </w:tc>
        <w:tc>
          <w:tcPr>
            <w:tcW w:w="520" w:type="dxa"/>
            <w:vAlign w:val="bottom"/>
          </w:tcPr>
          <w:p>
            <w:pPr>
              <w:spacing w:after="0"/>
              <w:rPr>
                <w:sz w:val="18"/>
                <w:szCs w:val="18"/>
                <w:color w:val="auto"/>
              </w:rPr>
            </w:pPr>
          </w:p>
        </w:tc>
        <w:tc>
          <w:tcPr>
            <w:tcW w:w="680" w:type="dxa"/>
            <w:vAlign w:val="bottom"/>
          </w:tcPr>
          <w:p>
            <w:pPr>
              <w:jc w:val="right"/>
              <w:ind w:right="277"/>
              <w:spacing w:after="0"/>
              <w:rPr>
                <w:sz w:val="20"/>
                <w:szCs w:val="20"/>
                <w:color w:val="auto"/>
              </w:rPr>
            </w:pPr>
            <w:r>
              <w:rPr>
                <w:rFonts w:ascii="Arial" w:cs="Arial" w:eastAsia="Arial" w:hAnsi="Arial"/>
                <w:sz w:val="18"/>
                <w:szCs w:val="18"/>
                <w:color w:val="auto"/>
                <w:w w:val="93"/>
              </w:rPr>
              <w:t>(50)</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71</w:t>
            </w: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Cumulative translation adjustments</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w w:val="93"/>
              </w:rPr>
              <w:t>(35)</w:t>
            </w: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92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5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33</w:t>
            </w:r>
          </w:p>
        </w:tc>
        <w:tc>
          <w:tcPr>
            <w:tcW w:w="48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403"/>
        </w:trPr>
        <w:tc>
          <w:tcPr>
            <w:tcW w:w="9240" w:type="dxa"/>
            <w:vAlign w:val="bottom"/>
            <w:gridSpan w:val="2"/>
          </w:tcPr>
          <w:p>
            <w:pPr>
              <w:jc w:val="center"/>
              <w:ind w:left="2115"/>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gridSpan w:val="3"/>
          </w:tcPr>
          <w:p>
            <w:pPr>
              <w:jc w:val="center"/>
              <w:ind w:right="113"/>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left="197"/>
              <w:spacing w:after="0" w:line="159" w:lineRule="exact"/>
              <w:rPr>
                <w:sz w:val="20"/>
                <w:szCs w:val="20"/>
                <w:color w:val="auto"/>
              </w:rPr>
            </w:pPr>
            <w:r>
              <w:rPr>
                <w:rFonts w:ascii="Arial" w:cs="Arial" w:eastAsia="Arial" w:hAnsi="Arial"/>
                <w:sz w:val="14"/>
                <w:szCs w:val="14"/>
                <w:color w:val="auto"/>
                <w:w w:val="89"/>
              </w:rPr>
              <w:t>March 31</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tcBorders>
              <w:bottom w:val="single" w:sz="8" w:color="auto"/>
            </w:tcBorders>
            <w:gridSpan w:val="2"/>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w w:val="96"/>
              </w:rPr>
              <w:t>2014</w:t>
            </w:r>
          </w:p>
        </w:tc>
        <w:tc>
          <w:tcPr>
            <w:tcW w:w="980" w:type="dxa"/>
            <w:vAlign w:val="bottom"/>
            <w:tcBorders>
              <w:bottom w:val="single" w:sz="8" w:color="auto"/>
            </w:tcBorders>
            <w:gridSpan w:val="2"/>
          </w:tcPr>
          <w:p>
            <w:pPr>
              <w:jc w:val="right"/>
              <w:ind w:right="153"/>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E5E5E5"/>
          </w:tcPr>
          <w:p>
            <w:pPr>
              <w:jc w:val="right"/>
              <w:ind w:right="137"/>
              <w:spacing w:after="0"/>
              <w:rPr>
                <w:sz w:val="20"/>
                <w:szCs w:val="20"/>
                <w:color w:val="auto"/>
              </w:rPr>
            </w:pPr>
            <w:r>
              <w:rPr>
                <w:rFonts w:ascii="Arial" w:cs="Arial" w:eastAsia="Arial" w:hAnsi="Arial"/>
                <w:sz w:val="18"/>
                <w:szCs w:val="18"/>
                <w:color w:val="auto"/>
              </w:rPr>
              <w:t>$ 1,938</w:t>
            </w:r>
          </w:p>
        </w:tc>
        <w:tc>
          <w:tcPr>
            <w:tcW w:w="980" w:type="dxa"/>
            <w:vAlign w:val="bottom"/>
            <w:gridSpan w:val="2"/>
            <w:shd w:val="clear" w:color="auto" w:fill="E5E5E5"/>
          </w:tcPr>
          <w:p>
            <w:pPr>
              <w:jc w:val="right"/>
              <w:ind w:right="13"/>
              <w:spacing w:after="0"/>
              <w:rPr>
                <w:sz w:val="20"/>
                <w:szCs w:val="20"/>
                <w:color w:val="auto"/>
              </w:rPr>
            </w:pPr>
            <w:r>
              <w:rPr>
                <w:rFonts w:ascii="Arial" w:cs="Arial" w:eastAsia="Arial" w:hAnsi="Arial"/>
                <w:sz w:val="18"/>
                <w:szCs w:val="18"/>
                <w:color w:val="auto"/>
              </w:rPr>
              <w:t>$ 1,645</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97"/>
              </w:rPr>
              <w:t>1,970</w:t>
            </w: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4"/>
              </w:rPr>
              <w:t>1,967</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520" w:type="dxa"/>
            <w:vAlign w:val="bottom"/>
          </w:tcPr>
          <w:p>
            <w:pPr>
              <w:spacing w:after="0"/>
              <w:rPr>
                <w:sz w:val="18"/>
                <w:szCs w:val="18"/>
                <w:color w:val="auto"/>
              </w:rPr>
            </w:pPr>
          </w:p>
        </w:tc>
        <w:tc>
          <w:tcPr>
            <w:tcW w:w="680" w:type="dxa"/>
            <w:vAlign w:val="bottom"/>
          </w:tcPr>
          <w:p>
            <w:pPr>
              <w:jc w:val="right"/>
              <w:ind w:right="137"/>
              <w:spacing w:after="0"/>
              <w:rPr>
                <w:sz w:val="20"/>
                <w:szCs w:val="20"/>
                <w:color w:val="auto"/>
              </w:rPr>
            </w:pPr>
            <w:r>
              <w:rPr>
                <w:rFonts w:ascii="Arial" w:cs="Arial" w:eastAsia="Arial" w:hAnsi="Arial"/>
                <w:sz w:val="18"/>
                <w:szCs w:val="18"/>
                <w:color w:val="auto"/>
                <w:w w:val="97"/>
              </w:rPr>
              <w:t>2,876</w:t>
            </w:r>
          </w:p>
        </w:tc>
        <w:tc>
          <w:tcPr>
            <w:tcW w:w="4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w w:val="84"/>
              </w:rPr>
              <w:t>1,972</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119</w:t>
            </w: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Noncash interest expense (income), net</w:t>
            </w:r>
          </w:p>
        </w:tc>
        <w:tc>
          <w:tcPr>
            <w:tcW w:w="520" w:type="dxa"/>
            <w:vAlign w:val="bottom"/>
          </w:tcPr>
          <w:p>
            <w:pPr>
              <w:spacing w:after="0"/>
              <w:rPr>
                <w:sz w:val="18"/>
                <w:szCs w:val="18"/>
                <w:color w:val="auto"/>
              </w:rPr>
            </w:pPr>
          </w:p>
        </w:tc>
        <w:tc>
          <w:tcPr>
            <w:tcW w:w="680" w:type="dxa"/>
            <w:vAlign w:val="bottom"/>
          </w:tcPr>
          <w:p>
            <w:pPr>
              <w:jc w:val="right"/>
              <w:ind w:right="137"/>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(32)</w:t>
            </w: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Cash received from investees</w:t>
            </w:r>
          </w:p>
        </w:tc>
        <w:tc>
          <w:tcPr>
            <w:tcW w:w="520" w:type="dxa"/>
            <w:vAlign w:val="bottom"/>
          </w:tcPr>
          <w:p>
            <w:pPr>
              <w:spacing w:after="0"/>
              <w:rPr>
                <w:sz w:val="18"/>
                <w:szCs w:val="18"/>
                <w:color w:val="auto"/>
              </w:rPr>
            </w:pPr>
          </w:p>
        </w:tc>
        <w:tc>
          <w:tcPr>
            <w:tcW w:w="680" w:type="dxa"/>
            <w:vAlign w:val="bottom"/>
          </w:tcPr>
          <w:p>
            <w:pPr>
              <w:jc w:val="right"/>
              <w:ind w:right="137"/>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(59)</w:t>
            </w: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680" w:type="dxa"/>
            <w:vAlign w:val="bottom"/>
          </w:tcPr>
          <w:p>
            <w:pPr>
              <w:jc w:val="right"/>
              <w:ind w:right="77"/>
              <w:spacing w:after="0"/>
              <w:rPr>
                <w:sz w:val="20"/>
                <w:szCs w:val="20"/>
                <w:color w:val="auto"/>
              </w:rPr>
            </w:pPr>
            <w:r>
              <w:rPr>
                <w:rFonts w:ascii="Arial" w:cs="Arial" w:eastAsia="Arial" w:hAnsi="Arial"/>
                <w:sz w:val="18"/>
                <w:szCs w:val="18"/>
                <w:color w:val="auto"/>
              </w:rPr>
              <w:t>(226)</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Change in current and noncurrent receivables, net</w:t>
            </w:r>
          </w:p>
        </w:tc>
        <w:tc>
          <w:tcPr>
            <w:tcW w:w="520" w:type="dxa"/>
            <w:vAlign w:val="bottom"/>
          </w:tcPr>
          <w:p>
            <w:pPr>
              <w:spacing w:after="0"/>
              <w:rPr>
                <w:sz w:val="18"/>
                <w:szCs w:val="18"/>
                <w:color w:val="auto"/>
              </w:rPr>
            </w:pPr>
          </w:p>
        </w:tc>
        <w:tc>
          <w:tcPr>
            <w:tcW w:w="680" w:type="dxa"/>
            <w:vAlign w:val="bottom"/>
          </w:tcPr>
          <w:p>
            <w:pPr>
              <w:jc w:val="right"/>
              <w:ind w:right="137"/>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film and television costs</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w w:val="87"/>
              </w:rPr>
              <w:t>(2,722)</w:t>
            </w:r>
          </w:p>
        </w:tc>
        <w:tc>
          <w:tcPr>
            <w:tcW w:w="9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520" w:type="dxa"/>
            <w:vAlign w:val="bottom"/>
          </w:tcPr>
          <w:p>
            <w:pPr>
              <w:spacing w:after="0"/>
              <w:rPr>
                <w:sz w:val="18"/>
                <w:szCs w:val="18"/>
                <w:color w:val="auto"/>
              </w:rPr>
            </w:pPr>
          </w:p>
        </w:tc>
        <w:tc>
          <w:tcPr>
            <w:tcW w:w="680" w:type="dxa"/>
            <w:vAlign w:val="bottom"/>
          </w:tcPr>
          <w:p>
            <w:pPr>
              <w:jc w:val="right"/>
              <w:ind w:right="137"/>
              <w:spacing w:after="0"/>
              <w:rPr>
                <w:sz w:val="20"/>
                <w:szCs w:val="20"/>
                <w:color w:val="auto"/>
              </w:rPr>
            </w:pPr>
            <w:r>
              <w:rPr>
                <w:rFonts w:ascii="Arial" w:cs="Arial" w:eastAsia="Arial" w:hAnsi="Arial"/>
                <w:sz w:val="18"/>
                <w:szCs w:val="18"/>
                <w:color w:val="auto"/>
              </w:rPr>
              <w:t>82</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285</w:t>
            </w: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7"/>
        </w:trPr>
        <w:tc>
          <w:tcPr>
            <w:tcW w:w="9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8"/>
                <w:szCs w:val="18"/>
                <w:b w:val="1"/>
                <w:bCs w:val="1"/>
                <w:color w:val="auto"/>
              </w:rPr>
              <w:t>$ 4,486</w:t>
            </w:r>
          </w:p>
        </w:tc>
        <w:tc>
          <w:tcPr>
            <w:tcW w:w="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b w:val="1"/>
                <w:bCs w:val="1"/>
                <w:color w:val="auto"/>
              </w:rPr>
              <w:t>$ 4,369</w:t>
            </w:r>
          </w:p>
        </w:tc>
        <w:tc>
          <w:tcPr>
            <w:tcW w:w="0" w:type="dxa"/>
            <w:vAlign w:val="bottom"/>
          </w:tcPr>
          <w:p>
            <w:pPr>
              <w:spacing w:after="0"/>
              <w:rPr>
                <w:sz w:val="1"/>
                <w:szCs w:val="1"/>
                <w:color w:val="auto"/>
              </w:rPr>
            </w:pPr>
          </w:p>
        </w:tc>
      </w:tr>
      <w:tr>
        <w:trPr>
          <w:trHeight w:val="403"/>
        </w:trPr>
        <w:tc>
          <w:tcPr>
            <w:tcW w:w="9240" w:type="dxa"/>
            <w:vAlign w:val="bottom"/>
            <w:gridSpan w:val="2"/>
          </w:tcPr>
          <w:p>
            <w:pPr>
              <w:jc w:val="center"/>
              <w:ind w:left="2095"/>
              <w:spacing w:after="0"/>
              <w:rPr>
                <w:sz w:val="20"/>
                <w:szCs w:val="20"/>
                <w:color w:val="auto"/>
              </w:rPr>
            </w:pPr>
            <w:r>
              <w:rPr>
                <w:rFonts w:ascii="Arial" w:cs="Arial" w:eastAsia="Arial" w:hAnsi="Arial"/>
                <w:sz w:val="18"/>
                <w:szCs w:val="18"/>
                <w:b w:val="1"/>
                <w:bCs w:val="1"/>
                <w:color w:val="auto"/>
                <w:w w:val="96"/>
              </w:rPr>
              <w:t>Cash Payments for Interest and Income Taxes</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gridSpan w:val="3"/>
          </w:tcPr>
          <w:p>
            <w:pPr>
              <w:jc w:val="center"/>
              <w:ind w:right="33"/>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9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left="277"/>
              <w:spacing w:after="0" w:line="159" w:lineRule="exact"/>
              <w:rPr>
                <w:sz w:val="20"/>
                <w:szCs w:val="20"/>
                <w:color w:val="auto"/>
              </w:rPr>
            </w:pPr>
            <w:r>
              <w:rPr>
                <w:rFonts w:ascii="Arial" w:cs="Arial" w:eastAsia="Arial" w:hAnsi="Arial"/>
                <w:sz w:val="14"/>
                <w:szCs w:val="14"/>
                <w:color w:val="auto"/>
                <w:w w:val="89"/>
              </w:rPr>
              <w:t>March 31</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w w:val="96"/>
              </w:rPr>
              <w:t>2014</w:t>
            </w: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520" w:type="dxa"/>
            <w:vAlign w:val="bottom"/>
            <w:shd w:val="clear" w:color="auto" w:fill="E5E5E5"/>
          </w:tcPr>
          <w:p>
            <w:pPr>
              <w:ind w:left="44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623</w:t>
            </w:r>
          </w:p>
        </w:tc>
        <w:tc>
          <w:tcPr>
            <w:tcW w:w="480" w:type="dxa"/>
            <w:vAlign w:val="bottom"/>
            <w:shd w:val="clear" w:color="auto" w:fill="E5E5E5"/>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52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186</w:t>
            </w:r>
          </w:p>
        </w:tc>
        <w:tc>
          <w:tcPr>
            <w:tcW w:w="4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356"/>
        </w:trPr>
        <w:tc>
          <w:tcPr>
            <w:tcW w:w="9120" w:type="dxa"/>
            <w:vAlign w:val="bottom"/>
          </w:tcPr>
          <w:p>
            <w:pPr>
              <w:jc w:val="center"/>
              <w:ind w:left="2235"/>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2014:</w:t>
      </w:r>
    </w:p>
    <w:p>
      <w:pPr>
        <w:spacing w:after="0" w:line="77" w:lineRule="exact"/>
        <w:rPr>
          <w:sz w:val="20"/>
          <w:szCs w:val="20"/>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$741 million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a liability of $585 million for a quarterly cash dividend of $0.225 per common share paid in April 2014</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used $1.5 billion of equity securities to settle our obligations under prepaid forward sale agreements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In June 2012, the U.S. Supreme Court granted our petition to review the Third Circuit Court of Appeals’ ruling and in March 2013, the Supreme Court ruled that the class had been improperly certified and reversed the judgment of the Third Circuit. The matter has been returned to the District Court for action consistent with the Supreme Court’s opinion. In August 2013, the plaintiffs in the Philadelphia Cluster case moved to certify a new, smaller class. The District Court denied our September 2013 motion to strike the plaintiffs’ motion on procedural grounds. In April 2014, the District Court granted our unopposed motion to de-certify the Chicago class and the plaintiffs’ unopposed motion to amend the Pennsylvania case so as to dismiss claims relating to the Chicago cluster.</w:t>
      </w:r>
    </w:p>
    <w:p>
      <w:pPr>
        <w:spacing w:after="0" w:line="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plaintiffs’ claims and to stay the remaining claims pending arbitration. 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June 2013, a comprehensive settlement agreement for all 23 cases was submitted to the District Court for preliminary approval. Regardless of whether this settlement agreement is approved, we do not expect these cases to have a material effect on our results of operations, cash flows or financial position.</w:t>
      </w:r>
    </w:p>
    <w:p>
      <w:pPr>
        <w:spacing w:after="0" w:line="2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believe the claims in each of the pending actions described above in this item are without merit, except as otherwise set forth above, and intend to defend the actions vigorously. We cannot predict the outcome of any of the actions described above, including a range of possible loss, or how the final resolution of any such actions would impact our results of operations or cash flows for any one period or our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costly and injure our reputation.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jc w:val="both"/>
        <w:ind w:left="1020" w:right="1240" w:hanging="215"/>
        <w:spacing w:after="0" w:line="262" w:lineRule="auto"/>
        <w:tabs>
          <w:tab w:leader="none" w:pos="10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the nation’s largest provider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(“cable services”) to residential customers under the XFINITY brand, and we also provide similar services to businesses and sell advertising.</w:t>
      </w:r>
    </w:p>
    <w:p>
      <w:pPr>
        <w:spacing w:after="0" w:line="37" w:lineRule="exact"/>
        <w:rPr>
          <w:rFonts w:ascii="Arial" w:cs="Arial" w:eastAsia="Arial" w:hAnsi="Arial"/>
          <w:sz w:val="18"/>
          <w:szCs w:val="18"/>
          <w:b w:val="1"/>
          <w:bCs w:val="1"/>
          <w:color w:val="auto"/>
        </w:rPr>
      </w:pPr>
    </w:p>
    <w:p>
      <w:pPr>
        <w:ind w:left="1020" w:right="1260" w:hanging="215"/>
        <w:spacing w:after="0" w:line="275" w:lineRule="auto"/>
        <w:tabs>
          <w:tab w:leader="none" w:pos="10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our cable television production operations.</w:t>
      </w:r>
    </w:p>
    <w:p>
      <w:pPr>
        <w:spacing w:after="0" w:line="25" w:lineRule="exact"/>
        <w:rPr>
          <w:rFonts w:ascii="Arial" w:cs="Arial" w:eastAsia="Arial" w:hAnsi="Arial"/>
          <w:sz w:val="18"/>
          <w:szCs w:val="18"/>
          <w:b w:val="1"/>
          <w:bCs w:val="1"/>
          <w:color w:val="auto"/>
        </w:rPr>
      </w:pPr>
    </w:p>
    <w:p>
      <w:pPr>
        <w:ind w:left="1020" w:right="1260" w:hanging="215"/>
        <w:spacing w:after="0" w:line="275" w:lineRule="auto"/>
        <w:tabs>
          <w:tab w:leader="none" w:pos="10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production operations.</w:t>
      </w:r>
    </w:p>
    <w:p>
      <w:pPr>
        <w:spacing w:after="0" w:line="25" w:lineRule="exact"/>
        <w:rPr>
          <w:rFonts w:ascii="Arial" w:cs="Arial" w:eastAsia="Arial" w:hAnsi="Arial"/>
          <w:sz w:val="18"/>
          <w:szCs w:val="18"/>
          <w:b w:val="1"/>
          <w:bCs w:val="1"/>
          <w:color w:val="auto"/>
        </w:rPr>
      </w:pPr>
    </w:p>
    <w:p>
      <w:pPr>
        <w:ind w:left="1020" w:right="1240" w:hanging="215"/>
        <w:spacing w:after="0" w:line="275" w:lineRule="auto"/>
        <w:tabs>
          <w:tab w:leader="none" w:pos="10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b w:val="1"/>
          <w:bCs w:val="1"/>
          <w:color w:val="auto"/>
        </w:rPr>
      </w:pPr>
    </w:p>
    <w:p>
      <w:pPr>
        <w:ind w:left="1020" w:hanging="215"/>
        <w:spacing w:after="0"/>
        <w:tabs>
          <w:tab w:leader="none" w:pos="10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color w:val="auto"/>
              </w:rPr>
              <w:t>Three Months Ended March 31, 2014</w:t>
            </w: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6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Operating Income (Loss)</w:t>
            </w:r>
          </w:p>
        </w:tc>
        <w:tc>
          <w:tcPr>
            <w:tcW w:w="152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Depreciation</w:t>
            </w:r>
          </w:p>
        </w:tc>
        <w:tc>
          <w:tcPr>
            <w:tcW w:w="1100" w:type="dxa"/>
            <w:vAlign w:val="bottom"/>
          </w:tcPr>
          <w:p>
            <w:pPr>
              <w:jc w:val="center"/>
              <w:ind w:right="117"/>
              <w:spacing w:after="0" w:line="131" w:lineRule="exact"/>
              <w:rPr>
                <w:sz w:val="20"/>
                <w:szCs w:val="20"/>
                <w:color w:val="auto"/>
              </w:rPr>
            </w:pPr>
            <w:r>
              <w:rPr>
                <w:rFonts w:ascii="Arial" w:cs="Arial" w:eastAsia="Arial" w:hAnsi="Arial"/>
                <w:sz w:val="14"/>
                <w:szCs w:val="14"/>
                <w:color w:val="auto"/>
                <w:w w:val="87"/>
              </w:rPr>
              <w:t>Operating</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1560" w:type="dxa"/>
            <w:vAlign w:val="bottom"/>
            <w:vMerge w:val="restart"/>
          </w:tcPr>
          <w:p>
            <w:pPr>
              <w:jc w:val="right"/>
              <w:ind w:right="27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060" w:type="dxa"/>
            <w:vAlign w:val="bottom"/>
            <w:gridSpan w:val="2"/>
          </w:tcPr>
          <w:p>
            <w:pPr>
              <w:ind w:left="320"/>
              <w:spacing w:after="0" w:line="146"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2"/>
                <w:szCs w:val="12"/>
                <w:color w:val="auto"/>
              </w:rPr>
            </w:pPr>
          </w:p>
        </w:tc>
        <w:tc>
          <w:tcPr>
            <w:tcW w:w="1020" w:type="dxa"/>
            <w:vAlign w:val="bottom"/>
          </w:tcPr>
          <w:p>
            <w:pPr>
              <w:jc w:val="right"/>
              <w:ind w:right="634"/>
              <w:spacing w:after="0" w:line="146" w:lineRule="exact"/>
              <w:rPr>
                <w:sz w:val="20"/>
                <w:szCs w:val="20"/>
                <w:color w:val="auto"/>
              </w:rPr>
            </w:pPr>
            <w:r>
              <w:rPr>
                <w:rFonts w:ascii="Arial" w:cs="Arial" w:eastAsia="Arial" w:hAnsi="Arial"/>
                <w:sz w:val="14"/>
                <w:szCs w:val="14"/>
                <w:color w:val="auto"/>
              </w:rPr>
              <w:t>and</w:t>
            </w:r>
          </w:p>
        </w:tc>
        <w:tc>
          <w:tcPr>
            <w:tcW w:w="1100" w:type="dxa"/>
            <w:vAlign w:val="bottom"/>
          </w:tcPr>
          <w:p>
            <w:pPr>
              <w:jc w:val="center"/>
              <w:ind w:right="97"/>
              <w:spacing w:after="0" w:line="146" w:lineRule="exact"/>
              <w:rPr>
                <w:sz w:val="20"/>
                <w:szCs w:val="20"/>
                <w:color w:val="auto"/>
              </w:rPr>
            </w:pPr>
            <w:r>
              <w:rPr>
                <w:rFonts w:ascii="Arial" w:cs="Arial" w:eastAsia="Arial" w:hAnsi="Arial"/>
                <w:sz w:val="14"/>
                <w:szCs w:val="14"/>
                <w:color w:val="auto"/>
                <w:w w:val="87"/>
              </w:rPr>
              <w:t>Income</w:t>
            </w:r>
          </w:p>
        </w:tc>
        <w:tc>
          <w:tcPr>
            <w:tcW w:w="460" w:type="dxa"/>
            <w:vAlign w:val="bottom"/>
          </w:tcPr>
          <w:p>
            <w:pPr>
              <w:spacing w:after="0"/>
              <w:rPr>
                <w:sz w:val="12"/>
                <w:szCs w:val="12"/>
                <w:color w:val="auto"/>
              </w:rPr>
            </w:pPr>
          </w:p>
        </w:tc>
        <w:tc>
          <w:tcPr>
            <w:tcW w:w="640" w:type="dxa"/>
            <w:vAlign w:val="bottom"/>
          </w:tcPr>
          <w:p>
            <w:pPr>
              <w:jc w:val="right"/>
              <w:ind w:right="134"/>
              <w:spacing w:after="0" w:line="146"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5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Amortization</w:t>
            </w: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92"/>
              </w:rPr>
              <w:t>(Loss)</w:t>
            </w: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w w:val="90"/>
              </w:rPr>
              <w:t>Expenditures</w:t>
            </w:r>
          </w:p>
        </w:tc>
        <w:tc>
          <w:tcPr>
            <w:tcW w:w="0" w:type="dxa"/>
            <w:vAlign w:val="bottom"/>
          </w:tcPr>
          <w:p>
            <w:pPr>
              <w:spacing w:after="0"/>
              <w:rPr>
                <w:sz w:val="1"/>
                <w:szCs w:val="1"/>
                <w:color w:val="auto"/>
              </w:rPr>
            </w:pPr>
          </w:p>
        </w:tc>
      </w:tr>
      <w:tr>
        <w:trPr>
          <w:trHeight w:val="210"/>
        </w:trPr>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$ 10,757</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4,400</w:t>
            </w:r>
          </w:p>
        </w:tc>
        <w:tc>
          <w:tcPr>
            <w:tcW w:w="50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1,584</w:t>
            </w:r>
          </w:p>
        </w:tc>
        <w:tc>
          <w:tcPr>
            <w:tcW w:w="110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$ 2,816</w:t>
            </w:r>
          </w:p>
        </w:tc>
        <w:tc>
          <w:tcPr>
            <w:tcW w:w="460" w:type="dxa"/>
            <w:vAlign w:val="bottom"/>
            <w:shd w:val="clear" w:color="auto" w:fill="E5E5E5"/>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NBCUniversal</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5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2,505</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895</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189</w:t>
            </w:r>
          </w:p>
        </w:tc>
        <w:tc>
          <w:tcPr>
            <w:tcW w:w="110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706</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2,621</w:t>
            </w:r>
          </w:p>
        </w:tc>
        <w:tc>
          <w:tcPr>
            <w:tcW w:w="50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122</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27</w:t>
            </w:r>
          </w:p>
        </w:tc>
        <w:tc>
          <w:tcPr>
            <w:tcW w:w="1100" w:type="dxa"/>
            <w:vAlign w:val="bottom"/>
          </w:tcPr>
          <w:p>
            <w:pPr>
              <w:jc w:val="right"/>
              <w:ind w:right="297"/>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15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1,351</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288</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5</w:t>
            </w:r>
          </w:p>
        </w:tc>
        <w:tc>
          <w:tcPr>
            <w:tcW w:w="110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283</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487</w:t>
            </w:r>
          </w:p>
        </w:tc>
        <w:tc>
          <w:tcPr>
            <w:tcW w:w="50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170</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69</w:t>
            </w:r>
          </w:p>
        </w:tc>
        <w:tc>
          <w:tcPr>
            <w:tcW w:w="1100" w:type="dxa"/>
            <w:vAlign w:val="bottom"/>
          </w:tcPr>
          <w:p>
            <w:pPr>
              <w:jc w:val="right"/>
              <w:ind w:right="297"/>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15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2</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(163)</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75</w:t>
            </w:r>
          </w:p>
        </w:tc>
        <w:tc>
          <w:tcPr>
            <w:tcW w:w="11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(238)</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(90)</w:t>
            </w: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6,876</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1,311</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365</w:t>
            </w:r>
          </w:p>
        </w:tc>
        <w:tc>
          <w:tcPr>
            <w:tcW w:w="110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946</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Corporate and Other</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174</w:t>
            </w:r>
          </w:p>
        </w:tc>
        <w:tc>
          <w:tcPr>
            <w:tcW w:w="50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21</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(174)</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56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(399)</w:t>
            </w:r>
          </w:p>
        </w:tc>
        <w:tc>
          <w:tcPr>
            <w:tcW w:w="50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(20)</w:t>
            </w:r>
          </w:p>
        </w:tc>
        <w:tc>
          <w:tcPr>
            <w:tcW w:w="5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E5E5E5"/>
          </w:tcPr>
          <w:p>
            <w:pPr>
              <w:jc w:val="right"/>
              <w:ind w:right="237"/>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$ 17,408</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5,538</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1,970</w:t>
            </w: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$ 3,568</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1,448</w:t>
            </w:r>
          </w:p>
        </w:tc>
        <w:tc>
          <w:tcPr>
            <w:tcW w:w="0" w:type="dxa"/>
            <w:vAlign w:val="bottom"/>
          </w:tcPr>
          <w:p>
            <w:pPr>
              <w:spacing w:after="0"/>
              <w:rPr>
                <w:sz w:val="1"/>
                <w:szCs w:val="1"/>
                <w:color w:val="auto"/>
              </w:rPr>
            </w:pPr>
          </w:p>
        </w:tc>
      </w:tr>
      <w:tr>
        <w:trPr>
          <w:trHeight w:val="284"/>
        </w:trPr>
        <w:tc>
          <w:tcPr>
            <w:tcW w:w="408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color w:val="auto"/>
              </w:rPr>
              <w:t>Three Months Ended March 31, 2013</w:t>
            </w: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6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Operating Income (Loss)</w:t>
            </w:r>
          </w:p>
        </w:tc>
        <w:tc>
          <w:tcPr>
            <w:tcW w:w="152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Depreciation</w:t>
            </w:r>
          </w:p>
        </w:tc>
        <w:tc>
          <w:tcPr>
            <w:tcW w:w="1100" w:type="dxa"/>
            <w:vAlign w:val="bottom"/>
          </w:tcPr>
          <w:p>
            <w:pPr>
              <w:jc w:val="center"/>
              <w:ind w:right="117"/>
              <w:spacing w:after="0" w:line="131" w:lineRule="exact"/>
              <w:rPr>
                <w:sz w:val="20"/>
                <w:szCs w:val="20"/>
                <w:color w:val="auto"/>
              </w:rPr>
            </w:pPr>
            <w:r>
              <w:rPr>
                <w:rFonts w:ascii="Arial" w:cs="Arial" w:eastAsia="Arial" w:hAnsi="Arial"/>
                <w:sz w:val="14"/>
                <w:szCs w:val="14"/>
                <w:color w:val="auto"/>
                <w:w w:val="87"/>
              </w:rPr>
              <w:t>Operating</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80" w:type="dxa"/>
            <w:vAlign w:val="bottom"/>
          </w:tcPr>
          <w:p>
            <w:pPr>
              <w:spacing w:after="0"/>
              <w:rPr>
                <w:sz w:val="11"/>
                <w:szCs w:val="11"/>
                <w:color w:val="auto"/>
              </w:rPr>
            </w:pPr>
          </w:p>
        </w:tc>
        <w:tc>
          <w:tcPr>
            <w:tcW w:w="1560" w:type="dxa"/>
            <w:vAlign w:val="bottom"/>
            <w:vMerge w:val="restart"/>
          </w:tcPr>
          <w:p>
            <w:pPr>
              <w:jc w:val="right"/>
              <w:ind w:right="27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06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1"/>
                <w:szCs w:val="11"/>
                <w:color w:val="auto"/>
              </w:rPr>
            </w:pPr>
          </w:p>
        </w:tc>
        <w:tc>
          <w:tcPr>
            <w:tcW w:w="1020" w:type="dxa"/>
            <w:vAlign w:val="bottom"/>
          </w:tcPr>
          <w:p>
            <w:pPr>
              <w:jc w:val="right"/>
              <w:ind w:right="634"/>
              <w:spacing w:after="0" w:line="133" w:lineRule="exact"/>
              <w:rPr>
                <w:sz w:val="20"/>
                <w:szCs w:val="20"/>
                <w:color w:val="auto"/>
              </w:rPr>
            </w:pPr>
            <w:r>
              <w:rPr>
                <w:rFonts w:ascii="Arial" w:cs="Arial" w:eastAsia="Arial" w:hAnsi="Arial"/>
                <w:sz w:val="14"/>
                <w:szCs w:val="14"/>
                <w:color w:val="auto"/>
              </w:rPr>
              <w:t>and</w:t>
            </w:r>
          </w:p>
        </w:tc>
        <w:tc>
          <w:tcPr>
            <w:tcW w:w="1100" w:type="dxa"/>
            <w:vAlign w:val="bottom"/>
          </w:tcPr>
          <w:p>
            <w:pPr>
              <w:jc w:val="center"/>
              <w:ind w:right="97"/>
              <w:spacing w:after="0" w:line="133" w:lineRule="exact"/>
              <w:rPr>
                <w:sz w:val="20"/>
                <w:szCs w:val="20"/>
                <w:color w:val="auto"/>
              </w:rPr>
            </w:pPr>
            <w:r>
              <w:rPr>
                <w:rFonts w:ascii="Arial" w:cs="Arial" w:eastAsia="Arial" w:hAnsi="Arial"/>
                <w:sz w:val="14"/>
                <w:szCs w:val="14"/>
                <w:color w:val="auto"/>
                <w:w w:val="87"/>
              </w:rPr>
              <w:t>Income</w:t>
            </w:r>
          </w:p>
        </w:tc>
        <w:tc>
          <w:tcPr>
            <w:tcW w:w="460" w:type="dxa"/>
            <w:vAlign w:val="bottom"/>
          </w:tcPr>
          <w:p>
            <w:pPr>
              <w:spacing w:after="0"/>
              <w:rPr>
                <w:sz w:val="11"/>
                <w:szCs w:val="11"/>
                <w:color w:val="auto"/>
              </w:rPr>
            </w:pPr>
          </w:p>
        </w:tc>
        <w:tc>
          <w:tcPr>
            <w:tcW w:w="640" w:type="dxa"/>
            <w:vAlign w:val="bottom"/>
          </w:tcPr>
          <w:p>
            <w:pPr>
              <w:jc w:val="right"/>
              <w:ind w:right="13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15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Amortization</w:t>
            </w: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92"/>
              </w:rPr>
              <w:t>(Loss)</w:t>
            </w: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w w:val="90"/>
              </w:rPr>
              <w:t>Expenditures</w:t>
            </w:r>
          </w:p>
        </w:tc>
        <w:tc>
          <w:tcPr>
            <w:tcW w:w="0" w:type="dxa"/>
            <w:vAlign w:val="bottom"/>
          </w:tcPr>
          <w:p>
            <w:pPr>
              <w:spacing w:after="0"/>
              <w:rPr>
                <w:sz w:val="1"/>
                <w:szCs w:val="1"/>
                <w:color w:val="auto"/>
              </w:rPr>
            </w:pPr>
          </w:p>
        </w:tc>
      </w:tr>
      <w:tr>
        <w:trPr>
          <w:trHeight w:val="210"/>
        </w:trPr>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$ 10,217</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4,219</w:t>
            </w:r>
          </w:p>
        </w:tc>
        <w:tc>
          <w:tcPr>
            <w:tcW w:w="50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1,608</w:t>
            </w:r>
          </w:p>
        </w:tc>
        <w:tc>
          <w:tcPr>
            <w:tcW w:w="110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$ 2,611</w:t>
            </w:r>
          </w:p>
        </w:tc>
        <w:tc>
          <w:tcPr>
            <w:tcW w:w="460" w:type="dxa"/>
            <w:vAlign w:val="bottom"/>
            <w:shd w:val="clear" w:color="auto" w:fill="E5E5E5"/>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NBCUniversal</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5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2,225</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859</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184</w:t>
            </w:r>
          </w:p>
        </w:tc>
        <w:tc>
          <w:tcPr>
            <w:tcW w:w="110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675</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1,517</w:t>
            </w:r>
          </w:p>
        </w:tc>
        <w:tc>
          <w:tcPr>
            <w:tcW w:w="50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25</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15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1,216</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69</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4</w:t>
            </w:r>
          </w:p>
        </w:tc>
        <w:tc>
          <w:tcPr>
            <w:tcW w:w="110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65</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462</w:t>
            </w:r>
          </w:p>
        </w:tc>
        <w:tc>
          <w:tcPr>
            <w:tcW w:w="50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173</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72</w:t>
            </w:r>
          </w:p>
        </w:tc>
        <w:tc>
          <w:tcPr>
            <w:tcW w:w="1100" w:type="dxa"/>
            <w:vAlign w:val="bottom"/>
          </w:tcPr>
          <w:p>
            <w:pPr>
              <w:jc w:val="right"/>
              <w:ind w:right="297"/>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15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9</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(112)</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59</w:t>
            </w:r>
          </w:p>
        </w:tc>
        <w:tc>
          <w:tcPr>
            <w:tcW w:w="11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(171)</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(89)</w:t>
            </w: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5,340</w:t>
            </w:r>
          </w:p>
        </w:tc>
        <w:tc>
          <w:tcPr>
            <w:tcW w:w="5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953</w:t>
            </w:r>
          </w:p>
        </w:tc>
        <w:tc>
          <w:tcPr>
            <w:tcW w:w="5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344</w:t>
            </w:r>
          </w:p>
        </w:tc>
        <w:tc>
          <w:tcPr>
            <w:tcW w:w="110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609</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Corporate and Other</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162</w:t>
            </w:r>
          </w:p>
        </w:tc>
        <w:tc>
          <w:tcPr>
            <w:tcW w:w="50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(98)</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56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(409)</w:t>
            </w:r>
          </w:p>
        </w:tc>
        <w:tc>
          <w:tcPr>
            <w:tcW w:w="50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(55)</w:t>
            </w:r>
          </w:p>
        </w:tc>
        <w:tc>
          <w:tcPr>
            <w:tcW w:w="5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E5E5E5"/>
          </w:tcPr>
          <w:p>
            <w:pPr>
              <w:jc w:val="right"/>
              <w:ind w:right="237"/>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$ 15,310</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5,034</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1,967</w:t>
            </w: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$ 3,067</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months ended March 31, 2014 and 2013, Cable Communications segment revenue was derived from the following sources:</w:t>
      </w:r>
    </w:p>
    <w:p>
      <w:pPr>
        <w:spacing w:after="0" w:line="55" w:lineRule="exact"/>
        <w:rPr>
          <w:sz w:val="20"/>
          <w:szCs w:val="20"/>
          <w:color w:val="auto"/>
        </w:rPr>
      </w:pPr>
    </w:p>
    <w:p>
      <w:pPr>
        <w:jc w:val="center"/>
        <w:ind w:left="8020"/>
        <w:spacing w:after="0"/>
        <w:rPr>
          <w:sz w:val="20"/>
          <w:szCs w:val="20"/>
          <w:color w:val="auto"/>
        </w:rPr>
      </w:pPr>
      <w:r>
        <w:rPr>
          <w:rFonts w:ascii="Arial" w:cs="Arial" w:eastAsia="Arial" w:hAnsi="Arial"/>
          <w:sz w:val="14"/>
          <w:szCs w:val="14"/>
          <w:color w:val="auto"/>
        </w:rPr>
        <w:t>Three Months Ended</w:t>
      </w:r>
    </w:p>
    <w:p>
      <w:pPr>
        <w:jc w:val="center"/>
        <w:ind w:left="802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-8255</wp:posOffset>
            </wp:positionV>
            <wp:extent cx="18611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4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2014</w:t>
            </w: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2013</w:t>
            </w:r>
          </w:p>
        </w:tc>
      </w:tr>
      <w:tr>
        <w:trPr>
          <w:trHeight w:val="142"/>
        </w:trPr>
        <w:tc>
          <w:tcPr>
            <w:tcW w:w="20" w:type="dxa"/>
            <w:vAlign w:val="bottom"/>
          </w:tcPr>
          <w:p>
            <w:pPr>
              <w:spacing w:after="0"/>
              <w:rPr>
                <w:sz w:val="12"/>
                <w:szCs w:val="12"/>
                <w:color w:val="auto"/>
              </w:rPr>
            </w:pPr>
          </w:p>
        </w:tc>
        <w:tc>
          <w:tcPr>
            <w:tcW w:w="48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436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Video</w:t>
            </w:r>
          </w:p>
        </w:tc>
        <w:tc>
          <w:tcPr>
            <w:tcW w:w="4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48.1%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r>
      <w:tr>
        <w:trPr>
          <w:trHeight w:val="149"/>
        </w:trPr>
        <w:tc>
          <w:tcPr>
            <w:tcW w:w="20" w:type="dxa"/>
            <w:vAlign w:val="bottom"/>
          </w:tcPr>
          <w:p>
            <w:pPr>
              <w:spacing w:after="0"/>
              <w:rPr>
                <w:sz w:val="12"/>
                <w:szCs w:val="12"/>
                <w:color w:val="auto"/>
              </w:rPr>
            </w:pPr>
          </w:p>
        </w:tc>
        <w:tc>
          <w:tcPr>
            <w:tcW w:w="4880" w:type="dxa"/>
            <w:vAlign w:val="bottom"/>
            <w:shd w:val="clear" w:color="auto" w:fill="E5E5E5"/>
          </w:tcPr>
          <w:p>
            <w:pPr>
              <w:ind w:left="420"/>
              <w:spacing w:after="0" w:line="149" w:lineRule="exact"/>
              <w:rPr>
                <w:sz w:val="20"/>
                <w:szCs w:val="20"/>
                <w:color w:val="auto"/>
              </w:rPr>
            </w:pPr>
            <w:r>
              <w:rPr>
                <w:rFonts w:ascii="Arial" w:cs="Arial" w:eastAsia="Arial" w:hAnsi="Arial"/>
                <w:sz w:val="14"/>
                <w:szCs w:val="14"/>
                <w:color w:val="auto"/>
              </w:rPr>
              <w:t>High-speed Internet</w:t>
            </w:r>
          </w:p>
        </w:tc>
        <w:tc>
          <w:tcPr>
            <w:tcW w:w="4360" w:type="dxa"/>
            <w:vAlign w:val="bottom"/>
            <w:shd w:val="clear" w:color="auto" w:fill="E5E5E5"/>
          </w:tcPr>
          <w:p>
            <w:pPr>
              <w:jc w:val="right"/>
              <w:ind w:right="372"/>
              <w:spacing w:after="0" w:line="149" w:lineRule="exact"/>
              <w:rPr>
                <w:sz w:val="20"/>
                <w:szCs w:val="20"/>
                <w:color w:val="auto"/>
              </w:rPr>
            </w:pPr>
            <w:r>
              <w:rPr>
                <w:rFonts w:ascii="Arial" w:cs="Arial" w:eastAsia="Arial" w:hAnsi="Arial"/>
                <w:sz w:val="14"/>
                <w:szCs w:val="14"/>
                <w:color w:val="auto"/>
              </w:rPr>
              <w:t>25.6%</w:t>
            </w:r>
          </w:p>
        </w:tc>
        <w:tc>
          <w:tcPr>
            <w:tcW w:w="10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24.7%</w:t>
            </w:r>
          </w:p>
        </w:tc>
      </w:tr>
      <w:tr>
        <w:trPr>
          <w:trHeight w:val="149"/>
        </w:trPr>
        <w:tc>
          <w:tcPr>
            <w:tcW w:w="20" w:type="dxa"/>
            <w:vAlign w:val="bottom"/>
          </w:tcPr>
          <w:p>
            <w:pPr>
              <w:spacing w:after="0"/>
              <w:rPr>
                <w:sz w:val="12"/>
                <w:szCs w:val="12"/>
                <w:color w:val="auto"/>
              </w:rPr>
            </w:pPr>
          </w:p>
        </w:tc>
        <w:tc>
          <w:tcPr>
            <w:tcW w:w="4880" w:type="dxa"/>
            <w:vAlign w:val="bottom"/>
          </w:tcPr>
          <w:p>
            <w:pPr>
              <w:ind w:left="420"/>
              <w:spacing w:after="0" w:line="149" w:lineRule="exact"/>
              <w:rPr>
                <w:sz w:val="20"/>
                <w:szCs w:val="20"/>
                <w:color w:val="auto"/>
              </w:rPr>
            </w:pPr>
            <w:r>
              <w:rPr>
                <w:rFonts w:ascii="Arial" w:cs="Arial" w:eastAsia="Arial" w:hAnsi="Arial"/>
                <w:sz w:val="14"/>
                <w:szCs w:val="14"/>
                <w:color w:val="auto"/>
              </w:rPr>
              <w:t>Voice</w:t>
            </w:r>
          </w:p>
        </w:tc>
        <w:tc>
          <w:tcPr>
            <w:tcW w:w="4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8.5%</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9"/>
        </w:trPr>
        <w:tc>
          <w:tcPr>
            <w:tcW w:w="20" w:type="dxa"/>
            <w:vAlign w:val="bottom"/>
          </w:tcPr>
          <w:p>
            <w:pPr>
              <w:spacing w:after="0"/>
              <w:rPr>
                <w:sz w:val="12"/>
                <w:szCs w:val="12"/>
                <w:color w:val="auto"/>
              </w:rPr>
            </w:pPr>
          </w:p>
        </w:tc>
        <w:tc>
          <w:tcPr>
            <w:tcW w:w="48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4360" w:type="dxa"/>
            <w:vAlign w:val="bottom"/>
            <w:shd w:val="clear" w:color="auto" w:fill="E5E5E5"/>
          </w:tcPr>
          <w:p>
            <w:pPr>
              <w:jc w:val="right"/>
              <w:ind w:right="372"/>
              <w:spacing w:after="0" w:line="149" w:lineRule="exact"/>
              <w:rPr>
                <w:sz w:val="20"/>
                <w:szCs w:val="20"/>
                <w:color w:val="auto"/>
              </w:rPr>
            </w:pPr>
            <w:r>
              <w:rPr>
                <w:rFonts w:ascii="Arial" w:cs="Arial" w:eastAsia="Arial" w:hAnsi="Arial"/>
                <w:sz w:val="14"/>
                <w:szCs w:val="14"/>
                <w:color w:val="auto"/>
              </w:rPr>
              <w:t>8.5%</w:t>
            </w:r>
          </w:p>
        </w:tc>
        <w:tc>
          <w:tcPr>
            <w:tcW w:w="10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7.2%</w:t>
            </w: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4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4.8%</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r>
      <w:tr>
        <w:trPr>
          <w:trHeight w:val="149"/>
        </w:trPr>
        <w:tc>
          <w:tcPr>
            <w:tcW w:w="20" w:type="dxa"/>
            <w:vAlign w:val="bottom"/>
          </w:tcPr>
          <w:p>
            <w:pPr>
              <w:spacing w:after="0"/>
              <w:rPr>
                <w:sz w:val="12"/>
                <w:szCs w:val="12"/>
                <w:color w:val="auto"/>
              </w:rPr>
            </w:pPr>
          </w:p>
        </w:tc>
        <w:tc>
          <w:tcPr>
            <w:tcW w:w="488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4360" w:type="dxa"/>
            <w:vAlign w:val="bottom"/>
            <w:tcBorders>
              <w:bottom w:val="single" w:sz="8" w:color="auto"/>
            </w:tcBorders>
            <w:shd w:val="clear" w:color="auto" w:fill="E5E5E5"/>
          </w:tcPr>
          <w:p>
            <w:pPr>
              <w:jc w:val="right"/>
              <w:ind w:right="372"/>
              <w:spacing w:after="0" w:line="149" w:lineRule="exact"/>
              <w:rPr>
                <w:sz w:val="20"/>
                <w:szCs w:val="20"/>
                <w:color w:val="auto"/>
              </w:rPr>
            </w:pPr>
            <w:r>
              <w:rPr>
                <w:rFonts w:ascii="Arial" w:cs="Arial" w:eastAsia="Arial" w:hAnsi="Arial"/>
                <w:sz w:val="14"/>
                <w:szCs w:val="14"/>
                <w:color w:val="auto"/>
              </w:rPr>
              <w:t>4.5%</w:t>
            </w:r>
          </w:p>
        </w:tc>
        <w:tc>
          <w:tcPr>
            <w:tcW w:w="10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49"/>
        </w:trPr>
        <w:tc>
          <w:tcPr>
            <w:tcW w:w="20" w:type="dxa"/>
            <w:vAlign w:val="bottom"/>
            <w:tcBorders>
              <w:bottom w:val="single" w:sz="8" w:color="auto"/>
            </w:tcBorders>
          </w:tcPr>
          <w:p>
            <w:pPr>
              <w:spacing w:after="0"/>
              <w:rPr>
                <w:sz w:val="12"/>
                <w:szCs w:val="12"/>
                <w:color w:val="auto"/>
              </w:rPr>
            </w:pPr>
          </w:p>
        </w:tc>
        <w:tc>
          <w:tcPr>
            <w:tcW w:w="48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436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color w:val="auto"/>
              </w:rPr>
              <w:t>100%</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the three months ended March 31, 2014 and 2013, 2.8% and 2.9%, respectively, of Cable Communications revenue was derived from franchise and other regulatory fees.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2" w:lineRule="exact"/>
        <w:rPr>
          <w:sz w:val="20"/>
          <w:szCs w:val="20"/>
          <w:color w:val="auto"/>
        </w:rPr>
      </w:pPr>
    </w:p>
    <w:p>
      <w:pPr>
        <w:jc w:val="both"/>
        <w:ind w:left="340" w:hanging="332"/>
        <w:spacing w:after="0" w:line="23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Beginning in 2014, Fandango, our movie ticketing and entertainment business that was previously presented in our Cable Networks segment, is now presented in the Filmed Entertainment segment to reflect the change in our management reporting presentation. Due to immateriality, prior period amounts have not been adjusted. The change in presentation resulted in the reclassification of $195 million of goodwill from our Cable Networks segment to our Filmed Entertainment segment.</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includes costs associated with overhead, allocations, personnel costs and headquarter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Corporation (“Comcast Parent”), our cable guarantors and NBCUniversal Media, LLC (referred to as “NBCUniversal Media Parent” in the tables below) have fully and unconditionally guaranteed each other’s debt securities. Comcast MO Group, CCH and Comcast MO of Delaware are collectively referred to as the “Combined CCHMO Parents.”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Parent and the cable guarantors also fully and unconditionally guarantee NBCUniversal Enterprise’s $4 billion aggregate principal amount of senior notes, its $1.35 billion credit facility due March 2018 and the associated commercial paper program. NBCUniversal Media Parent does not guarantee the NBCUniversal Enterprise senior notes, credit facility or commercial paper program.</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the cable guarantors nor NBCUniversal Media Parent guarantee the Comcast Holdings ZONES due October 2029. None of Comcast Parent, the cable guarantors nor NBCUniversal Media Parent guarantee the $62 million principal amount currently outstanding of Comcast Holdings’ ZONES due November 2029.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76"/>
              </w:rPr>
              <w:t>and</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4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9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Comcast</w:t>
            </w:r>
          </w:p>
        </w:tc>
        <w:tc>
          <w:tcPr>
            <w:tcW w:w="120" w:type="dxa"/>
            <w:vAlign w:val="bottom"/>
          </w:tcPr>
          <w:p>
            <w:pPr>
              <w:spacing w:after="0"/>
              <w:rPr>
                <w:sz w:val="12"/>
                <w:szCs w:val="12"/>
                <w:color w:val="auto"/>
              </w:rPr>
            </w:pPr>
          </w:p>
        </w:tc>
        <w:tc>
          <w:tcPr>
            <w:tcW w:w="70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CCCL</w:t>
            </w:r>
          </w:p>
        </w:tc>
        <w:tc>
          <w:tcPr>
            <w:tcW w:w="82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CCHMO</w:t>
            </w: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NBCUniversal</w:t>
            </w:r>
          </w:p>
        </w:tc>
        <w:tc>
          <w:tcPr>
            <w:tcW w:w="92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59"/>
        </w:trPr>
        <w:tc>
          <w:tcPr>
            <w:tcW w:w="39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3"/>
                <w:szCs w:val="13"/>
                <w:color w:val="auto"/>
              </w:rPr>
            </w:pPr>
          </w:p>
        </w:tc>
        <w:tc>
          <w:tcPr>
            <w:tcW w:w="600" w:type="dxa"/>
            <w:vAlign w:val="bottom"/>
          </w:tcPr>
          <w:p>
            <w:pPr>
              <w:jc w:val="right"/>
              <w:ind w:right="153"/>
              <w:spacing w:after="0" w:line="159" w:lineRule="exact"/>
              <w:rPr>
                <w:sz w:val="20"/>
                <w:szCs w:val="20"/>
                <w:color w:val="auto"/>
              </w:rPr>
            </w:pPr>
            <w:r>
              <w:rPr>
                <w:rFonts w:ascii="Arial" w:cs="Arial" w:eastAsia="Arial" w:hAnsi="Arial"/>
                <w:sz w:val="14"/>
                <w:szCs w:val="14"/>
                <w:color w:val="auto"/>
                <w:w w:val="82"/>
              </w:rPr>
              <w:t>Parent</w:t>
            </w:r>
          </w:p>
        </w:tc>
        <w:tc>
          <w:tcPr>
            <w:tcW w:w="92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Holdings</w:t>
            </w:r>
          </w:p>
        </w:tc>
        <w:tc>
          <w:tcPr>
            <w:tcW w:w="120" w:type="dxa"/>
            <w:vAlign w:val="bottom"/>
          </w:tcPr>
          <w:p>
            <w:pPr>
              <w:spacing w:after="0"/>
              <w:rPr>
                <w:sz w:val="13"/>
                <w:szCs w:val="13"/>
                <w:color w:val="auto"/>
              </w:rPr>
            </w:pPr>
          </w:p>
        </w:tc>
        <w:tc>
          <w:tcPr>
            <w:tcW w:w="700" w:type="dxa"/>
            <w:vAlign w:val="bottom"/>
          </w:tcPr>
          <w:p>
            <w:pPr>
              <w:jc w:val="right"/>
              <w:ind w:right="193"/>
              <w:spacing w:after="0" w:line="159" w:lineRule="exact"/>
              <w:rPr>
                <w:sz w:val="20"/>
                <w:szCs w:val="20"/>
                <w:color w:val="auto"/>
              </w:rPr>
            </w:pPr>
            <w:r>
              <w:rPr>
                <w:rFonts w:ascii="Arial" w:cs="Arial" w:eastAsia="Arial" w:hAnsi="Arial"/>
                <w:sz w:val="14"/>
                <w:szCs w:val="14"/>
                <w:color w:val="auto"/>
                <w:w w:val="96"/>
              </w:rPr>
              <w:t>Parent</w:t>
            </w:r>
          </w:p>
        </w:tc>
        <w:tc>
          <w:tcPr>
            <w:tcW w:w="220" w:type="dxa"/>
            <w:vAlign w:val="bottom"/>
          </w:tcPr>
          <w:p>
            <w:pPr>
              <w:spacing w:after="0"/>
              <w:rPr>
                <w:sz w:val="13"/>
                <w:szCs w:val="13"/>
                <w:color w:val="auto"/>
              </w:rPr>
            </w:pPr>
          </w:p>
        </w:tc>
        <w:tc>
          <w:tcPr>
            <w:tcW w:w="600" w:type="dxa"/>
            <w:vAlign w:val="bottom"/>
          </w:tcPr>
          <w:p>
            <w:pPr>
              <w:jc w:val="right"/>
              <w:ind w:right="113"/>
              <w:spacing w:after="0" w:line="159" w:lineRule="exact"/>
              <w:rPr>
                <w:sz w:val="20"/>
                <w:szCs w:val="20"/>
                <w:color w:val="auto"/>
              </w:rPr>
            </w:pPr>
            <w:r>
              <w:rPr>
                <w:rFonts w:ascii="Arial" w:cs="Arial" w:eastAsia="Arial" w:hAnsi="Arial"/>
                <w:sz w:val="14"/>
                <w:szCs w:val="14"/>
                <w:color w:val="auto"/>
                <w:w w:val="78"/>
              </w:rPr>
              <w:t>Parents</w:t>
            </w:r>
          </w:p>
        </w:tc>
        <w:tc>
          <w:tcPr>
            <w:tcW w:w="1060" w:type="dxa"/>
            <w:vAlign w:val="bottom"/>
            <w:gridSpan w:val="2"/>
          </w:tcPr>
          <w:p>
            <w:pPr>
              <w:jc w:val="right"/>
              <w:ind w:right="72"/>
              <w:spacing w:after="0" w:line="159" w:lineRule="exact"/>
              <w:rPr>
                <w:sz w:val="20"/>
                <w:szCs w:val="20"/>
                <w:color w:val="auto"/>
              </w:rPr>
            </w:pPr>
            <w:r>
              <w:rPr>
                <w:rFonts w:ascii="Arial" w:cs="Arial" w:eastAsia="Arial" w:hAnsi="Arial"/>
                <w:sz w:val="14"/>
                <w:szCs w:val="14"/>
                <w:color w:val="auto"/>
              </w:rPr>
              <w:t>Media Parent</w:t>
            </w:r>
          </w:p>
        </w:tc>
        <w:tc>
          <w:tcPr>
            <w:tcW w:w="92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99"/>
              </w:rPr>
              <w:t>Subsidiaries</w:t>
            </w:r>
          </w:p>
        </w:tc>
        <w:tc>
          <w:tcPr>
            <w:tcW w:w="10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2,548</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2,389</w:t>
            </w: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6,151</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1,328</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13,279</w:t>
            </w: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34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5,058</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21</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2,691</w:t>
            </w: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8"/>
              </w:rPr>
              <w:t>Investments in and amounts due from subsidiaries</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34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80,474</w:t>
            </w:r>
          </w:p>
        </w:tc>
        <w:tc>
          <w:tcPr>
            <w:tcW w:w="22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w w:val="83"/>
              </w:rPr>
              <w:t>99,606</w:t>
            </w:r>
          </w:p>
        </w:tc>
        <w:tc>
          <w:tcPr>
            <w:tcW w:w="12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w w:val="86"/>
              </w:rPr>
              <w:t>105,083</w:t>
            </w:r>
          </w:p>
        </w:tc>
        <w:tc>
          <w:tcPr>
            <w:tcW w:w="22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55,737</w:t>
            </w:r>
          </w:p>
        </w:tc>
        <w:tc>
          <w:tcPr>
            <w:tcW w:w="34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41,042</w:t>
            </w:r>
          </w:p>
        </w:tc>
        <w:tc>
          <w:tcPr>
            <w:tcW w:w="22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87,497</w:t>
            </w:r>
          </w:p>
        </w:tc>
        <w:tc>
          <w:tcPr>
            <w:tcW w:w="24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(469,439)</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29,375</w:t>
            </w: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Franchise rights</w:t>
            </w:r>
          </w:p>
        </w:tc>
        <w:tc>
          <w:tcPr>
            <w:tcW w:w="34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59,364</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27,103</w:t>
            </w: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17,135</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1,114</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1,937</w:t>
            </w:r>
          </w:p>
        </w:tc>
        <w:tc>
          <w:tcPr>
            <w:tcW w:w="2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(915)</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82,061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3"/>
              </w:rPr>
              <w:t>99,751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6"/>
              </w:rPr>
              <w:t>105,083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55,737</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42,056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6"/>
              </w:rPr>
              <w:t>243,439</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(470,354)</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157,773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w w:val="96"/>
              </w:rPr>
              <w:t>Accounts payable and accrued expenses related</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5,527</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1,256</w:t>
            </w: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1,430</w:t>
            </w:r>
          </w:p>
        </w:tc>
        <w:tc>
          <w:tcPr>
            <w:tcW w:w="2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5,761</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902</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1,017</w:t>
            </w:r>
          </w:p>
        </w:tc>
        <w:tc>
          <w:tcPr>
            <w:tcW w:w="2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2,337</w:t>
            </w:r>
          </w:p>
        </w:tc>
        <w:tc>
          <w:tcPr>
            <w:tcW w:w="2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13,561</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83"/>
              </w:rPr>
              <w:t>26,455</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1,504</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10,232</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4,433</w:t>
            </w: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31,553</w:t>
            </w:r>
          </w:p>
        </w:tc>
        <w:tc>
          <w:tcPr>
            <w:tcW w:w="24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2,001</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937</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8,312</w:t>
            </w: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11,109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2"/>
              </w:rPr>
              <w:t>Redeemable noncontrolling interests and redeemable</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4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51,238</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3"/>
              </w:rPr>
              <w:t>98,597</w:t>
            </w:r>
          </w:p>
        </w:tc>
        <w:tc>
          <w:tcPr>
            <w:tcW w:w="1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6"/>
              </w:rPr>
              <w:t>102,938</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54,212</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29,529</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6"/>
              </w:rPr>
              <w:t>184,163</w:t>
            </w:r>
          </w:p>
        </w:tc>
        <w:tc>
          <w:tcPr>
            <w:tcW w:w="2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(469,439)</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Comcast Corporation shareholders’ equity</w:t>
            </w:r>
          </w:p>
        </w:tc>
        <w:tc>
          <w:tcPr>
            <w:tcW w:w="34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51,268</w:t>
            </w:r>
          </w:p>
        </w:tc>
        <w:tc>
          <w:tcPr>
            <w:tcW w:w="22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w w:val="83"/>
              </w:rPr>
              <w:t>98,597</w:t>
            </w:r>
          </w:p>
        </w:tc>
        <w:tc>
          <w:tcPr>
            <w:tcW w:w="1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w w:val="86"/>
              </w:rPr>
              <w:t>102,938</w:t>
            </w:r>
          </w:p>
        </w:tc>
        <w:tc>
          <w:tcPr>
            <w:tcW w:w="22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54,212</w:t>
            </w:r>
          </w:p>
        </w:tc>
        <w:tc>
          <w:tcPr>
            <w:tcW w:w="34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29,529</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w w:val="86"/>
              </w:rPr>
              <w:t>184,163</w:t>
            </w:r>
          </w:p>
        </w:tc>
        <w:tc>
          <w:tcPr>
            <w:tcW w:w="24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(469,439)</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364</w:t>
            </w:r>
          </w:p>
        </w:tc>
        <w:tc>
          <w:tcPr>
            <w:tcW w:w="2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51,268</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3"/>
              </w:rPr>
              <w:t>98,597</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6"/>
              </w:rPr>
              <w:t>102,938</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54,212</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29,529</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6"/>
              </w:rPr>
              <w:t>184,527</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(469,439)</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3"/>
              </w:rPr>
              <w:t>82,061</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3"/>
              </w:rPr>
              <w:t>99,751</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6"/>
              </w:rPr>
              <w:t>105,083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3"/>
              </w:rPr>
              <w:t>55,737</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42,056</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6"/>
              </w:rPr>
              <w:t>243,439</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(470,354)</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9"/>
              </w:rPr>
              <w:t>157,773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6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85"/>
              </w:rPr>
              <w:t>and</w:t>
            </w: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Comcast</w:t>
            </w: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72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00" w:type="dxa"/>
            <w:vAlign w:val="bottom"/>
          </w:tcPr>
          <w:p>
            <w:pPr>
              <w:jc w:val="right"/>
              <w:ind w:right="11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59"/>
        </w:trPr>
        <w:tc>
          <w:tcPr>
            <w:tcW w:w="37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3"/>
                <w:szCs w:val="13"/>
                <w:color w:val="auto"/>
              </w:rPr>
            </w:pPr>
          </w:p>
        </w:tc>
        <w:tc>
          <w:tcPr>
            <w:tcW w:w="620" w:type="dxa"/>
            <w:vAlign w:val="bottom"/>
          </w:tcPr>
          <w:p>
            <w:pPr>
              <w:jc w:val="right"/>
              <w:ind w:right="173"/>
              <w:spacing w:after="0" w:line="159" w:lineRule="exact"/>
              <w:rPr>
                <w:sz w:val="20"/>
                <w:szCs w:val="20"/>
                <w:color w:val="auto"/>
              </w:rPr>
            </w:pPr>
            <w:r>
              <w:rPr>
                <w:rFonts w:ascii="Arial" w:cs="Arial" w:eastAsia="Arial" w:hAnsi="Arial"/>
                <w:sz w:val="14"/>
                <w:szCs w:val="14"/>
                <w:color w:val="auto"/>
                <w:w w:val="82"/>
              </w:rPr>
              <w:t>Parent</w:t>
            </w:r>
          </w:p>
        </w:tc>
        <w:tc>
          <w:tcPr>
            <w:tcW w:w="86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Holdings</w:t>
            </w:r>
          </w:p>
        </w:tc>
        <w:tc>
          <w:tcPr>
            <w:tcW w:w="240" w:type="dxa"/>
            <w:vAlign w:val="bottom"/>
          </w:tcPr>
          <w:p>
            <w:pPr>
              <w:spacing w:after="0"/>
              <w:rPr>
                <w:sz w:val="13"/>
                <w:szCs w:val="13"/>
                <w:color w:val="auto"/>
              </w:rPr>
            </w:pPr>
          </w:p>
        </w:tc>
        <w:tc>
          <w:tcPr>
            <w:tcW w:w="720" w:type="dxa"/>
            <w:vAlign w:val="bottom"/>
          </w:tcPr>
          <w:p>
            <w:pPr>
              <w:jc w:val="right"/>
              <w:ind w:right="213"/>
              <w:spacing w:after="0" w:line="159" w:lineRule="exact"/>
              <w:rPr>
                <w:sz w:val="20"/>
                <w:szCs w:val="20"/>
                <w:color w:val="auto"/>
              </w:rPr>
            </w:pPr>
            <w:r>
              <w:rPr>
                <w:rFonts w:ascii="Arial" w:cs="Arial" w:eastAsia="Arial" w:hAnsi="Arial"/>
                <w:sz w:val="14"/>
                <w:szCs w:val="14"/>
                <w:color w:val="auto"/>
                <w:w w:val="96"/>
              </w:rPr>
              <w:t>Parent</w:t>
            </w:r>
          </w:p>
        </w:tc>
        <w:tc>
          <w:tcPr>
            <w:tcW w:w="240" w:type="dxa"/>
            <w:vAlign w:val="bottom"/>
          </w:tcPr>
          <w:p>
            <w:pPr>
              <w:spacing w:after="0"/>
              <w:rPr>
                <w:sz w:val="13"/>
                <w:szCs w:val="13"/>
                <w:color w:val="auto"/>
              </w:rPr>
            </w:pPr>
          </w:p>
        </w:tc>
        <w:tc>
          <w:tcPr>
            <w:tcW w:w="620" w:type="dxa"/>
            <w:vAlign w:val="bottom"/>
          </w:tcPr>
          <w:p>
            <w:pPr>
              <w:jc w:val="right"/>
              <w:ind w:right="133"/>
              <w:spacing w:after="0" w:line="159" w:lineRule="exact"/>
              <w:rPr>
                <w:sz w:val="20"/>
                <w:szCs w:val="20"/>
                <w:color w:val="auto"/>
              </w:rPr>
            </w:pPr>
            <w:r>
              <w:rPr>
                <w:rFonts w:ascii="Arial" w:cs="Arial" w:eastAsia="Arial" w:hAnsi="Arial"/>
                <w:sz w:val="14"/>
                <w:szCs w:val="14"/>
                <w:color w:val="auto"/>
                <w:w w:val="78"/>
              </w:rPr>
              <w:t>Parents</w:t>
            </w:r>
          </w:p>
        </w:tc>
        <w:tc>
          <w:tcPr>
            <w:tcW w:w="110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60" w:type="dxa"/>
            <w:vAlign w:val="bottom"/>
            <w:gridSpan w:val="2"/>
          </w:tcPr>
          <w:p>
            <w:pPr>
              <w:jc w:val="right"/>
              <w:ind w:right="33"/>
              <w:spacing w:after="0" w:line="159" w:lineRule="exact"/>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336</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1,382</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3,573</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6,376</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928</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1,208</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13,467</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4,994</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3,385</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79,956</w:t>
            </w:r>
          </w:p>
        </w:tc>
        <w:tc>
          <w:tcPr>
            <w:tcW w:w="2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83"/>
              </w:rPr>
              <w:t>97,429</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102,673</w:t>
            </w:r>
          </w:p>
        </w:tc>
        <w:tc>
          <w:tcPr>
            <w:tcW w:w="24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54,724</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40,644</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85,164</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w w:val="93"/>
              </w:rPr>
              <w:t>(460,590)</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29,620</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27,098</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17,318</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1,078</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1,899</w:t>
            </w:r>
          </w:p>
        </w:tc>
        <w:tc>
          <w:tcPr>
            <w:tcW w:w="2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(882)</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81,513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3"/>
              </w:rPr>
              <w:t>97,574</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102,673</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7"/>
              </w:rPr>
              <w:t>54,724</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41,492</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242,309</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3"/>
              </w:rPr>
              <w:t>(461,472)</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158,813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89"/>
              </w:rPr>
              <w:t>Accounts payable and accrued expenses related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5,520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1,239</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95"/>
              </w:rPr>
              <w:t>Accrued expenses and other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1,371</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6,678</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2,351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903</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3,730</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1,226</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13,463</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3"/>
              </w:rPr>
              <w:t>25,170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1,827</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1,505</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10,236</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5,697</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31,840</w:t>
            </w:r>
          </w:p>
        </w:tc>
        <w:tc>
          <w:tcPr>
            <w:tcW w:w="26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(741)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1,919</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8,675</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Redeemable noncontrolling interests and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957</w:t>
            </w:r>
          </w:p>
        </w:tc>
        <w:tc>
          <w:tcPr>
            <w:tcW w:w="26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50,664</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3"/>
              </w:rPr>
              <w:t>96,399</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100,666</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7"/>
              </w:rPr>
              <w:t>53,172</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29,040</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181,313</w:t>
            </w:r>
          </w:p>
        </w:tc>
        <w:tc>
          <w:tcPr>
            <w:tcW w:w="2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3"/>
              </w:rPr>
              <w:t>(460,590)</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Total Comcast Corporation shareholders’ equity</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50,694</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83"/>
              </w:rPr>
              <w:t>96,399</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100,666</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53,172</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29,040</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181,313</w:t>
            </w:r>
          </w:p>
        </w:tc>
        <w:tc>
          <w:tcPr>
            <w:tcW w:w="26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w w:val="93"/>
              </w:rPr>
              <w:t>(460,590)</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364</w:t>
            </w:r>
          </w:p>
        </w:tc>
        <w:tc>
          <w:tcPr>
            <w:tcW w:w="2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50,694</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3"/>
              </w:rPr>
              <w:t>96,399</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100,666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7"/>
              </w:rPr>
              <w:t>53,172</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29,040</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181,677</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3"/>
              </w:rPr>
              <w:t>(460,590)</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81,513</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3"/>
              </w:rPr>
              <w:t>97,574</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102,673</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7"/>
              </w:rPr>
              <w:t>54,724</w:t>
            </w:r>
          </w:p>
        </w:tc>
        <w:tc>
          <w:tcPr>
            <w:tcW w:w="3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41,492</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242,309</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3"/>
              </w:rPr>
              <w:t>(461,472)</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5"/>
              </w:rPr>
              <w:t>158,813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10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86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8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Holdings</w:t>
            </w:r>
          </w:p>
        </w:tc>
        <w:tc>
          <w:tcPr>
            <w:tcW w:w="88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118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Media Parent</w:t>
            </w:r>
          </w:p>
        </w:tc>
        <w:tc>
          <w:tcPr>
            <w:tcW w:w="10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17,408</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17,408</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230</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141</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(594)</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230</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141</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17,408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(594)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17,408</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5,908</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5,908</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93</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141</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4,632</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(594)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4,752</w:t>
            </w: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1,210</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1,210</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1,562</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1,569</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400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401</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141</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257</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4"/>
              </w:rPr>
              <w:t>13,712</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(594)</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13,840</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3,696</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3,568</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3</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113</w:t>
            </w:r>
          </w:p>
        </w:tc>
      </w:tr>
      <w:tr>
        <w:trPr>
          <w:trHeight w:val="208"/>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w w:val="96"/>
              </w:rPr>
              <w:t>Equity in net income (losses) of investees,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2,038</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2,267</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2,165</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1,511</w:t>
            </w:r>
          </w:p>
        </w:tc>
        <w:tc>
          <w:tcPr>
            <w:tcW w:w="42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1,071</w:t>
            </w:r>
          </w:p>
        </w:tc>
        <w:tc>
          <w:tcPr>
            <w:tcW w:w="30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714</w:t>
            </w:r>
          </w:p>
        </w:tc>
        <w:tc>
          <w:tcPr>
            <w:tcW w:w="360" w:type="dxa"/>
            <w:vAlign w:val="bottom"/>
          </w:tcPr>
          <w:p>
            <w:pPr>
              <w:spacing w:after="0"/>
              <w:rPr>
                <w:sz w:val="19"/>
                <w:szCs w:val="19"/>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(9,734)</w:t>
            </w:r>
          </w:p>
        </w:tc>
        <w:tc>
          <w:tcPr>
            <w:tcW w:w="2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1,652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2,267</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2,120</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3"/>
              </w:rPr>
              <w:t>1,482</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944</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757</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(9,734)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1,781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2,267</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2,120</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1,482</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687</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4,453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(9,734)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3,056</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(1,229)</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1,871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2,267</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2,136</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1,492</w:t>
            </w:r>
          </w:p>
        </w:tc>
        <w:tc>
          <w:tcPr>
            <w:tcW w:w="4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682</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3,224</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(9,734)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1,938</w:t>
            </w: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interests and redeemable subsidiary</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197"/>
        </w:trPr>
        <w:tc>
          <w:tcPr>
            <w:tcW w:w="20" w:type="dxa"/>
            <w:vAlign w:val="bottom"/>
          </w:tcPr>
          <w:p>
            <w:pPr>
              <w:spacing w:after="0"/>
              <w:rPr>
                <w:sz w:val="17"/>
                <w:szCs w:val="17"/>
                <w:color w:val="auto"/>
              </w:rPr>
            </w:pPr>
          </w:p>
        </w:tc>
        <w:tc>
          <w:tcPr>
            <w:tcW w:w="34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w w:val="97"/>
              </w:rPr>
              <w:t>Net income (loss) attributable to Comcast</w:t>
            </w: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1,871</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2,267</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2,136</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1,492</w:t>
            </w:r>
          </w:p>
        </w:tc>
        <w:tc>
          <w:tcPr>
            <w:tcW w:w="4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682</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3,157</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(9,734)</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1,871</w:t>
            </w: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b w:val="1"/>
                <w:bCs w:val="1"/>
                <w:color w:val="auto"/>
                <w:w w:val="90"/>
              </w:rPr>
              <w:t>Comprehensive income (loss) attributable to</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1,848</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2,269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2,138</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1,493</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685</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3,134</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(9,719)</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1,848</w:t>
            </w: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92"/>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0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5"/>
              </w:rPr>
              <w:t>and</w:t>
            </w: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CCCL</w:t>
            </w:r>
          </w:p>
        </w:tc>
        <w:tc>
          <w:tcPr>
            <w:tcW w:w="9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2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80" w:type="dxa"/>
            <w:vAlign w:val="bottom"/>
            <w:gridSpan w:val="2"/>
          </w:tcPr>
          <w:p>
            <w:pPr>
              <w:jc w:val="right"/>
              <w:ind w:right="192"/>
              <w:spacing w:after="0"/>
              <w:rPr>
                <w:sz w:val="20"/>
                <w:szCs w:val="20"/>
                <w:color w:val="auto"/>
              </w:rPr>
            </w:pPr>
            <w:r>
              <w:rPr>
                <w:rFonts w:ascii="Arial" w:cs="Arial" w:eastAsia="Arial" w:hAnsi="Arial"/>
                <w:sz w:val="14"/>
                <w:szCs w:val="14"/>
                <w:color w:val="auto"/>
              </w:rPr>
              <w:t>Parent</w:t>
            </w:r>
          </w:p>
        </w:tc>
        <w:tc>
          <w:tcPr>
            <w:tcW w:w="88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740" w:type="dxa"/>
            <w:vAlign w:val="bottom"/>
            <w:gridSpan w:val="2"/>
          </w:tcPr>
          <w:p>
            <w:pPr>
              <w:ind w:left="160"/>
              <w:spacing w:after="0"/>
              <w:rPr>
                <w:sz w:val="20"/>
                <w:szCs w:val="20"/>
                <w:color w:val="auto"/>
              </w:rPr>
            </w:pPr>
            <w:r>
              <w:rPr>
                <w:rFonts w:ascii="Arial" w:cs="Arial" w:eastAsia="Arial" w:hAnsi="Arial"/>
                <w:sz w:val="14"/>
                <w:szCs w:val="14"/>
                <w:color w:val="auto"/>
              </w:rPr>
              <w:t>Parent</w:t>
            </w:r>
          </w:p>
        </w:tc>
        <w:tc>
          <w:tcPr>
            <w:tcW w:w="240" w:type="dxa"/>
            <w:vAlign w:val="bottom"/>
          </w:tcPr>
          <w:p>
            <w:pPr>
              <w:spacing w:after="0"/>
              <w:rPr>
                <w:sz w:val="15"/>
                <w:szCs w:val="15"/>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color w:val="auto"/>
                <w:w w:val="78"/>
              </w:rPr>
              <w:t>Parents</w:t>
            </w:r>
          </w:p>
        </w:tc>
        <w:tc>
          <w:tcPr>
            <w:tcW w:w="1180" w:type="dxa"/>
            <w:vAlign w:val="bottom"/>
            <w:gridSpan w:val="2"/>
          </w:tcPr>
          <w:p>
            <w:pPr>
              <w:jc w:val="right"/>
              <w:ind w:right="172"/>
              <w:spacing w:after="0"/>
              <w:rPr>
                <w:sz w:val="20"/>
                <w:szCs w:val="20"/>
                <w:color w:val="auto"/>
              </w:rPr>
            </w:pPr>
            <w:r>
              <w:rPr>
                <w:rFonts w:ascii="Arial" w:cs="Arial" w:eastAsia="Arial" w:hAnsi="Arial"/>
                <w:sz w:val="14"/>
                <w:szCs w:val="14"/>
                <w:color w:val="auto"/>
              </w:rPr>
              <w:t>Media Parent</w:t>
            </w:r>
          </w:p>
        </w:tc>
        <w:tc>
          <w:tcPr>
            <w:tcW w:w="102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6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58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42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52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680" w:type="dxa"/>
            <w:vAlign w:val="bottom"/>
            <w:tcBorders>
              <w:top w:val="single" w:sz="8" w:color="auto"/>
            </w:tcBorders>
            <w:shd w:val="clear" w:color="auto" w:fill="E5E5E5"/>
          </w:tcPr>
          <w:p>
            <w:pPr>
              <w:spacing w:after="0"/>
              <w:rPr>
                <w:sz w:val="12"/>
                <w:szCs w:val="12"/>
                <w:color w:val="auto"/>
              </w:rPr>
            </w:pPr>
          </w:p>
        </w:tc>
        <w:tc>
          <w:tcPr>
            <w:tcW w:w="48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90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42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15,310</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15,310</w:t>
            </w: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4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218</w:t>
            </w:r>
          </w:p>
        </w:tc>
        <w:tc>
          <w:tcPr>
            <w:tcW w:w="30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212</w:t>
            </w:r>
          </w:p>
        </w:tc>
        <w:tc>
          <w:tcPr>
            <w:tcW w:w="2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133</w:t>
            </w:r>
          </w:p>
        </w:tc>
        <w:tc>
          <w:tcPr>
            <w:tcW w:w="4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(563)</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3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218</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212</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133</w:t>
            </w:r>
          </w:p>
        </w:tc>
        <w:tc>
          <w:tcPr>
            <w:tcW w:w="4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15,310</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(563)</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15,310</w:t>
            </w:r>
          </w:p>
        </w:tc>
      </w:tr>
      <w:tr>
        <w:trPr>
          <w:trHeight w:val="142"/>
        </w:trPr>
        <w:tc>
          <w:tcPr>
            <w:tcW w:w="20" w:type="dxa"/>
            <w:vAlign w:val="bottom"/>
          </w:tcPr>
          <w:p>
            <w:pPr>
              <w:spacing w:after="0"/>
              <w:rPr>
                <w:sz w:val="12"/>
                <w:szCs w:val="12"/>
                <w:color w:val="auto"/>
              </w:rPr>
            </w:pPr>
          </w:p>
        </w:tc>
        <w:tc>
          <w:tcPr>
            <w:tcW w:w="358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42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Programming and production</w:t>
            </w:r>
          </w:p>
        </w:tc>
        <w:tc>
          <w:tcPr>
            <w:tcW w:w="4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4,663</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4,663</w:t>
            </w:r>
          </w:p>
        </w:tc>
      </w:tr>
      <w:tr>
        <w:trPr>
          <w:trHeight w:val="149"/>
        </w:trPr>
        <w:tc>
          <w:tcPr>
            <w:tcW w:w="20" w:type="dxa"/>
            <w:vAlign w:val="bottom"/>
          </w:tcPr>
          <w:p>
            <w:pPr>
              <w:spacing w:after="0"/>
              <w:rPr>
                <w:sz w:val="12"/>
                <w:szCs w:val="12"/>
                <w:color w:val="auto"/>
              </w:rPr>
            </w:pPr>
          </w:p>
        </w:tc>
        <w:tc>
          <w:tcPr>
            <w:tcW w:w="358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operating and administrative</w:t>
            </w:r>
          </w:p>
        </w:tc>
        <w:tc>
          <w:tcPr>
            <w:tcW w:w="4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98</w:t>
            </w:r>
          </w:p>
        </w:tc>
        <w:tc>
          <w:tcPr>
            <w:tcW w:w="30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212</w:t>
            </w:r>
          </w:p>
        </w:tc>
        <w:tc>
          <w:tcPr>
            <w:tcW w:w="2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133</w:t>
            </w:r>
          </w:p>
        </w:tc>
        <w:tc>
          <w:tcPr>
            <w:tcW w:w="4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225</w:t>
            </w:r>
          </w:p>
        </w:tc>
        <w:tc>
          <w:tcPr>
            <w:tcW w:w="3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4,361</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(563)</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4,466</w:t>
            </w: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Advertising, marketing and promotion</w:t>
            </w:r>
          </w:p>
        </w:tc>
        <w:tc>
          <w:tcPr>
            <w:tcW w:w="420" w:type="dxa"/>
            <w:vAlign w:val="bottom"/>
          </w:tcPr>
          <w:p>
            <w:pPr>
              <w:spacing w:after="0"/>
              <w:rPr>
                <w:sz w:val="12"/>
                <w:szCs w:val="12"/>
                <w:color w:val="auto"/>
              </w:rPr>
            </w:pP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1,147</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1,147</w:t>
            </w:r>
          </w:p>
        </w:tc>
      </w:tr>
      <w:tr>
        <w:trPr>
          <w:trHeight w:val="149"/>
        </w:trPr>
        <w:tc>
          <w:tcPr>
            <w:tcW w:w="20" w:type="dxa"/>
            <w:vAlign w:val="bottom"/>
          </w:tcPr>
          <w:p>
            <w:pPr>
              <w:spacing w:after="0"/>
              <w:rPr>
                <w:sz w:val="12"/>
                <w:szCs w:val="12"/>
                <w:color w:val="auto"/>
              </w:rPr>
            </w:pPr>
          </w:p>
        </w:tc>
        <w:tc>
          <w:tcPr>
            <w:tcW w:w="358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4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7</w:t>
            </w:r>
          </w:p>
        </w:tc>
        <w:tc>
          <w:tcPr>
            <w:tcW w:w="30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1,559</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1,566</w:t>
            </w: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400</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401</w:t>
            </w:r>
          </w:p>
        </w:tc>
      </w:tr>
      <w:tr>
        <w:trPr>
          <w:trHeight w:val="142"/>
        </w:trPr>
        <w:tc>
          <w:tcPr>
            <w:tcW w:w="20" w:type="dxa"/>
            <w:vAlign w:val="bottom"/>
          </w:tcPr>
          <w:p>
            <w:pPr>
              <w:spacing w:after="0"/>
              <w:rPr>
                <w:sz w:val="12"/>
                <w:szCs w:val="12"/>
                <w:color w:val="auto"/>
              </w:rPr>
            </w:pPr>
          </w:p>
        </w:tc>
        <w:tc>
          <w:tcPr>
            <w:tcW w:w="3580" w:type="dxa"/>
            <w:vAlign w:val="bottom"/>
            <w:tcBorders>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106</w:t>
            </w:r>
          </w:p>
        </w:tc>
        <w:tc>
          <w:tcPr>
            <w:tcW w:w="30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212</w:t>
            </w:r>
          </w:p>
        </w:tc>
        <w:tc>
          <w:tcPr>
            <w:tcW w:w="2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133</w:t>
            </w:r>
          </w:p>
        </w:tc>
        <w:tc>
          <w:tcPr>
            <w:tcW w:w="4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225</w:t>
            </w:r>
          </w:p>
        </w:tc>
        <w:tc>
          <w:tcPr>
            <w:tcW w:w="3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12,130</w:t>
            </w:r>
          </w:p>
        </w:tc>
        <w:tc>
          <w:tcPr>
            <w:tcW w:w="24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(563)</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12,243</w:t>
            </w:r>
          </w:p>
        </w:tc>
      </w:tr>
      <w:tr>
        <w:trPr>
          <w:trHeight w:val="142"/>
        </w:trPr>
        <w:tc>
          <w:tcPr>
            <w:tcW w:w="20" w:type="dxa"/>
            <w:vAlign w:val="bottom"/>
          </w:tcPr>
          <w:p>
            <w:pPr>
              <w:spacing w:after="0"/>
              <w:rPr>
                <w:sz w:val="12"/>
                <w:szCs w:val="12"/>
                <w:color w:val="auto"/>
              </w:rPr>
            </w:pPr>
          </w:p>
        </w:tc>
        <w:tc>
          <w:tcPr>
            <w:tcW w:w="3580" w:type="dxa"/>
            <w:vAlign w:val="bottom"/>
          </w:tcPr>
          <w:p>
            <w:pPr>
              <w:spacing w:after="0" w:line="142" w:lineRule="exact"/>
              <w:rPr>
                <w:sz w:val="20"/>
                <w:szCs w:val="20"/>
                <w:color w:val="auto"/>
              </w:rPr>
            </w:pPr>
            <w:r>
              <w:rPr>
                <w:rFonts w:ascii="Arial" w:cs="Arial" w:eastAsia="Arial" w:hAnsi="Arial"/>
                <w:sz w:val="14"/>
                <w:szCs w:val="14"/>
                <w:color w:val="auto"/>
              </w:rPr>
              <w:t>Operating income (loss)</w:t>
            </w:r>
          </w:p>
        </w:tc>
        <w:tc>
          <w:tcPr>
            <w:tcW w:w="420" w:type="dxa"/>
            <w:vAlign w:val="bottom"/>
          </w:tcPr>
          <w:p>
            <w:pPr>
              <w:spacing w:after="0"/>
              <w:rPr>
                <w:sz w:val="12"/>
                <w:szCs w:val="12"/>
                <w:color w:val="auto"/>
              </w:rPr>
            </w:pPr>
          </w:p>
        </w:tc>
        <w:tc>
          <w:tcPr>
            <w:tcW w:w="56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112</w:t>
            </w:r>
          </w:p>
        </w:tc>
        <w:tc>
          <w:tcPr>
            <w:tcW w:w="30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(225)</w:t>
            </w:r>
          </w:p>
        </w:tc>
        <w:tc>
          <w:tcPr>
            <w:tcW w:w="300" w:type="dxa"/>
            <w:vAlign w:val="bottom"/>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3,180</w:t>
            </w:r>
          </w:p>
        </w:tc>
        <w:tc>
          <w:tcPr>
            <w:tcW w:w="240" w:type="dxa"/>
            <w:vAlign w:val="bottom"/>
          </w:tcPr>
          <w:p>
            <w:pPr>
              <w:spacing w:after="0"/>
              <w:rPr>
                <w:sz w:val="12"/>
                <w:szCs w:val="12"/>
                <w:color w:val="auto"/>
              </w:rPr>
            </w:pPr>
          </w:p>
        </w:tc>
        <w:tc>
          <w:tcPr>
            <w:tcW w:w="90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3,067</w:t>
            </w:r>
          </w:p>
        </w:tc>
      </w:tr>
      <w:tr>
        <w:trPr>
          <w:trHeight w:val="149"/>
        </w:trPr>
        <w:tc>
          <w:tcPr>
            <w:tcW w:w="20" w:type="dxa"/>
            <w:vAlign w:val="bottom"/>
          </w:tcPr>
          <w:p>
            <w:pPr>
              <w:spacing w:after="0"/>
              <w:rPr>
                <w:sz w:val="12"/>
                <w:szCs w:val="12"/>
                <w:color w:val="auto"/>
              </w:rPr>
            </w:pPr>
          </w:p>
        </w:tc>
        <w:tc>
          <w:tcPr>
            <w:tcW w:w="358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42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(376)</w:t>
            </w:r>
          </w:p>
        </w:tc>
        <w:tc>
          <w:tcPr>
            <w:tcW w:w="30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(78)</w:t>
            </w:r>
          </w:p>
        </w:tc>
        <w:tc>
          <w:tcPr>
            <w:tcW w:w="24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w:t>
            </w:r>
          </w:p>
        </w:tc>
        <w:tc>
          <w:tcPr>
            <w:tcW w:w="48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(120)</w:t>
            </w:r>
          </w:p>
        </w:tc>
        <w:tc>
          <w:tcPr>
            <w:tcW w:w="30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(43)</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(653)</w:t>
            </w:r>
          </w:p>
        </w:tc>
      </w:tr>
      <w:tr>
        <w:trPr>
          <w:trHeight w:val="149"/>
        </w:trPr>
        <w:tc>
          <w:tcPr>
            <w:tcW w:w="20" w:type="dxa"/>
            <w:vAlign w:val="bottom"/>
          </w:tcPr>
          <w:p>
            <w:pPr>
              <w:spacing w:after="0"/>
              <w:rPr>
                <w:sz w:val="12"/>
                <w:szCs w:val="12"/>
                <w:color w:val="auto"/>
              </w:rPr>
            </w:pPr>
          </w:p>
        </w:tc>
        <w:tc>
          <w:tcPr>
            <w:tcW w:w="358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4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w:t>
            </w:r>
          </w:p>
        </w:tc>
        <w:tc>
          <w:tcPr>
            <w:tcW w:w="30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w:t>
            </w:r>
          </w:p>
        </w:tc>
        <w:tc>
          <w:tcPr>
            <w:tcW w:w="22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(4)</w:t>
            </w:r>
          </w:p>
        </w:tc>
        <w:tc>
          <w:tcPr>
            <w:tcW w:w="3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78</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72</w:t>
            </w:r>
          </w:p>
        </w:tc>
      </w:tr>
      <w:tr>
        <w:trPr>
          <w:trHeight w:val="149"/>
        </w:trPr>
        <w:tc>
          <w:tcPr>
            <w:tcW w:w="2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(losses) of investees, net</w:t>
            </w:r>
          </w:p>
        </w:tc>
        <w:tc>
          <w:tcPr>
            <w:tcW w:w="4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w w:val="96"/>
              </w:rPr>
              <w:t>1,608</w:t>
            </w:r>
          </w:p>
        </w:tc>
        <w:tc>
          <w:tcPr>
            <w:tcW w:w="30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w w:val="96"/>
              </w:rPr>
              <w:t>1,742</w:t>
            </w:r>
          </w:p>
        </w:tc>
        <w:tc>
          <w:tcPr>
            <w:tcW w:w="22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w w:val="85"/>
              </w:rPr>
              <w:t>1,763</w:t>
            </w:r>
          </w:p>
        </w:tc>
        <w:tc>
          <w:tcPr>
            <w:tcW w:w="2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1,262</w:t>
            </w:r>
          </w:p>
        </w:tc>
        <w:tc>
          <w:tcPr>
            <w:tcW w:w="4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709</w:t>
            </w:r>
          </w:p>
        </w:tc>
        <w:tc>
          <w:tcPr>
            <w:tcW w:w="3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366</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(7,439)</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11</w:t>
            </w: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74</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73</w:t>
            </w:r>
          </w:p>
        </w:tc>
      </w:tr>
      <w:tr>
        <w:trPr>
          <w:trHeight w:val="142"/>
        </w:trPr>
        <w:tc>
          <w:tcPr>
            <w:tcW w:w="20" w:type="dxa"/>
            <w:vAlign w:val="bottom"/>
          </w:tcPr>
          <w:p>
            <w:pPr>
              <w:spacing w:after="0"/>
              <w:rPr>
                <w:sz w:val="12"/>
                <w:szCs w:val="12"/>
                <w:color w:val="auto"/>
              </w:rPr>
            </w:pPr>
          </w:p>
        </w:tc>
        <w:tc>
          <w:tcPr>
            <w:tcW w:w="3580" w:type="dxa"/>
            <w:vAlign w:val="bottom"/>
            <w:tcBorders>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w w:val="96"/>
              </w:rPr>
              <w:t>1,232</w:t>
            </w:r>
          </w:p>
        </w:tc>
        <w:tc>
          <w:tcPr>
            <w:tcW w:w="30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96"/>
              </w:rPr>
              <w:t>1,736</w:t>
            </w:r>
          </w:p>
        </w:tc>
        <w:tc>
          <w:tcPr>
            <w:tcW w:w="22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w w:val="85"/>
              </w:rPr>
              <w:t>1,685</w:t>
            </w:r>
          </w:p>
        </w:tc>
        <w:tc>
          <w:tcPr>
            <w:tcW w:w="2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1,229</w:t>
            </w:r>
          </w:p>
        </w:tc>
        <w:tc>
          <w:tcPr>
            <w:tcW w:w="4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585</w:t>
            </w:r>
          </w:p>
        </w:tc>
        <w:tc>
          <w:tcPr>
            <w:tcW w:w="3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475</w:t>
            </w:r>
          </w:p>
        </w:tc>
        <w:tc>
          <w:tcPr>
            <w:tcW w:w="24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(7,439)</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(497)</w:t>
            </w:r>
          </w:p>
        </w:tc>
      </w:tr>
      <w:tr>
        <w:trPr>
          <w:trHeight w:val="142"/>
        </w:trPr>
        <w:tc>
          <w:tcPr>
            <w:tcW w:w="20" w:type="dxa"/>
            <w:vAlign w:val="bottom"/>
          </w:tcPr>
          <w:p>
            <w:pPr>
              <w:spacing w:after="0"/>
              <w:rPr>
                <w:sz w:val="12"/>
                <w:szCs w:val="12"/>
                <w:color w:val="auto"/>
              </w:rPr>
            </w:pPr>
          </w:p>
        </w:tc>
        <w:tc>
          <w:tcPr>
            <w:tcW w:w="3580" w:type="dxa"/>
            <w:vAlign w:val="bottom"/>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420" w:type="dxa"/>
            <w:vAlign w:val="bottom"/>
          </w:tcPr>
          <w:p>
            <w:pPr>
              <w:spacing w:after="0"/>
              <w:rPr>
                <w:sz w:val="12"/>
                <w:szCs w:val="12"/>
                <w:color w:val="auto"/>
              </w:rPr>
            </w:pPr>
          </w:p>
        </w:tc>
        <w:tc>
          <w:tcPr>
            <w:tcW w:w="560" w:type="dxa"/>
            <w:vAlign w:val="bottom"/>
          </w:tcPr>
          <w:p>
            <w:pPr>
              <w:jc w:val="right"/>
              <w:ind w:right="132"/>
              <w:spacing w:after="0" w:line="142" w:lineRule="exact"/>
              <w:rPr>
                <w:sz w:val="20"/>
                <w:szCs w:val="20"/>
                <w:color w:val="auto"/>
              </w:rPr>
            </w:pPr>
            <w:r>
              <w:rPr>
                <w:rFonts w:ascii="Arial" w:cs="Arial" w:eastAsia="Arial" w:hAnsi="Arial"/>
                <w:sz w:val="14"/>
                <w:szCs w:val="14"/>
                <w:color w:val="auto"/>
                <w:w w:val="96"/>
              </w:rPr>
              <w:t>1,344</w:t>
            </w:r>
          </w:p>
        </w:tc>
        <w:tc>
          <w:tcPr>
            <w:tcW w:w="30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color w:val="auto"/>
                <w:w w:val="96"/>
              </w:rPr>
              <w:t>1,736</w:t>
            </w:r>
          </w:p>
        </w:tc>
        <w:tc>
          <w:tcPr>
            <w:tcW w:w="22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color w:val="auto"/>
                <w:w w:val="85"/>
              </w:rPr>
              <w:t>1,685</w:t>
            </w:r>
          </w:p>
        </w:tc>
        <w:tc>
          <w:tcPr>
            <w:tcW w:w="24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1,229</w:t>
            </w:r>
          </w:p>
        </w:tc>
        <w:tc>
          <w:tcPr>
            <w:tcW w:w="480" w:type="dxa"/>
            <w:vAlign w:val="bottom"/>
          </w:tcPr>
          <w:p>
            <w:pPr>
              <w:spacing w:after="0"/>
              <w:rPr>
                <w:sz w:val="12"/>
                <w:szCs w:val="12"/>
                <w:color w:val="auto"/>
              </w:rPr>
            </w:pPr>
          </w:p>
        </w:tc>
        <w:tc>
          <w:tcPr>
            <w:tcW w:w="70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360</w:t>
            </w:r>
          </w:p>
        </w:tc>
        <w:tc>
          <w:tcPr>
            <w:tcW w:w="300" w:type="dxa"/>
            <w:vAlign w:val="bottom"/>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3,655</w:t>
            </w:r>
          </w:p>
        </w:tc>
        <w:tc>
          <w:tcPr>
            <w:tcW w:w="240" w:type="dxa"/>
            <w:vAlign w:val="bottom"/>
          </w:tcPr>
          <w:p>
            <w:pPr>
              <w:spacing w:after="0"/>
              <w:rPr>
                <w:sz w:val="12"/>
                <w:szCs w:val="12"/>
                <w:color w:val="auto"/>
              </w:rPr>
            </w:pPr>
          </w:p>
        </w:tc>
        <w:tc>
          <w:tcPr>
            <w:tcW w:w="900" w:type="dxa"/>
            <w:vAlign w:val="bottom"/>
          </w:tcPr>
          <w:p>
            <w:pPr>
              <w:jc w:val="right"/>
              <w:ind w:right="92"/>
              <w:spacing w:after="0" w:line="142" w:lineRule="exact"/>
              <w:rPr>
                <w:sz w:val="20"/>
                <w:szCs w:val="20"/>
                <w:color w:val="auto"/>
              </w:rPr>
            </w:pPr>
            <w:r>
              <w:rPr>
                <w:rFonts w:ascii="Arial" w:cs="Arial" w:eastAsia="Arial" w:hAnsi="Arial"/>
                <w:sz w:val="14"/>
                <w:szCs w:val="14"/>
                <w:color w:val="auto"/>
              </w:rPr>
              <w:t>(7,439)</w:t>
            </w:r>
          </w:p>
        </w:tc>
        <w:tc>
          <w:tcPr>
            <w:tcW w:w="26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2,570</w:t>
            </w: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Income tax (expense) benefit</w:t>
            </w:r>
          </w:p>
        </w:tc>
        <w:tc>
          <w:tcPr>
            <w:tcW w:w="4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93</w:t>
            </w:r>
          </w:p>
        </w:tc>
        <w:tc>
          <w:tcPr>
            <w:tcW w:w="30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22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27</w:t>
            </w:r>
          </w:p>
        </w:tc>
        <w:tc>
          <w:tcPr>
            <w:tcW w:w="2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11</w:t>
            </w:r>
          </w:p>
        </w:tc>
        <w:tc>
          <w:tcPr>
            <w:tcW w:w="4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w:t>
            </w:r>
          </w:p>
        </w:tc>
        <w:tc>
          <w:tcPr>
            <w:tcW w:w="3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(1,053)</w:t>
            </w:r>
          </w:p>
        </w:tc>
        <w:tc>
          <w:tcPr>
            <w:tcW w:w="24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(925)</w:t>
            </w:r>
          </w:p>
        </w:tc>
      </w:tr>
      <w:tr>
        <w:trPr>
          <w:trHeight w:val="142"/>
        </w:trPr>
        <w:tc>
          <w:tcPr>
            <w:tcW w:w="20" w:type="dxa"/>
            <w:vAlign w:val="bottom"/>
          </w:tcPr>
          <w:p>
            <w:pPr>
              <w:spacing w:after="0"/>
              <w:rPr>
                <w:sz w:val="12"/>
                <w:szCs w:val="12"/>
                <w:color w:val="auto"/>
              </w:rPr>
            </w:pPr>
          </w:p>
        </w:tc>
        <w:tc>
          <w:tcPr>
            <w:tcW w:w="3580" w:type="dxa"/>
            <w:vAlign w:val="bottom"/>
          </w:tcPr>
          <w:p>
            <w:pPr>
              <w:spacing w:after="0" w:line="142" w:lineRule="exact"/>
              <w:rPr>
                <w:sz w:val="20"/>
                <w:szCs w:val="20"/>
                <w:color w:val="auto"/>
              </w:rPr>
            </w:pPr>
            <w:r>
              <w:rPr>
                <w:rFonts w:ascii="Arial" w:cs="Arial" w:eastAsia="Arial" w:hAnsi="Arial"/>
                <w:sz w:val="14"/>
                <w:szCs w:val="14"/>
                <w:color w:val="auto"/>
              </w:rPr>
              <w:t>Net income (loss)</w:t>
            </w:r>
          </w:p>
        </w:tc>
        <w:tc>
          <w:tcPr>
            <w:tcW w:w="420" w:type="dxa"/>
            <w:vAlign w:val="bottom"/>
          </w:tcPr>
          <w:p>
            <w:pPr>
              <w:spacing w:after="0"/>
              <w:rPr>
                <w:sz w:val="12"/>
                <w:szCs w:val="12"/>
                <w:color w:val="auto"/>
              </w:rPr>
            </w:pPr>
          </w:p>
        </w:tc>
        <w:tc>
          <w:tcPr>
            <w:tcW w:w="560" w:type="dxa"/>
            <w:vAlign w:val="bottom"/>
          </w:tcPr>
          <w:p>
            <w:pPr>
              <w:jc w:val="right"/>
              <w:ind w:right="132"/>
              <w:spacing w:after="0" w:line="142" w:lineRule="exact"/>
              <w:rPr>
                <w:sz w:val="20"/>
                <w:szCs w:val="20"/>
                <w:color w:val="auto"/>
              </w:rPr>
            </w:pPr>
            <w:r>
              <w:rPr>
                <w:rFonts w:ascii="Arial" w:cs="Arial" w:eastAsia="Arial" w:hAnsi="Arial"/>
                <w:sz w:val="14"/>
                <w:szCs w:val="14"/>
                <w:color w:val="auto"/>
                <w:w w:val="96"/>
              </w:rPr>
              <w:t>1,437</w:t>
            </w:r>
          </w:p>
        </w:tc>
        <w:tc>
          <w:tcPr>
            <w:tcW w:w="30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color w:val="auto"/>
                <w:w w:val="96"/>
              </w:rPr>
              <w:t>1,738</w:t>
            </w:r>
          </w:p>
        </w:tc>
        <w:tc>
          <w:tcPr>
            <w:tcW w:w="22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color w:val="auto"/>
                <w:w w:val="85"/>
              </w:rPr>
              <w:t>1,712</w:t>
            </w:r>
          </w:p>
        </w:tc>
        <w:tc>
          <w:tcPr>
            <w:tcW w:w="24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1,240</w:t>
            </w:r>
          </w:p>
        </w:tc>
        <w:tc>
          <w:tcPr>
            <w:tcW w:w="480" w:type="dxa"/>
            <w:vAlign w:val="bottom"/>
          </w:tcPr>
          <w:p>
            <w:pPr>
              <w:spacing w:after="0"/>
              <w:rPr>
                <w:sz w:val="12"/>
                <w:szCs w:val="12"/>
                <w:color w:val="auto"/>
              </w:rPr>
            </w:pPr>
          </w:p>
        </w:tc>
        <w:tc>
          <w:tcPr>
            <w:tcW w:w="70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355</w:t>
            </w:r>
          </w:p>
        </w:tc>
        <w:tc>
          <w:tcPr>
            <w:tcW w:w="300" w:type="dxa"/>
            <w:vAlign w:val="bottom"/>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2,602</w:t>
            </w:r>
          </w:p>
        </w:tc>
        <w:tc>
          <w:tcPr>
            <w:tcW w:w="240" w:type="dxa"/>
            <w:vAlign w:val="bottom"/>
          </w:tcPr>
          <w:p>
            <w:pPr>
              <w:spacing w:after="0"/>
              <w:rPr>
                <w:sz w:val="12"/>
                <w:szCs w:val="12"/>
                <w:color w:val="auto"/>
              </w:rPr>
            </w:pPr>
          </w:p>
        </w:tc>
        <w:tc>
          <w:tcPr>
            <w:tcW w:w="900" w:type="dxa"/>
            <w:vAlign w:val="bottom"/>
          </w:tcPr>
          <w:p>
            <w:pPr>
              <w:jc w:val="right"/>
              <w:ind w:right="92"/>
              <w:spacing w:after="0" w:line="142" w:lineRule="exact"/>
              <w:rPr>
                <w:sz w:val="20"/>
                <w:szCs w:val="20"/>
                <w:color w:val="auto"/>
              </w:rPr>
            </w:pPr>
            <w:r>
              <w:rPr>
                <w:rFonts w:ascii="Arial" w:cs="Arial" w:eastAsia="Arial" w:hAnsi="Arial"/>
                <w:sz w:val="14"/>
                <w:szCs w:val="14"/>
                <w:color w:val="auto"/>
              </w:rPr>
              <w:t>(7,439)</w:t>
            </w:r>
          </w:p>
        </w:tc>
        <w:tc>
          <w:tcPr>
            <w:tcW w:w="26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1,645</w:t>
            </w:r>
          </w:p>
        </w:tc>
      </w:tr>
      <w:tr>
        <w:trPr>
          <w:trHeight w:val="138"/>
        </w:trPr>
        <w:tc>
          <w:tcPr>
            <w:tcW w:w="20" w:type="dxa"/>
            <w:vAlign w:val="bottom"/>
          </w:tcPr>
          <w:p>
            <w:pPr>
              <w:spacing w:after="0"/>
              <w:rPr>
                <w:sz w:val="11"/>
                <w:szCs w:val="11"/>
                <w:color w:val="auto"/>
              </w:rPr>
            </w:pPr>
          </w:p>
        </w:tc>
        <w:tc>
          <w:tcPr>
            <w:tcW w:w="358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w w:val="95"/>
              </w:rPr>
              <w:t>Net (income) loss attributable to noncontrolling interests and</w:t>
            </w:r>
          </w:p>
        </w:tc>
        <w:tc>
          <w:tcPr>
            <w:tcW w:w="42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30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48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300" w:type="dxa"/>
            <w:vAlign w:val="bottom"/>
            <w:shd w:val="clear" w:color="auto" w:fill="E5E5E5"/>
          </w:tcPr>
          <w:p>
            <w:pPr>
              <w:spacing w:after="0"/>
              <w:rPr>
                <w:sz w:val="11"/>
                <w:szCs w:val="11"/>
                <w:color w:val="auto"/>
              </w:rPr>
            </w:pPr>
          </w:p>
        </w:tc>
        <w:tc>
          <w:tcPr>
            <w:tcW w:w="72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90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580" w:type="dxa"/>
            <w:vAlign w:val="bottom"/>
            <w:tcBorders>
              <w:bottom w:val="single" w:sz="8" w:color="auto"/>
            </w:tcBorders>
            <w:shd w:val="clear" w:color="auto" w:fill="E5E5E5"/>
          </w:tcPr>
          <w:p>
            <w:pPr>
              <w:ind w:left="200"/>
              <w:spacing w:after="0" w:line="159" w:lineRule="exact"/>
              <w:rPr>
                <w:sz w:val="20"/>
                <w:szCs w:val="20"/>
                <w:color w:val="auto"/>
              </w:rPr>
            </w:pPr>
            <w:r>
              <w:rPr>
                <w:rFonts w:ascii="Arial" w:cs="Arial" w:eastAsia="Arial" w:hAnsi="Arial"/>
                <w:sz w:val="14"/>
                <w:szCs w:val="14"/>
                <w:color w:val="auto"/>
              </w:rPr>
              <w:t>redeemable subsidiary preferred stock</w:t>
            </w:r>
          </w:p>
        </w:tc>
        <w:tc>
          <w:tcPr>
            <w:tcW w:w="420" w:type="dxa"/>
            <w:vAlign w:val="bottom"/>
            <w:tcBorders>
              <w:bottom w:val="single" w:sz="8" w:color="auto"/>
            </w:tcBorders>
            <w:shd w:val="clear" w:color="auto" w:fill="E5E5E5"/>
          </w:tcPr>
          <w:p>
            <w:pPr>
              <w:spacing w:after="0"/>
              <w:rPr>
                <w:sz w:val="13"/>
                <w:szCs w:val="13"/>
                <w:color w:val="auto"/>
              </w:rPr>
            </w:pPr>
          </w:p>
        </w:tc>
        <w:tc>
          <w:tcPr>
            <w:tcW w:w="560" w:type="dxa"/>
            <w:vAlign w:val="bottom"/>
            <w:tcBorders>
              <w:bottom w:val="single" w:sz="8" w:color="auto"/>
            </w:tcBorders>
            <w:shd w:val="clear" w:color="auto" w:fill="E5E5E5"/>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3"/>
                <w:szCs w:val="13"/>
                <w:color w:val="auto"/>
              </w:rPr>
            </w:pPr>
          </w:p>
        </w:tc>
        <w:tc>
          <w:tcPr>
            <w:tcW w:w="580" w:type="dxa"/>
            <w:vAlign w:val="bottom"/>
            <w:tcBorders>
              <w:bottom w:val="single" w:sz="8" w:color="auto"/>
            </w:tcBorders>
            <w:shd w:val="clear" w:color="auto" w:fill="E5E5E5"/>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3"/>
                <w:szCs w:val="13"/>
                <w:color w:val="auto"/>
              </w:rPr>
            </w:pPr>
          </w:p>
        </w:tc>
        <w:tc>
          <w:tcPr>
            <w:tcW w:w="520" w:type="dxa"/>
            <w:vAlign w:val="bottom"/>
            <w:tcBorders>
              <w:bottom w:val="single" w:sz="8" w:color="auto"/>
            </w:tcBorders>
            <w:shd w:val="clear" w:color="auto" w:fill="E5E5E5"/>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3"/>
                <w:szCs w:val="13"/>
                <w:color w:val="auto"/>
              </w:rPr>
            </w:pPr>
          </w:p>
        </w:tc>
        <w:tc>
          <w:tcPr>
            <w:tcW w:w="680" w:type="dxa"/>
            <w:vAlign w:val="bottom"/>
            <w:tcBorders>
              <w:bottom w:val="single" w:sz="8" w:color="auto"/>
            </w:tcBorders>
            <w:shd w:val="clear" w:color="auto" w:fill="E5E5E5"/>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E5E5E5"/>
          </w:tcPr>
          <w:p>
            <w:pPr>
              <w:spacing w:after="0"/>
              <w:rPr>
                <w:sz w:val="13"/>
                <w:szCs w:val="13"/>
                <w:color w:val="auto"/>
              </w:rPr>
            </w:pPr>
          </w:p>
        </w:tc>
        <w:tc>
          <w:tcPr>
            <w:tcW w:w="700" w:type="dxa"/>
            <w:vAlign w:val="bottom"/>
            <w:tcBorders>
              <w:bottom w:val="single" w:sz="8" w:color="auto"/>
            </w:tcBorders>
            <w:shd w:val="clear" w:color="auto" w:fill="E5E5E5"/>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3"/>
                <w:szCs w:val="13"/>
                <w:color w:val="auto"/>
              </w:rPr>
            </w:pPr>
          </w:p>
        </w:tc>
        <w:tc>
          <w:tcPr>
            <w:tcW w:w="720" w:type="dxa"/>
            <w:vAlign w:val="bottom"/>
            <w:tcBorders>
              <w:bottom w:val="single" w:sz="8" w:color="auto"/>
            </w:tcBorders>
            <w:shd w:val="clear" w:color="auto" w:fill="E5E5E5"/>
          </w:tcPr>
          <w:p>
            <w:pPr>
              <w:jc w:val="right"/>
              <w:ind w:right="92"/>
              <w:spacing w:after="0" w:line="159" w:lineRule="exact"/>
              <w:rPr>
                <w:sz w:val="20"/>
                <w:szCs w:val="20"/>
                <w:color w:val="auto"/>
              </w:rPr>
            </w:pPr>
            <w:r>
              <w:rPr>
                <w:rFonts w:ascii="Arial" w:cs="Arial" w:eastAsia="Arial" w:hAnsi="Arial"/>
                <w:sz w:val="14"/>
                <w:szCs w:val="14"/>
                <w:color w:val="auto"/>
              </w:rPr>
              <w:t>(208)</w:t>
            </w:r>
          </w:p>
        </w:tc>
        <w:tc>
          <w:tcPr>
            <w:tcW w:w="240" w:type="dxa"/>
            <w:vAlign w:val="bottom"/>
            <w:tcBorders>
              <w:bottom w:val="single" w:sz="8" w:color="auto"/>
            </w:tcBorders>
            <w:shd w:val="clear" w:color="auto" w:fill="E5E5E5"/>
          </w:tcPr>
          <w:p>
            <w:pPr>
              <w:spacing w:after="0"/>
              <w:rPr>
                <w:sz w:val="13"/>
                <w:szCs w:val="13"/>
                <w:color w:val="auto"/>
              </w:rPr>
            </w:pPr>
          </w:p>
        </w:tc>
        <w:tc>
          <w:tcPr>
            <w:tcW w:w="900" w:type="dxa"/>
            <w:vAlign w:val="bottom"/>
            <w:tcBorders>
              <w:bottom w:val="single" w:sz="8" w:color="auto"/>
            </w:tcBorders>
            <w:shd w:val="clear" w:color="auto" w:fill="E5E5E5"/>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3"/>
                <w:szCs w:val="13"/>
                <w:color w:val="auto"/>
              </w:rPr>
            </w:pPr>
          </w:p>
        </w:tc>
        <w:tc>
          <w:tcPr>
            <w:tcW w:w="700" w:type="dxa"/>
            <w:vAlign w:val="bottom"/>
            <w:tcBorders>
              <w:bottom w:val="single" w:sz="8" w:color="auto"/>
            </w:tcBorders>
            <w:shd w:val="clear" w:color="auto" w:fill="E5E5E5"/>
          </w:tcPr>
          <w:p>
            <w:pPr>
              <w:jc w:val="right"/>
              <w:spacing w:after="0" w:line="159" w:lineRule="exact"/>
              <w:rPr>
                <w:sz w:val="20"/>
                <w:szCs w:val="20"/>
                <w:color w:val="auto"/>
              </w:rPr>
            </w:pPr>
            <w:r>
              <w:rPr>
                <w:rFonts w:ascii="Arial" w:cs="Arial" w:eastAsia="Arial" w:hAnsi="Arial"/>
                <w:sz w:val="14"/>
                <w:szCs w:val="14"/>
                <w:color w:val="auto"/>
              </w:rPr>
              <w:t>(208)</w:t>
            </w: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9"/>
              </w:rPr>
              <w:t>Net income (loss)attributable to Comcast Corporation</w:t>
            </w:r>
          </w:p>
        </w:tc>
        <w:tc>
          <w:tcPr>
            <w:tcW w:w="4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1,437</w:t>
            </w:r>
          </w:p>
        </w:tc>
        <w:tc>
          <w:tcPr>
            <w:tcW w:w="3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1,738</w:t>
            </w:r>
          </w:p>
        </w:tc>
        <w:tc>
          <w:tcPr>
            <w:tcW w:w="22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5"/>
              </w:rPr>
              <w:t>1,712</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1,240</w:t>
            </w:r>
          </w:p>
        </w:tc>
        <w:tc>
          <w:tcPr>
            <w:tcW w:w="4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355</w:t>
            </w:r>
          </w:p>
        </w:tc>
        <w:tc>
          <w:tcPr>
            <w:tcW w:w="3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2,394</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(7,439)</w:t>
            </w:r>
          </w:p>
        </w:tc>
        <w:tc>
          <w:tcPr>
            <w:tcW w:w="2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1,437</w:t>
            </w:r>
          </w:p>
        </w:tc>
      </w:tr>
      <w:tr>
        <w:trPr>
          <w:trHeight w:val="136"/>
        </w:trPr>
        <w:tc>
          <w:tcPr>
            <w:tcW w:w="20" w:type="dxa"/>
            <w:vAlign w:val="bottom"/>
          </w:tcPr>
          <w:p>
            <w:pPr>
              <w:spacing w:after="0"/>
              <w:rPr>
                <w:sz w:val="11"/>
                <w:szCs w:val="11"/>
                <w:color w:val="auto"/>
              </w:rPr>
            </w:pPr>
          </w:p>
        </w:tc>
        <w:tc>
          <w:tcPr>
            <w:tcW w:w="3580" w:type="dxa"/>
            <w:vAlign w:val="bottom"/>
            <w:shd w:val="clear" w:color="auto" w:fill="E5E5E5"/>
          </w:tcPr>
          <w:p>
            <w:pPr>
              <w:spacing w:after="0" w:line="136" w:lineRule="exact"/>
              <w:rPr>
                <w:sz w:val="20"/>
                <w:szCs w:val="20"/>
                <w:color w:val="auto"/>
              </w:rPr>
            </w:pPr>
            <w:r>
              <w:rPr>
                <w:rFonts w:ascii="Arial" w:cs="Arial" w:eastAsia="Arial" w:hAnsi="Arial"/>
                <w:sz w:val="14"/>
                <w:szCs w:val="14"/>
                <w:b w:val="1"/>
                <w:bCs w:val="1"/>
                <w:color w:val="auto"/>
                <w:w w:val="99"/>
              </w:rPr>
              <w:t>Comprehensive income (loss) attributable to Comcast</w:t>
            </w:r>
          </w:p>
        </w:tc>
        <w:tc>
          <w:tcPr>
            <w:tcW w:w="42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30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48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300" w:type="dxa"/>
            <w:vAlign w:val="bottom"/>
            <w:shd w:val="clear" w:color="auto" w:fill="E5E5E5"/>
          </w:tcPr>
          <w:p>
            <w:pPr>
              <w:spacing w:after="0"/>
              <w:rPr>
                <w:sz w:val="11"/>
                <w:szCs w:val="11"/>
                <w:color w:val="auto"/>
              </w:rPr>
            </w:pPr>
          </w:p>
        </w:tc>
        <w:tc>
          <w:tcPr>
            <w:tcW w:w="72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90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35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4"/>
                <w:szCs w:val="14"/>
                <w:b w:val="1"/>
                <w:bCs w:val="1"/>
                <w:color w:val="auto"/>
              </w:rPr>
              <w:t>Corporation</w:t>
            </w:r>
          </w:p>
        </w:tc>
        <w:tc>
          <w:tcPr>
            <w:tcW w:w="42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4"/>
                <w:szCs w:val="14"/>
                <w:b w:val="1"/>
                <w:bCs w:val="1"/>
                <w:color w:val="auto"/>
                <w:w w:val="96"/>
              </w:rPr>
              <w:t>1,437</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4"/>
                <w:szCs w:val="14"/>
                <w:b w:val="1"/>
                <w:bCs w:val="1"/>
                <w:color w:val="auto"/>
                <w:w w:val="96"/>
              </w:rPr>
              <w:t>1,738</w:t>
            </w:r>
          </w:p>
        </w:tc>
        <w:tc>
          <w:tcPr>
            <w:tcW w:w="2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4"/>
                <w:szCs w:val="14"/>
                <w:b w:val="1"/>
                <w:bCs w:val="1"/>
                <w:color w:val="auto"/>
                <w:w w:val="85"/>
              </w:rPr>
              <w:t>1,714</w:t>
            </w:r>
          </w:p>
        </w:tc>
        <w:tc>
          <w:tcPr>
            <w:tcW w:w="2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4"/>
                <w:szCs w:val="14"/>
                <w:b w:val="1"/>
                <w:bCs w:val="1"/>
                <w:color w:val="auto"/>
              </w:rPr>
              <w:t>1,240</w:t>
            </w:r>
          </w:p>
        </w:tc>
        <w:tc>
          <w:tcPr>
            <w:tcW w:w="4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4"/>
                <w:szCs w:val="14"/>
                <w:b w:val="1"/>
                <w:bCs w:val="1"/>
                <w:color w:val="auto"/>
              </w:rPr>
              <w:t>333</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4"/>
                <w:szCs w:val="14"/>
                <w:b w:val="1"/>
                <w:bCs w:val="1"/>
                <w:color w:val="auto"/>
              </w:rPr>
              <w:t>2,407</w:t>
            </w:r>
          </w:p>
        </w:tc>
        <w:tc>
          <w:tcPr>
            <w:tcW w:w="2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4"/>
                <w:szCs w:val="14"/>
                <w:b w:val="1"/>
                <w:bCs w:val="1"/>
                <w:color w:val="auto"/>
              </w:rPr>
              <w:t>(7,432)</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4"/>
                <w:szCs w:val="14"/>
                <w:b w:val="1"/>
                <w:bCs w:val="1"/>
                <w:color w:val="auto"/>
              </w:rPr>
              <w:t>1,437</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92"/>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Combined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ind w:right="272"/>
              <w:spacing w:after="0" w:line="149" w:lineRule="exact"/>
              <w:rPr>
                <w:sz w:val="20"/>
                <w:szCs w:val="20"/>
                <w:color w:val="auto"/>
              </w:rPr>
            </w:pPr>
            <w:r>
              <w:rPr>
                <w:rFonts w:ascii="Arial" w:cs="Arial" w:eastAsia="Arial" w:hAnsi="Arial"/>
                <w:sz w:val="14"/>
                <w:szCs w:val="14"/>
                <w:color w:val="auto"/>
                <w:w w:val="92"/>
              </w:rPr>
              <w:t>Non-</w:t>
            </w:r>
          </w:p>
        </w:tc>
        <w:tc>
          <w:tcPr>
            <w:tcW w:w="240" w:type="dxa"/>
            <w:vAlign w:val="bottom"/>
          </w:tcPr>
          <w:p>
            <w:pPr>
              <w:spacing w:after="0"/>
              <w:rPr>
                <w:sz w:val="12"/>
                <w:szCs w:val="12"/>
                <w:color w:val="auto"/>
              </w:rPr>
            </w:pPr>
          </w:p>
        </w:tc>
        <w:tc>
          <w:tcPr>
            <w:tcW w:w="90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Consolidated</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7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CCHMO</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Guarantor</w:t>
            </w:r>
          </w:p>
        </w:tc>
        <w:tc>
          <w:tcPr>
            <w:tcW w:w="11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0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4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8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74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60" w:type="dxa"/>
            <w:vAlign w:val="bottom"/>
          </w:tcPr>
          <w:p>
            <w:pPr>
              <w:spacing w:after="0"/>
              <w:rPr>
                <w:sz w:val="15"/>
                <w:szCs w:val="15"/>
                <w:color w:val="auto"/>
              </w:rPr>
            </w:pPr>
          </w:p>
        </w:tc>
        <w:tc>
          <w:tcPr>
            <w:tcW w:w="700" w:type="dxa"/>
            <w:vAlign w:val="bottom"/>
          </w:tcPr>
          <w:p>
            <w:pPr>
              <w:jc w:val="center"/>
              <w:ind w:right="232"/>
              <w:spacing w:after="0"/>
              <w:rPr>
                <w:sz w:val="20"/>
                <w:szCs w:val="20"/>
                <w:color w:val="auto"/>
              </w:rPr>
            </w:pPr>
            <w:r>
              <w:rPr>
                <w:rFonts w:ascii="Arial" w:cs="Arial" w:eastAsia="Arial" w:hAnsi="Arial"/>
                <w:sz w:val="14"/>
                <w:szCs w:val="14"/>
                <w:color w:val="auto"/>
                <w:w w:val="82"/>
              </w:rPr>
              <w:t>Parents</w:t>
            </w:r>
          </w:p>
        </w:tc>
        <w:tc>
          <w:tcPr>
            <w:tcW w:w="120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86"/>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center"/>
              <w:ind w:left="32"/>
              <w:spacing w:after="0"/>
              <w:rPr>
                <w:sz w:val="20"/>
                <w:szCs w:val="20"/>
                <w:color w:val="auto"/>
              </w:rPr>
            </w:pPr>
            <w:r>
              <w:rPr>
                <w:rFonts w:ascii="Arial" w:cs="Arial" w:eastAsia="Arial" w:hAnsi="Arial"/>
                <w:sz w:val="14"/>
                <w:szCs w:val="14"/>
                <w:color w:val="auto"/>
                <w:w w:val="87"/>
              </w:rPr>
              <w:t>Corporation</w:t>
            </w:r>
          </w:p>
        </w:tc>
      </w:tr>
      <w:tr>
        <w:trPr>
          <w:trHeight w:val="142"/>
        </w:trPr>
        <w:tc>
          <w:tcPr>
            <w:tcW w:w="20" w:type="dxa"/>
            <w:vAlign w:val="bottom"/>
          </w:tcPr>
          <w:p>
            <w:pPr>
              <w:spacing w:after="0"/>
              <w:rPr>
                <w:sz w:val="12"/>
                <w:szCs w:val="12"/>
                <w:color w:val="auto"/>
              </w:rPr>
            </w:pPr>
          </w:p>
        </w:tc>
        <w:tc>
          <w:tcPr>
            <w:tcW w:w="3440" w:type="dxa"/>
            <w:vAlign w:val="bottom"/>
            <w:tcBorders>
              <w:top w:val="single" w:sz="8" w:color="auto"/>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380" w:type="dxa"/>
            <w:vAlign w:val="bottom"/>
            <w:tcBorders>
              <w:top w:val="single" w:sz="8" w:color="auto"/>
              <w:bottom w:val="single" w:sz="8" w:color="auto"/>
            </w:tcBorders>
            <w:shd w:val="clear" w:color="auto" w:fill="E5E5E5"/>
          </w:tcPr>
          <w:p>
            <w:pPr>
              <w:ind w:left="2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(96)</w:t>
            </w:r>
          </w:p>
        </w:tc>
        <w:tc>
          <w:tcPr>
            <w:tcW w:w="380" w:type="dxa"/>
            <w:vAlign w:val="bottom"/>
            <w:tcBorders>
              <w:top w:val="single" w:sz="8" w:color="auto"/>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(2)</w:t>
            </w:r>
          </w:p>
        </w:tc>
        <w:tc>
          <w:tcPr>
            <w:tcW w:w="260" w:type="dxa"/>
            <w:vAlign w:val="bottom"/>
            <w:tcBorders>
              <w:top w:val="single" w:sz="8" w:color="auto"/>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110</w:t>
            </w:r>
          </w:p>
        </w:tc>
        <w:tc>
          <w:tcPr>
            <w:tcW w:w="26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(47)</w:t>
            </w:r>
          </w:p>
        </w:tc>
        <w:tc>
          <w:tcPr>
            <w:tcW w:w="500" w:type="dxa"/>
            <w:vAlign w:val="bottom"/>
            <w:tcBorders>
              <w:top w:val="single" w:sz="8" w:color="auto"/>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(306)</w:t>
            </w:r>
          </w:p>
        </w:tc>
        <w:tc>
          <w:tcPr>
            <w:tcW w:w="320" w:type="dxa"/>
            <w:vAlign w:val="bottom"/>
            <w:tcBorders>
              <w:top w:val="single" w:sz="8" w:color="auto"/>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4,827</w:t>
            </w:r>
          </w:p>
        </w:tc>
        <w:tc>
          <w:tcPr>
            <w:tcW w:w="24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4,486</w:t>
            </w:r>
          </w:p>
        </w:tc>
      </w:tr>
      <w:tr>
        <w:trPr>
          <w:trHeight w:val="142"/>
        </w:trPr>
        <w:tc>
          <w:tcPr>
            <w:tcW w:w="20" w:type="dxa"/>
            <w:vAlign w:val="bottom"/>
          </w:tcPr>
          <w:p>
            <w:pPr>
              <w:spacing w:after="0"/>
              <w:rPr>
                <w:sz w:val="12"/>
                <w:szCs w:val="12"/>
                <w:color w:val="auto"/>
              </w:rPr>
            </w:pPr>
          </w:p>
        </w:tc>
        <w:tc>
          <w:tcPr>
            <w:tcW w:w="3440" w:type="dxa"/>
            <w:vAlign w:val="bottom"/>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3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1,370</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E5E5E5"/>
          </w:tcPr>
          <w:p>
            <w:pPr>
              <w:spacing w:after="0"/>
              <w:rPr>
                <w:sz w:val="12"/>
                <w:szCs w:val="12"/>
                <w:color w:val="auto"/>
              </w:rPr>
            </w:pPr>
          </w:p>
        </w:tc>
        <w:tc>
          <w:tcPr>
            <w:tcW w:w="4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1"/>
              </w:rPr>
              <w:t>(110)</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47</w:t>
            </w:r>
          </w:p>
        </w:tc>
        <w:tc>
          <w:tcPr>
            <w:tcW w:w="50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483</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(1,792)</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44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8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(1,448)</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(1,448)</w:t>
            </w:r>
          </w:p>
        </w:tc>
      </w:tr>
      <w:tr>
        <w:trPr>
          <w:trHeight w:val="149"/>
        </w:trPr>
        <w:tc>
          <w:tcPr>
            <w:tcW w:w="20" w:type="dxa"/>
            <w:vAlign w:val="bottom"/>
          </w:tcPr>
          <w:p>
            <w:pPr>
              <w:spacing w:after="0"/>
              <w:rPr>
                <w:sz w:val="12"/>
                <w:szCs w:val="12"/>
                <w:color w:val="auto"/>
              </w:rPr>
            </w:pPr>
          </w:p>
        </w:tc>
        <w:tc>
          <w:tcPr>
            <w:tcW w:w="34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3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4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(217)</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(217)</w:t>
            </w:r>
          </w:p>
        </w:tc>
      </w:tr>
      <w:tr>
        <w:trPr>
          <w:trHeight w:val="149"/>
        </w:trPr>
        <w:tc>
          <w:tcPr>
            <w:tcW w:w="20" w:type="dxa"/>
            <w:vAlign w:val="bottom"/>
          </w:tcPr>
          <w:p>
            <w:pPr>
              <w:spacing w:after="0"/>
              <w:rPr>
                <w:sz w:val="12"/>
                <w:szCs w:val="12"/>
                <w:color w:val="auto"/>
              </w:rPr>
            </w:pPr>
          </w:p>
        </w:tc>
        <w:tc>
          <w:tcPr>
            <w:tcW w:w="3440" w:type="dxa"/>
            <w:vAlign w:val="bottom"/>
          </w:tcPr>
          <w:p>
            <w:pPr>
              <w:ind w:left="200"/>
              <w:spacing w:after="0" w:line="149" w:lineRule="exact"/>
              <w:rPr>
                <w:sz w:val="20"/>
                <w:szCs w:val="20"/>
                <w:color w:val="auto"/>
              </w:rPr>
            </w:pPr>
            <w:r>
              <w:rPr>
                <w:rFonts w:ascii="Arial" w:cs="Arial" w:eastAsia="Arial" w:hAnsi="Arial"/>
                <w:sz w:val="14"/>
                <w:szCs w:val="14"/>
                <w:color w:val="auto"/>
                <w:w w:val="96"/>
              </w:rPr>
              <w:t>Acquisitions and construction of real estate properties</w:t>
            </w:r>
          </w:p>
        </w:tc>
        <w:tc>
          <w:tcPr>
            <w:tcW w:w="38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4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w w:val="99"/>
              </w:rPr>
              <w:t>Proceeds from sales of businesses and investments</w:t>
            </w:r>
          </w:p>
        </w:tc>
        <w:tc>
          <w:tcPr>
            <w:tcW w:w="3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4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300</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300</w:t>
            </w:r>
          </w:p>
        </w:tc>
      </w:tr>
      <w:tr>
        <w:trPr>
          <w:trHeight w:val="149"/>
        </w:trPr>
        <w:tc>
          <w:tcPr>
            <w:tcW w:w="20" w:type="dxa"/>
            <w:vAlign w:val="bottom"/>
          </w:tcPr>
          <w:p>
            <w:pPr>
              <w:spacing w:after="0"/>
              <w:rPr>
                <w:sz w:val="12"/>
                <w:szCs w:val="12"/>
                <w:color w:val="auto"/>
              </w:rPr>
            </w:pPr>
          </w:p>
        </w:tc>
        <w:tc>
          <w:tcPr>
            <w:tcW w:w="344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38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w:t>
            </w:r>
          </w:p>
        </w:tc>
        <w:tc>
          <w:tcPr>
            <w:tcW w:w="3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r>
      <w:tr>
        <w:trPr>
          <w:trHeight w:val="149"/>
        </w:trPr>
        <w:tc>
          <w:tcPr>
            <w:tcW w:w="20" w:type="dxa"/>
            <w:vAlign w:val="bottom"/>
          </w:tcPr>
          <w:p>
            <w:pPr>
              <w:spacing w:after="0"/>
              <w:rPr>
                <w:sz w:val="12"/>
                <w:szCs w:val="12"/>
                <w:color w:val="auto"/>
              </w:rPr>
            </w:pPr>
          </w:p>
        </w:tc>
        <w:tc>
          <w:tcPr>
            <w:tcW w:w="34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4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(103)</w:t>
            </w:r>
          </w:p>
        </w:tc>
        <w:tc>
          <w:tcPr>
            <w:tcW w:w="24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(103)</w:t>
            </w:r>
          </w:p>
        </w:tc>
      </w:tr>
      <w:tr>
        <w:trPr>
          <w:trHeight w:val="142"/>
        </w:trPr>
        <w:tc>
          <w:tcPr>
            <w:tcW w:w="20" w:type="dxa"/>
            <w:vAlign w:val="bottom"/>
          </w:tcPr>
          <w:p>
            <w:pPr>
              <w:spacing w:after="0"/>
              <w:rPr>
                <w:sz w:val="12"/>
                <w:szCs w:val="12"/>
                <w:color w:val="auto"/>
              </w:rPr>
            </w:pPr>
          </w:p>
        </w:tc>
        <w:tc>
          <w:tcPr>
            <w:tcW w:w="3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1,360</w:t>
            </w: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1"/>
              </w:rPr>
              <w:t>(110)</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47</w:t>
            </w: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477</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(3,281)</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(1,505)</w:t>
            </w:r>
          </w:p>
        </w:tc>
      </w:tr>
      <w:tr>
        <w:trPr>
          <w:trHeight w:val="142"/>
        </w:trPr>
        <w:tc>
          <w:tcPr>
            <w:tcW w:w="20" w:type="dxa"/>
            <w:vAlign w:val="bottom"/>
          </w:tcPr>
          <w:p>
            <w:pPr>
              <w:spacing w:after="0"/>
              <w:rPr>
                <w:sz w:val="12"/>
                <w:szCs w:val="12"/>
                <w:color w:val="auto"/>
              </w:rPr>
            </w:pPr>
          </w:p>
        </w:tc>
        <w:tc>
          <w:tcPr>
            <w:tcW w:w="344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38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440" w:type="dxa"/>
            <w:vAlign w:val="bottom"/>
          </w:tcPr>
          <w:p>
            <w:pPr>
              <w:ind w:left="200"/>
              <w:spacing w:after="0" w:line="138" w:lineRule="exact"/>
              <w:rPr>
                <w:sz w:val="20"/>
                <w:szCs w:val="20"/>
                <w:color w:val="auto"/>
              </w:rPr>
            </w:pPr>
            <w:r>
              <w:rPr>
                <w:rFonts w:ascii="Arial" w:cs="Arial" w:eastAsia="Arial" w:hAnsi="Arial"/>
                <w:sz w:val="14"/>
                <w:szCs w:val="14"/>
                <w:color w:val="auto"/>
                <w:w w:val="95"/>
              </w:rPr>
              <w:t>Proceeds from (repayments of) short-term borrowings,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440" w:type="dxa"/>
            <w:vAlign w:val="bottom"/>
          </w:tcPr>
          <w:p>
            <w:pPr>
              <w:ind w:left="420"/>
              <w:spacing w:after="0" w:line="159" w:lineRule="exact"/>
              <w:rPr>
                <w:sz w:val="20"/>
                <w:szCs w:val="20"/>
                <w:color w:val="auto"/>
              </w:rPr>
            </w:pPr>
            <w:r>
              <w:rPr>
                <w:rFonts w:ascii="Arial" w:cs="Arial" w:eastAsia="Arial" w:hAnsi="Arial"/>
                <w:sz w:val="14"/>
                <w:szCs w:val="14"/>
                <w:color w:val="auto"/>
              </w:rPr>
              <w:t>net</w:t>
            </w:r>
          </w:p>
        </w:tc>
        <w:tc>
          <w:tcPr>
            <w:tcW w:w="380" w:type="dxa"/>
            <w:vAlign w:val="bottom"/>
          </w:tcPr>
          <w:p>
            <w:pPr>
              <w:spacing w:after="0"/>
              <w:rPr>
                <w:sz w:val="13"/>
                <w:szCs w:val="13"/>
                <w:color w:val="auto"/>
              </w:rPr>
            </w:pPr>
          </w:p>
        </w:tc>
        <w:tc>
          <w:tcPr>
            <w:tcW w:w="60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90"/>
              </w:rPr>
              <w:t>(1,350)</w:t>
            </w:r>
          </w:p>
        </w:tc>
        <w:tc>
          <w:tcPr>
            <w:tcW w:w="380" w:type="dxa"/>
            <w:vAlign w:val="bottom"/>
          </w:tcPr>
          <w:p>
            <w:pPr>
              <w:spacing w:after="0"/>
              <w:rPr>
                <w:sz w:val="13"/>
                <w:szCs w:val="13"/>
                <w:color w:val="auto"/>
              </w:rPr>
            </w:pPr>
          </w:p>
        </w:tc>
        <w:tc>
          <w:tcPr>
            <w:tcW w:w="52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0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70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4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986</w:t>
            </w:r>
          </w:p>
        </w:tc>
        <w:tc>
          <w:tcPr>
            <w:tcW w:w="240" w:type="dxa"/>
            <w:vAlign w:val="bottom"/>
          </w:tcPr>
          <w:p>
            <w:pPr>
              <w:spacing w:after="0"/>
              <w:rPr>
                <w:sz w:val="13"/>
                <w:szCs w:val="13"/>
                <w:color w:val="auto"/>
              </w:rPr>
            </w:pPr>
          </w:p>
        </w:tc>
        <w:tc>
          <w:tcPr>
            <w:tcW w:w="90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(364)</w:t>
            </w:r>
          </w:p>
        </w:tc>
      </w:tr>
      <w:tr>
        <w:trPr>
          <w:trHeight w:val="149"/>
        </w:trPr>
        <w:tc>
          <w:tcPr>
            <w:tcW w:w="20" w:type="dxa"/>
            <w:vAlign w:val="bottom"/>
          </w:tcPr>
          <w:p>
            <w:pPr>
              <w:spacing w:after="0"/>
              <w:rPr>
                <w:sz w:val="12"/>
                <w:szCs w:val="12"/>
                <w:color w:val="auto"/>
              </w:rPr>
            </w:pPr>
          </w:p>
        </w:tc>
        <w:tc>
          <w:tcPr>
            <w:tcW w:w="34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3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2,184</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4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2,187</w:t>
            </w:r>
          </w:p>
        </w:tc>
      </w:tr>
      <w:tr>
        <w:trPr>
          <w:trHeight w:val="149"/>
        </w:trPr>
        <w:tc>
          <w:tcPr>
            <w:tcW w:w="20" w:type="dxa"/>
            <w:vAlign w:val="bottom"/>
          </w:tcPr>
          <w:p>
            <w:pPr>
              <w:spacing w:after="0"/>
              <w:rPr>
                <w:sz w:val="12"/>
                <w:szCs w:val="12"/>
                <w:color w:val="auto"/>
              </w:rPr>
            </w:pPr>
          </w:p>
        </w:tc>
        <w:tc>
          <w:tcPr>
            <w:tcW w:w="344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38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0"/>
              </w:rPr>
              <w:t>(1,000)</w:t>
            </w:r>
          </w:p>
        </w:tc>
        <w:tc>
          <w:tcPr>
            <w:tcW w:w="3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(1,259)</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(2,260)</w:t>
            </w:r>
          </w:p>
        </w:tc>
      </w:tr>
      <w:tr>
        <w:trPr>
          <w:trHeight w:val="149"/>
        </w:trPr>
        <w:tc>
          <w:tcPr>
            <w:tcW w:w="20" w:type="dxa"/>
            <w:vAlign w:val="bottom"/>
          </w:tcPr>
          <w:p>
            <w:pPr>
              <w:spacing w:after="0"/>
              <w:rPr>
                <w:sz w:val="12"/>
                <w:szCs w:val="12"/>
                <w:color w:val="auto"/>
              </w:rPr>
            </w:pPr>
          </w:p>
        </w:tc>
        <w:tc>
          <w:tcPr>
            <w:tcW w:w="34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3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(750)</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4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(750)</w:t>
            </w:r>
          </w:p>
        </w:tc>
      </w:tr>
      <w:tr>
        <w:trPr>
          <w:trHeight w:val="149"/>
        </w:trPr>
        <w:tc>
          <w:tcPr>
            <w:tcW w:w="20" w:type="dxa"/>
            <w:vAlign w:val="bottom"/>
          </w:tcPr>
          <w:p>
            <w:pPr>
              <w:spacing w:after="0"/>
              <w:rPr>
                <w:sz w:val="12"/>
                <w:szCs w:val="12"/>
                <w:color w:val="auto"/>
              </w:rPr>
            </w:pPr>
          </w:p>
        </w:tc>
        <w:tc>
          <w:tcPr>
            <w:tcW w:w="344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38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(508)</w:t>
            </w:r>
          </w:p>
        </w:tc>
        <w:tc>
          <w:tcPr>
            <w:tcW w:w="38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(508)</w:t>
            </w:r>
          </w:p>
        </w:tc>
      </w:tr>
      <w:tr>
        <w:trPr>
          <w:trHeight w:val="149"/>
        </w:trPr>
        <w:tc>
          <w:tcPr>
            <w:tcW w:w="20" w:type="dxa"/>
            <w:vAlign w:val="bottom"/>
          </w:tcPr>
          <w:p>
            <w:pPr>
              <w:spacing w:after="0"/>
              <w:rPr>
                <w:sz w:val="12"/>
                <w:szCs w:val="12"/>
                <w:color w:val="auto"/>
              </w:rPr>
            </w:pPr>
          </w:p>
        </w:tc>
        <w:tc>
          <w:tcPr>
            <w:tcW w:w="34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3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20</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4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20</w:t>
            </w:r>
          </w:p>
        </w:tc>
      </w:tr>
      <w:tr>
        <w:trPr>
          <w:trHeight w:val="138"/>
        </w:trPr>
        <w:tc>
          <w:tcPr>
            <w:tcW w:w="20" w:type="dxa"/>
            <w:vAlign w:val="bottom"/>
          </w:tcPr>
          <w:p>
            <w:pPr>
              <w:spacing w:after="0"/>
              <w:rPr>
                <w:sz w:val="11"/>
                <w:szCs w:val="11"/>
                <w:color w:val="auto"/>
              </w:rPr>
            </w:pPr>
          </w:p>
        </w:tc>
        <w:tc>
          <w:tcPr>
            <w:tcW w:w="3440" w:type="dxa"/>
            <w:vAlign w:val="bottom"/>
          </w:tcPr>
          <w:p>
            <w:pPr>
              <w:ind w:left="200"/>
              <w:spacing w:after="0" w:line="138" w:lineRule="exact"/>
              <w:rPr>
                <w:sz w:val="20"/>
                <w:szCs w:val="20"/>
                <w:color w:val="auto"/>
              </w:rPr>
            </w:pPr>
            <w:r>
              <w:rPr>
                <w:rFonts w:ascii="Arial" w:cs="Arial" w:eastAsia="Arial" w:hAnsi="Arial"/>
                <w:sz w:val="14"/>
                <w:szCs w:val="14"/>
                <w:color w:val="auto"/>
                <w:w w:val="97"/>
              </w:rPr>
              <w:t>Distributions to noncontrolling interests and dividends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440" w:type="dxa"/>
            <w:vAlign w:val="bottom"/>
          </w:tcPr>
          <w:p>
            <w:pPr>
              <w:ind w:left="420"/>
              <w:spacing w:after="0" w:line="159" w:lineRule="exact"/>
              <w:rPr>
                <w:sz w:val="20"/>
                <w:szCs w:val="20"/>
                <w:color w:val="auto"/>
              </w:rPr>
            </w:pPr>
            <w:r>
              <w:rPr>
                <w:rFonts w:ascii="Arial" w:cs="Arial" w:eastAsia="Arial" w:hAnsi="Arial"/>
                <w:sz w:val="14"/>
                <w:szCs w:val="14"/>
                <w:color w:val="auto"/>
              </w:rPr>
              <w:t>for redeemable subsidiary preferred stock</w:t>
            </w:r>
          </w:p>
        </w:tc>
        <w:tc>
          <w:tcPr>
            <w:tcW w:w="380" w:type="dxa"/>
            <w:vAlign w:val="bottom"/>
          </w:tcPr>
          <w:p>
            <w:pPr>
              <w:spacing w:after="0"/>
              <w:rPr>
                <w:sz w:val="13"/>
                <w:szCs w:val="13"/>
                <w:color w:val="auto"/>
              </w:rPr>
            </w:pPr>
          </w:p>
        </w:tc>
        <w:tc>
          <w:tcPr>
            <w:tcW w:w="60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52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0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70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(66)</w:t>
            </w:r>
          </w:p>
        </w:tc>
        <w:tc>
          <w:tcPr>
            <w:tcW w:w="240" w:type="dxa"/>
            <w:vAlign w:val="bottom"/>
          </w:tcPr>
          <w:p>
            <w:pPr>
              <w:spacing w:after="0"/>
              <w:rPr>
                <w:sz w:val="13"/>
                <w:szCs w:val="13"/>
                <w:color w:val="auto"/>
              </w:rPr>
            </w:pPr>
          </w:p>
        </w:tc>
        <w:tc>
          <w:tcPr>
            <w:tcW w:w="90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(66)</w:t>
            </w:r>
          </w:p>
        </w:tc>
      </w:tr>
      <w:tr>
        <w:trPr>
          <w:trHeight w:val="149"/>
        </w:trPr>
        <w:tc>
          <w:tcPr>
            <w:tcW w:w="20" w:type="dxa"/>
            <w:vAlign w:val="bottom"/>
          </w:tcPr>
          <w:p>
            <w:pPr>
              <w:spacing w:after="0"/>
              <w:rPr>
                <w:sz w:val="12"/>
                <w:szCs w:val="12"/>
                <w:color w:val="auto"/>
              </w:rPr>
            </w:pPr>
          </w:p>
        </w:tc>
        <w:tc>
          <w:tcPr>
            <w:tcW w:w="34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140</w:t>
            </w:r>
          </w:p>
        </w:tc>
        <w:tc>
          <w:tcPr>
            <w:tcW w:w="38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4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(44)</w:t>
            </w:r>
          </w:p>
        </w:tc>
        <w:tc>
          <w:tcPr>
            <w:tcW w:w="24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96</w:t>
            </w:r>
          </w:p>
        </w:tc>
      </w:tr>
      <w:tr>
        <w:trPr>
          <w:trHeight w:val="142"/>
        </w:trPr>
        <w:tc>
          <w:tcPr>
            <w:tcW w:w="20" w:type="dxa"/>
            <w:vAlign w:val="bottom"/>
          </w:tcPr>
          <w:p>
            <w:pPr>
              <w:spacing w:after="0"/>
              <w:rPr>
                <w:sz w:val="12"/>
                <w:szCs w:val="12"/>
                <w:color w:val="auto"/>
              </w:rPr>
            </w:pPr>
          </w:p>
        </w:tc>
        <w:tc>
          <w:tcPr>
            <w:tcW w:w="3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90"/>
              </w:rPr>
              <w:t>(1,264)</w:t>
            </w: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(380)</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(1,645)</w:t>
            </w:r>
          </w:p>
        </w:tc>
      </w:tr>
      <w:tr>
        <w:trPr>
          <w:trHeight w:val="142"/>
        </w:trPr>
        <w:tc>
          <w:tcPr>
            <w:tcW w:w="20" w:type="dxa"/>
            <w:vAlign w:val="bottom"/>
          </w:tcPr>
          <w:p>
            <w:pPr>
              <w:spacing w:after="0"/>
              <w:rPr>
                <w:sz w:val="12"/>
                <w:szCs w:val="12"/>
                <w:color w:val="auto"/>
              </w:rPr>
            </w:pPr>
          </w:p>
        </w:tc>
        <w:tc>
          <w:tcPr>
            <w:tcW w:w="34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Increase (decrease) in cash and cash equivalents</w:t>
            </w:r>
          </w:p>
        </w:tc>
        <w:tc>
          <w:tcPr>
            <w:tcW w:w="38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48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170</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1,166</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1,336</w:t>
            </w:r>
          </w:p>
        </w:tc>
      </w:tr>
      <w:tr>
        <w:trPr>
          <w:trHeight w:val="149"/>
        </w:trPr>
        <w:tc>
          <w:tcPr>
            <w:tcW w:w="20" w:type="dxa"/>
            <w:vAlign w:val="bottom"/>
          </w:tcPr>
          <w:p>
            <w:pPr>
              <w:spacing w:after="0"/>
              <w:rPr>
                <w:sz w:val="12"/>
                <w:szCs w:val="12"/>
                <w:color w:val="auto"/>
              </w:rPr>
            </w:pPr>
          </w:p>
        </w:tc>
        <w:tc>
          <w:tcPr>
            <w:tcW w:w="3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336</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1,382</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1,718</w:t>
            </w:r>
          </w:p>
        </w:tc>
      </w:tr>
      <w:tr>
        <w:trPr>
          <w:trHeight w:val="149"/>
        </w:trPr>
        <w:tc>
          <w:tcPr>
            <w:tcW w:w="20" w:type="dxa"/>
            <w:vAlign w:val="bottom"/>
          </w:tcPr>
          <w:p>
            <w:pPr>
              <w:spacing w:after="0"/>
              <w:rPr>
                <w:sz w:val="12"/>
                <w:szCs w:val="12"/>
                <w:color w:val="auto"/>
              </w:rPr>
            </w:pPr>
          </w:p>
        </w:tc>
        <w:tc>
          <w:tcPr>
            <w:tcW w:w="344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380" w:type="dxa"/>
            <w:vAlign w:val="bottom"/>
            <w:tcBorders>
              <w:bottom w:val="single" w:sz="8" w:color="auto"/>
            </w:tcBorders>
            <w:shd w:val="clear" w:color="auto" w:fill="E5E5E5"/>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4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506</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2,548</w:t>
            </w:r>
          </w:p>
        </w:tc>
        <w:tc>
          <w:tcPr>
            <w:tcW w:w="24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3,054</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92"/>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0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5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4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8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26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w w:val="78"/>
              </w:rPr>
              <w:t>Parents</w:t>
            </w:r>
          </w:p>
        </w:tc>
        <w:tc>
          <w:tcPr>
            <w:tcW w:w="120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06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520" w:type="dxa"/>
            <w:vAlign w:val="bottom"/>
            <w:tcBorders>
              <w:top w:val="single" w:sz="8" w:color="auto"/>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Borders>
              <w:top w:val="single" w:sz="8" w:color="auto"/>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(112)</w:t>
            </w:r>
          </w:p>
        </w:tc>
        <w:tc>
          <w:tcPr>
            <w:tcW w:w="400" w:type="dxa"/>
            <w:vAlign w:val="bottom"/>
            <w:tcBorders>
              <w:top w:val="single" w:sz="8" w:color="auto"/>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w:t>
            </w:r>
          </w:p>
        </w:tc>
        <w:tc>
          <w:tcPr>
            <w:tcW w:w="24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49</w:t>
            </w:r>
          </w:p>
        </w:tc>
        <w:tc>
          <w:tcPr>
            <w:tcW w:w="260" w:type="dxa"/>
            <w:vAlign w:val="bottom"/>
            <w:tcBorders>
              <w:top w:val="single" w:sz="8" w:color="auto"/>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(53)</w:t>
            </w:r>
          </w:p>
        </w:tc>
        <w:tc>
          <w:tcPr>
            <w:tcW w:w="440" w:type="dxa"/>
            <w:vAlign w:val="bottom"/>
            <w:tcBorders>
              <w:top w:val="single" w:sz="8" w:color="auto"/>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(227)</w:t>
            </w:r>
          </w:p>
        </w:tc>
        <w:tc>
          <w:tcPr>
            <w:tcW w:w="320" w:type="dxa"/>
            <w:vAlign w:val="bottom"/>
            <w:tcBorders>
              <w:top w:val="single" w:sz="8" w:color="auto"/>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4,709</w:t>
            </w:r>
          </w:p>
        </w:tc>
        <w:tc>
          <w:tcPr>
            <w:tcW w:w="24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4,369</w:t>
            </w:r>
          </w:p>
        </w:tc>
      </w:tr>
      <w:tr>
        <w:trPr>
          <w:trHeight w:val="142"/>
        </w:trPr>
        <w:tc>
          <w:tcPr>
            <w:tcW w:w="20" w:type="dxa"/>
            <w:vAlign w:val="bottom"/>
          </w:tcPr>
          <w:p>
            <w:pPr>
              <w:spacing w:after="0"/>
              <w:rPr>
                <w:sz w:val="12"/>
                <w:szCs w:val="12"/>
                <w:color w:val="auto"/>
              </w:rPr>
            </w:pPr>
          </w:p>
        </w:tc>
        <w:tc>
          <w:tcPr>
            <w:tcW w:w="3520" w:type="dxa"/>
            <w:vAlign w:val="bottom"/>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0"/>
              </w:rPr>
              <w:t>(2,480)</w:t>
            </w:r>
          </w:p>
        </w:tc>
        <w:tc>
          <w:tcPr>
            <w:tcW w:w="40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w w:val="91"/>
              </w:rPr>
              <w:t>1,665</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53</w:t>
            </w:r>
          </w:p>
        </w:tc>
        <w:tc>
          <w:tcPr>
            <w:tcW w:w="44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(1,251)</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2,019</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2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(1,361)</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(1,361)</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(182)</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(182)</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w w:val="99"/>
              </w:rPr>
              <w:t>Acquisitions and construction of real estate properties</w:t>
            </w:r>
          </w:p>
        </w:tc>
        <w:tc>
          <w:tcPr>
            <w:tcW w:w="2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(1,311)</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(1,311)</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sales of businesses and investments</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74</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74</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2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(87)</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(10)</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112</w:t>
            </w:r>
          </w:p>
        </w:tc>
        <w:tc>
          <w:tcPr>
            <w:tcW w:w="24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105</w:t>
            </w:r>
          </w:p>
        </w:tc>
      </w:tr>
      <w:tr>
        <w:trPr>
          <w:trHeight w:val="142"/>
        </w:trPr>
        <w:tc>
          <w:tcPr>
            <w:tcW w:w="20" w:type="dxa"/>
            <w:vAlign w:val="bottom"/>
          </w:tcPr>
          <w:p>
            <w:pPr>
              <w:spacing w:after="0"/>
              <w:rPr>
                <w:sz w:val="12"/>
                <w:szCs w:val="12"/>
                <w:color w:val="auto"/>
              </w:rPr>
            </w:pPr>
          </w:p>
        </w:tc>
        <w:tc>
          <w:tcPr>
            <w:tcW w:w="3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0"/>
              </w:rPr>
              <w:t>(2,480)</w:t>
            </w: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91"/>
              </w:rPr>
              <w:t>1,665</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53</w:t>
            </w: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(1,262)</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(736)</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(2,763)</w:t>
            </w:r>
          </w:p>
        </w:tc>
      </w:tr>
      <w:tr>
        <w:trPr>
          <w:trHeight w:val="142"/>
        </w:trPr>
        <w:tc>
          <w:tcPr>
            <w:tcW w:w="20" w:type="dxa"/>
            <w:vAlign w:val="bottom"/>
          </w:tcPr>
          <w:p>
            <w:pPr>
              <w:spacing w:after="0"/>
              <w:rPr>
                <w:sz w:val="12"/>
                <w:szCs w:val="12"/>
                <w:color w:val="auto"/>
              </w:rPr>
            </w:pPr>
          </w:p>
        </w:tc>
        <w:tc>
          <w:tcPr>
            <w:tcW w:w="352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w w:val="91"/>
              </w:rPr>
              <w:t>Proceeds from (repayments of) short-term borrowings, net</w:t>
            </w:r>
          </w:p>
        </w:tc>
        <w:tc>
          <w:tcPr>
            <w:tcW w:w="2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500</w:t>
            </w:r>
          </w:p>
        </w:tc>
        <w:tc>
          <w:tcPr>
            <w:tcW w:w="400" w:type="dxa"/>
            <w:vAlign w:val="bottom"/>
          </w:tcPr>
          <w:p>
            <w:pPr>
              <w:spacing w:after="0"/>
              <w:rPr>
                <w:sz w:val="12"/>
                <w:szCs w:val="12"/>
                <w:color w:val="auto"/>
              </w:rPr>
            </w:pPr>
          </w:p>
        </w:tc>
        <w:tc>
          <w:tcPr>
            <w:tcW w:w="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491</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w w:val="96"/>
              </w:rPr>
              <w:t>2,933</w:t>
            </w:r>
          </w:p>
        </w:tc>
        <w:tc>
          <w:tcPr>
            <w:tcW w:w="40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2,933</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2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5"/>
              </w:rPr>
              <w:t>(1,714)</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(87)</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(1,811)</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(500)</w:t>
            </w:r>
          </w:p>
        </w:tc>
        <w:tc>
          <w:tcPr>
            <w:tcW w:w="40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(500)</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(429)</w:t>
            </w:r>
          </w:p>
        </w:tc>
        <w:tc>
          <w:tcPr>
            <w:tcW w:w="400" w:type="dxa"/>
            <w:vAlign w:val="bottom"/>
          </w:tcPr>
          <w:p>
            <w:pPr>
              <w:spacing w:after="0"/>
              <w:rPr>
                <w:sz w:val="12"/>
                <w:szCs w:val="12"/>
                <w:color w:val="auto"/>
              </w:rPr>
            </w:pPr>
          </w:p>
        </w:tc>
        <w:tc>
          <w:tcPr>
            <w:tcW w:w="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(429)</w:t>
            </w:r>
          </w:p>
        </w:tc>
      </w:tr>
      <w:tr>
        <w:trPr>
          <w:trHeight w:val="149"/>
        </w:trPr>
        <w:tc>
          <w:tcPr>
            <w:tcW w:w="20" w:type="dxa"/>
            <w:vAlign w:val="bottom"/>
          </w:tcPr>
          <w:p>
            <w:pPr>
              <w:spacing w:after="0"/>
              <w:rPr>
                <w:sz w:val="12"/>
                <w:szCs w:val="12"/>
                <w:color w:val="auto"/>
              </w:rPr>
            </w:pPr>
          </w:p>
        </w:tc>
        <w:tc>
          <w:tcPr>
            <w:tcW w:w="35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13</w:t>
            </w:r>
          </w:p>
        </w:tc>
        <w:tc>
          <w:tcPr>
            <w:tcW w:w="40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13</w:t>
            </w:r>
          </w:p>
        </w:tc>
      </w:tr>
      <w:tr>
        <w:trPr>
          <w:trHeight w:val="138"/>
        </w:trPr>
        <w:tc>
          <w:tcPr>
            <w:tcW w:w="20" w:type="dxa"/>
            <w:vAlign w:val="bottom"/>
          </w:tcPr>
          <w:p>
            <w:pPr>
              <w:spacing w:after="0"/>
              <w:rPr>
                <w:sz w:val="11"/>
                <w:szCs w:val="11"/>
                <w:color w:val="auto"/>
              </w:rPr>
            </w:pPr>
          </w:p>
        </w:tc>
        <w:tc>
          <w:tcPr>
            <w:tcW w:w="3520" w:type="dxa"/>
            <w:vAlign w:val="bottom"/>
          </w:tcPr>
          <w:p>
            <w:pPr>
              <w:ind w:left="200"/>
              <w:spacing w:after="0" w:line="138" w:lineRule="exact"/>
              <w:rPr>
                <w:sz w:val="20"/>
                <w:szCs w:val="20"/>
                <w:color w:val="auto"/>
              </w:rPr>
            </w:pPr>
            <w:r>
              <w:rPr>
                <w:rFonts w:ascii="Arial" w:cs="Arial" w:eastAsia="Arial" w:hAnsi="Arial"/>
                <w:sz w:val="14"/>
                <w:szCs w:val="14"/>
                <w:color w:val="auto"/>
              </w:rPr>
              <w:t>Purchase of NBCUniversal noncontrolling common</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520" w:type="dxa"/>
            <w:vAlign w:val="bottom"/>
          </w:tcPr>
          <w:p>
            <w:pPr>
              <w:ind w:left="420"/>
              <w:spacing w:after="0" w:line="159" w:lineRule="exact"/>
              <w:rPr>
                <w:sz w:val="20"/>
                <w:szCs w:val="20"/>
                <w:color w:val="auto"/>
              </w:rPr>
            </w:pPr>
            <w:r>
              <w:rPr>
                <w:rFonts w:ascii="Arial" w:cs="Arial" w:eastAsia="Arial" w:hAnsi="Arial"/>
                <w:sz w:val="14"/>
                <w:szCs w:val="14"/>
                <w:color w:val="auto"/>
              </w:rPr>
              <w:t>equity interest</w:t>
            </w:r>
          </w:p>
        </w:tc>
        <w:tc>
          <w:tcPr>
            <w:tcW w:w="260" w:type="dxa"/>
            <w:vAlign w:val="bottom"/>
          </w:tcPr>
          <w:p>
            <w:pPr>
              <w:spacing w:after="0"/>
              <w:rPr>
                <w:sz w:val="13"/>
                <w:szCs w:val="13"/>
                <w:color w:val="auto"/>
              </w:rPr>
            </w:pPr>
          </w:p>
        </w:tc>
        <w:tc>
          <w:tcPr>
            <w:tcW w:w="58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50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56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0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760" w:type="dxa"/>
            <w:vAlign w:val="bottom"/>
          </w:tcPr>
          <w:p>
            <w:pPr>
              <w:jc w:val="right"/>
              <w:ind w:right="92"/>
              <w:spacing w:after="0" w:line="159" w:lineRule="exact"/>
              <w:rPr>
                <w:sz w:val="20"/>
                <w:szCs w:val="20"/>
                <w:color w:val="auto"/>
              </w:rPr>
            </w:pPr>
            <w:r>
              <w:rPr>
                <w:rFonts w:ascii="Arial" w:cs="Arial" w:eastAsia="Arial" w:hAnsi="Arial"/>
                <w:sz w:val="14"/>
                <w:szCs w:val="14"/>
                <w:color w:val="auto"/>
              </w:rPr>
              <w:t>(3,200)</w:t>
            </w:r>
          </w:p>
        </w:tc>
        <w:tc>
          <w:tcPr>
            <w:tcW w:w="320" w:type="dxa"/>
            <w:vAlign w:val="bottom"/>
          </w:tcPr>
          <w:p>
            <w:pPr>
              <w:spacing w:after="0"/>
              <w:rPr>
                <w:sz w:val="13"/>
                <w:szCs w:val="13"/>
                <w:color w:val="auto"/>
              </w:rPr>
            </w:pP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(7,547)</w:t>
            </w:r>
          </w:p>
        </w:tc>
        <w:tc>
          <w:tcPr>
            <w:tcW w:w="240" w:type="dxa"/>
            <w:vAlign w:val="bottom"/>
          </w:tcPr>
          <w:p>
            <w:pPr>
              <w:spacing w:after="0"/>
              <w:rPr>
                <w:sz w:val="13"/>
                <w:szCs w:val="13"/>
                <w:color w:val="auto"/>
              </w:rPr>
            </w:pPr>
          </w:p>
        </w:tc>
        <w:tc>
          <w:tcPr>
            <w:tcW w:w="90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(10,747)</w:t>
            </w:r>
          </w:p>
        </w:tc>
      </w:tr>
      <w:tr>
        <w:trPr>
          <w:trHeight w:val="138"/>
        </w:trPr>
        <w:tc>
          <w:tcPr>
            <w:tcW w:w="20" w:type="dxa"/>
            <w:vAlign w:val="bottom"/>
          </w:tcPr>
          <w:p>
            <w:pPr>
              <w:spacing w:after="0"/>
              <w:rPr>
                <w:sz w:val="11"/>
                <w:szCs w:val="11"/>
                <w:color w:val="auto"/>
              </w:rPr>
            </w:pPr>
          </w:p>
        </w:tc>
        <w:tc>
          <w:tcPr>
            <w:tcW w:w="3520" w:type="dxa"/>
            <w:vAlign w:val="bottom"/>
            <w:shd w:val="clear" w:color="auto" w:fill="E5E5E5"/>
          </w:tcPr>
          <w:p>
            <w:pPr>
              <w:ind w:left="200"/>
              <w:spacing w:after="0" w:line="138" w:lineRule="exact"/>
              <w:rPr>
                <w:sz w:val="20"/>
                <w:szCs w:val="20"/>
                <w:color w:val="auto"/>
              </w:rPr>
            </w:pPr>
            <w:r>
              <w:rPr>
                <w:rFonts w:ascii="Arial" w:cs="Arial" w:eastAsia="Arial" w:hAnsi="Arial"/>
                <w:sz w:val="14"/>
                <w:szCs w:val="14"/>
                <w:color w:val="auto"/>
                <w:w w:val="94"/>
              </w:rPr>
              <w:t>Distributions to noncontrolling interests and dividends for</w:t>
            </w:r>
          </w:p>
        </w:tc>
        <w:tc>
          <w:tcPr>
            <w:tcW w:w="26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90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520" w:type="dxa"/>
            <w:vAlign w:val="bottom"/>
            <w:shd w:val="clear" w:color="auto" w:fill="E5E5E5"/>
          </w:tcPr>
          <w:p>
            <w:pPr>
              <w:ind w:left="420"/>
              <w:spacing w:after="0" w:line="159" w:lineRule="exact"/>
              <w:rPr>
                <w:sz w:val="20"/>
                <w:szCs w:val="20"/>
                <w:color w:val="auto"/>
              </w:rPr>
            </w:pPr>
            <w:r>
              <w:rPr>
                <w:rFonts w:ascii="Arial" w:cs="Arial" w:eastAsia="Arial" w:hAnsi="Arial"/>
                <w:sz w:val="14"/>
                <w:szCs w:val="14"/>
                <w:color w:val="auto"/>
              </w:rPr>
              <w:t>redeemable subsidiary preferred stock</w:t>
            </w:r>
          </w:p>
        </w:tc>
        <w:tc>
          <w:tcPr>
            <w:tcW w:w="260" w:type="dxa"/>
            <w:vAlign w:val="bottom"/>
            <w:shd w:val="clear" w:color="auto" w:fill="E5E5E5"/>
          </w:tcPr>
          <w:p>
            <w:pPr>
              <w:spacing w:after="0"/>
              <w:rPr>
                <w:sz w:val="13"/>
                <w:szCs w:val="13"/>
                <w:color w:val="auto"/>
              </w:rPr>
            </w:pPr>
          </w:p>
        </w:tc>
        <w:tc>
          <w:tcPr>
            <w:tcW w:w="580" w:type="dxa"/>
            <w:vAlign w:val="bottom"/>
            <w:shd w:val="clear" w:color="auto" w:fill="E5E5E5"/>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500" w:type="dxa"/>
            <w:vAlign w:val="bottom"/>
            <w:shd w:val="clear" w:color="auto" w:fill="E5E5E5"/>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3"/>
                <w:szCs w:val="13"/>
                <w:color w:val="auto"/>
              </w:rPr>
            </w:pPr>
          </w:p>
        </w:tc>
        <w:tc>
          <w:tcPr>
            <w:tcW w:w="560" w:type="dxa"/>
            <w:vAlign w:val="bottom"/>
            <w:shd w:val="clear" w:color="auto" w:fill="E5E5E5"/>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3"/>
                <w:szCs w:val="13"/>
                <w:color w:val="auto"/>
              </w:rPr>
            </w:pPr>
          </w:p>
        </w:tc>
        <w:tc>
          <w:tcPr>
            <w:tcW w:w="700" w:type="dxa"/>
            <w:vAlign w:val="bottom"/>
            <w:shd w:val="clear" w:color="auto" w:fill="E5E5E5"/>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3"/>
                <w:szCs w:val="13"/>
                <w:color w:val="auto"/>
              </w:rPr>
            </w:pPr>
          </w:p>
        </w:tc>
        <w:tc>
          <w:tcPr>
            <w:tcW w:w="760" w:type="dxa"/>
            <w:vAlign w:val="bottom"/>
            <w:shd w:val="clear" w:color="auto" w:fill="E5E5E5"/>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3"/>
                <w:szCs w:val="13"/>
                <w:color w:val="auto"/>
              </w:rPr>
            </w:pPr>
          </w:p>
        </w:tc>
        <w:tc>
          <w:tcPr>
            <w:tcW w:w="740" w:type="dxa"/>
            <w:vAlign w:val="bottom"/>
            <w:shd w:val="clear" w:color="auto" w:fill="E5E5E5"/>
          </w:tcPr>
          <w:p>
            <w:pPr>
              <w:jc w:val="right"/>
              <w:ind w:right="112"/>
              <w:spacing w:after="0" w:line="159" w:lineRule="exact"/>
              <w:rPr>
                <w:sz w:val="20"/>
                <w:szCs w:val="20"/>
                <w:color w:val="auto"/>
              </w:rPr>
            </w:pPr>
            <w:r>
              <w:rPr>
                <w:rFonts w:ascii="Arial" w:cs="Arial" w:eastAsia="Arial" w:hAnsi="Arial"/>
                <w:sz w:val="14"/>
                <w:szCs w:val="14"/>
                <w:color w:val="auto"/>
              </w:rPr>
              <w:t>(49)</w:t>
            </w:r>
          </w:p>
        </w:tc>
        <w:tc>
          <w:tcPr>
            <w:tcW w:w="240" w:type="dxa"/>
            <w:vAlign w:val="bottom"/>
            <w:shd w:val="clear" w:color="auto" w:fill="E5E5E5"/>
          </w:tcPr>
          <w:p>
            <w:pPr>
              <w:spacing w:after="0"/>
              <w:rPr>
                <w:sz w:val="13"/>
                <w:szCs w:val="13"/>
                <w:color w:val="auto"/>
              </w:rPr>
            </w:pPr>
          </w:p>
        </w:tc>
        <w:tc>
          <w:tcPr>
            <w:tcW w:w="900" w:type="dxa"/>
            <w:vAlign w:val="bottom"/>
            <w:shd w:val="clear" w:color="auto" w:fill="E5E5E5"/>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3"/>
                <w:szCs w:val="13"/>
                <w:color w:val="auto"/>
              </w:rPr>
            </w:pPr>
          </w:p>
        </w:tc>
        <w:tc>
          <w:tcPr>
            <w:tcW w:w="70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(49)</w:t>
            </w: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rPr>
              <w:t>Settlement of Station Venture liability</w:t>
            </w:r>
          </w:p>
        </w:tc>
        <w:tc>
          <w:tcPr>
            <w:tcW w:w="2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(602)</w:t>
            </w:r>
          </w:p>
        </w:tc>
        <w:tc>
          <w:tcPr>
            <w:tcW w:w="240" w:type="dxa"/>
            <w:vAlign w:val="bottom"/>
          </w:tcPr>
          <w:p>
            <w:pPr>
              <w:spacing w:after="0"/>
              <w:rPr>
                <w:sz w:val="12"/>
                <w:szCs w:val="12"/>
                <w:color w:val="auto"/>
              </w:rPr>
            </w:pP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75</w:t>
            </w:r>
          </w:p>
        </w:tc>
        <w:tc>
          <w:tcPr>
            <w:tcW w:w="40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(40)</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(52)</w:t>
            </w:r>
          </w:p>
        </w:tc>
        <w:tc>
          <w:tcPr>
            <w:tcW w:w="24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(17)</w:t>
            </w:r>
          </w:p>
        </w:tc>
      </w:tr>
      <w:tr>
        <w:trPr>
          <w:trHeight w:val="142"/>
        </w:trPr>
        <w:tc>
          <w:tcPr>
            <w:tcW w:w="20" w:type="dxa"/>
            <w:vAlign w:val="bottom"/>
          </w:tcPr>
          <w:p>
            <w:pPr>
              <w:spacing w:after="0"/>
              <w:rPr>
                <w:sz w:val="12"/>
                <w:szCs w:val="12"/>
                <w:color w:val="auto"/>
              </w:rPr>
            </w:pPr>
          </w:p>
        </w:tc>
        <w:tc>
          <w:tcPr>
            <w:tcW w:w="3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96"/>
              </w:rPr>
              <w:t>2,592</w:t>
            </w: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85"/>
              </w:rPr>
              <w:t>(1,714)</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(3,327)</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(8,269)</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(10,718)</w:t>
            </w:r>
          </w:p>
        </w:tc>
      </w:tr>
      <w:tr>
        <w:trPr>
          <w:trHeight w:val="142"/>
        </w:trPr>
        <w:tc>
          <w:tcPr>
            <w:tcW w:w="20" w:type="dxa"/>
            <w:vAlign w:val="bottom"/>
          </w:tcPr>
          <w:p>
            <w:pPr>
              <w:spacing w:after="0"/>
              <w:rPr>
                <w:sz w:val="12"/>
                <w:szCs w:val="12"/>
                <w:color w:val="auto"/>
              </w:rPr>
            </w:pPr>
          </w:p>
        </w:tc>
        <w:tc>
          <w:tcPr>
            <w:tcW w:w="35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Increase (decrease) in cash and cash equivalents</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(4,816)</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(4,296)</w:t>
            </w:r>
          </w:p>
        </w:tc>
        <w:tc>
          <w:tcPr>
            <w:tcW w:w="240" w:type="dxa"/>
            <w:vAlign w:val="bottom"/>
            <w:shd w:val="clear" w:color="auto" w:fill="E5E5E5"/>
          </w:tcPr>
          <w:p>
            <w:pPr>
              <w:spacing w:after="0"/>
              <w:rPr>
                <w:sz w:val="12"/>
                <w:szCs w:val="12"/>
                <w:color w:val="auto"/>
              </w:rPr>
            </w:pPr>
          </w:p>
        </w:tc>
        <w:tc>
          <w:tcPr>
            <w:tcW w:w="90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(9,112)</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5,129</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5,822</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10,951</w:t>
            </w: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313</w:t>
            </w:r>
          </w:p>
        </w:tc>
        <w:tc>
          <w:tcPr>
            <w:tcW w:w="3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1,526</w:t>
            </w:r>
          </w:p>
        </w:tc>
        <w:tc>
          <w:tcPr>
            <w:tcW w:w="2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1,839</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Cable is the nation’s largest provider of video, high-speed Internet and voice services (“cable services”) to residential customers under the XFINITY brand, and we also provide similar and other services to small and medium-sized businesses. As of March 31, 2014, our cable systems served 22.6 million video customers, 21.1 million high-speed Internet customers and 10.9 million voice customers and passed more than 54 million homes and businesses. Our Cable Communications segment generates revenue primarily from subscriptions to our cable services, which we market individually and in packages, and from the sale of advertising. During the three months ended March 31, 2014, our Cable Communications segment generated 62% of our consolidated revenue and 79% of our operating income before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The Cable Networks, Broadcast Television, Filmed Entertainment and Theme Parks segments comprise the NBCUniversal businesses and are collectively referred to as the “NBCUniversal segments.”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networks, various international cable networks, and our cable television production operations. Our Cable Networks segment generates revenue primarily from the distribution of our cable network programming to multichannel video providers, the sale of advertising on our cable networks and related digital media properties, and the licensing of our owned programming.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and our broadcast television production operations. Our Broadcast Television segment generates revenue primarily from the sale of advertising on our broadcast networks, owned local broadcast television stations and related digital media properties, the licensing of our owned programming, and fees received under retransmission consent agreements.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Filmed Entertainment segment primarily produces, acquires, markets and distributes filmed entertainment worldwide. We also develop, produce and license live stage plays. Our Filmed Entertainment segment generates revenue primarily from the worldwide distribution of our owned and acquired films for exhibition in movie theaters, the licensing of our owned and acquired films through various distribution platforms, and the sale of our owned and acquired films on standard-definition video discs and Blu-ray discs (together, “DVDs”) and through digital distributors. Our Filmed Entertainment segment also generates revenue from producing and licensing live stage plays, from distributing filmed entertainment produced by third parties, and from various digital media properties.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segment consists primarily of our Universal theme parks in Orlando and Hollywood. Our Theme Parks segment generates revenue primarily from theme park attendance and per capita spending. Per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capita spending includes ticket price and in-park spending on food, beverages and merchandise. We also receive fees from third parties that own and operate Universal Studios Japan and Universal Studios Singapore for intellectual property licenses and other services.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Transaction</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12, 2014, we entered into an agreement and plan of merger with Time Warner Cable Inc. (“Time Warner Cable”). As a result of this agreement, we will acquire 100% of Time Warner Cable’s outstanding shares of common stock in exchange for shares of our Class A common stock. Time Warner Cable stockholders will receive, in exchange for each share of Time Warner Cable common stock owned immediately prior to the transaction, 2.875 shares of our Class A common stock. Time Warner Cable stockholders will then own approximately 23% of our common stock, estimated based on the number of shares outstanding as of the date of the agreement. Because the exchange ratio was fixed at the time of the merger agreement and the market value of our Class A common stock will continue to fluctuate, the number of shares of Class A common stock to be issued and the total value of the consideration exchanged will not be determinable until the closing date. Following the close of the transaction, Time Warner Cable will be our wholly owned subsidiary. The transaction remains subject to shareholder approval at both companies, regulatory review and other customary conditions and is expected to close by the end of 2014.</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results of operations of our reportable business segments are affected by competition, as all of our businesses operate in competitive, consumer-driven and rapidly changing environments and compete with a growing number of companies that provide a broad range of communications products and services and entertainment, news and information content to consumers. Additionally, there continue to be new companies with significant financial resources that potentially may compete on a larger scale with our cable services, as well as with our cable and broadcast networks and filmed entertainment businesses.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Competition for the cable services we offer consists primarily of direct broadcast satellite (“DBS”) providers, which have a national footprint and compete in all our service areas, and phone companies, which overlap approximately 45% of our service areas and are continuing to expand their fiber-based networks. We also compete with other providers of traditional cable services. All of these companies typically offer features, pricing and packaging for services comparable to our cable services.</w:t>
      </w:r>
    </w:p>
    <w:p>
      <w:pPr>
        <w:spacing w:after="0" w:line="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of NBCUniversal’s businesses also faces substantial and increasing competition from providers of similar types of content, as well as from other forms of entertainment and recreational activities. NBCUniversal also must compete to obtain talent, programming and other resources required in operating these businesses.</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Technological changes are further intensifying and complicating the competitive landscape for all of our businesses by challenging existing business models and affecting consumer behavior. Newer services and devices that enable online digital distribution of movies, television shows, and other cable and broadcast video programming continue to gain consumer acceptance and evolve, including some services that charge a nominal or no fee for such programming. These services and devices may potentially negatively affect demand for our video services, as well as demand for our cable network, broadcast television and filmed entertainment content, as the number of entertainment choices available to consumers increases and as video programming is more reliably delivered over the Internet and more easily viewed via the Internet on televisions. Wireless services and devices also continues to evolve allowing consumers to access information, entertainment and communication services, which could negatively impact demand for our cable services, including for our voice services as people substitute mobile phones for landline phones. In addition, delayed viewing and advertising skipping have become more common as the penetration of digital video recorders (“DVRs”) and similar products has increased and as content has become increasingly available via video-on-demand services and Internet sources, which may have a negative impact on our advertising revenue.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Cable Communications segment, we believe that adding more content and delivering it on an increasing variety of platforms will assist in attracting and retaining customers for our cable services. We are also developing and launching new technology initiatives, such as our X1 platform, and deploying new wireless gateway devices, to further enhance our video and high-speed Internet services. In our NBCUniversal segments, to compete for consumers of our content and for customers at our theme parks, we have invested, and will continue to invest, substantial amounts in acquiring content and producing original content for our cable networks and broadcast television networks, including the acquisition of sports rights, and will continue to invest in our film productions and in the development of new theme park attractions.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calendar quarter and increased net customer additions in the third and fourth quarters of each year.</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Revenue in our Cable Communications, Cable Networks and Broadcast Television segments is subject to cyclicality, with a benefit in even-numbered years from advertising related to candidates running for political office and issue-oriented advertising. Our Cable Networks and Broadcast Television segments revenue and operating costs and expenses are also cyclical as a result of our periodic broadcasts of the Olympic Games and the Super Bowl. Our advertising revenue generally increases in the period of these broadcasts from increased demand for advertising time, and our operating costs and expenses also increase as a result of our production costs and the amortization of the related rights fees.</w:t>
      </w:r>
    </w:p>
    <w:p>
      <w:pPr>
        <w:spacing w:after="0" w:line="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in our Filmed Entertainment segment fluctuates due to the timing of the release of films in movie theaters and the release of our films on DVD and through digital distributors. Release dates are determined by several factors, including competition and the timing of vacation and holiday periods. As a result, revenue tends to be seasonal, with increases experienced each year during the summer months and around the holidays. Revenue in our Cable Networks and Broadcast Television segments fluctuates depending on the timing of when our programming is aired on television, which typically results in higher advertising revenue in the second and fourth calendar quarter of each year. Revenue in our Cable Networks, Broadcast Television and Filmed Entertainment segments also fluctuates due to the timing of when our owned content is made available to licensees.</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local entertainment offerings and seasonal weather variations. Our theme parks generally experience peak attendance during the summer months when schools are closed and during early winter and spring holiday periods.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3"/>
          </w:tcPr>
          <w:p>
            <w:pPr>
              <w:jc w:val="right"/>
              <w:ind w:right="474"/>
              <w:spacing w:after="0"/>
              <w:rPr>
                <w:sz w:val="20"/>
                <w:szCs w:val="20"/>
                <w:color w:val="auto"/>
              </w:rPr>
            </w:pPr>
            <w:r>
              <w:rPr>
                <w:rFonts w:ascii="Arial" w:cs="Arial" w:eastAsia="Arial" w:hAnsi="Arial"/>
                <w:sz w:val="14"/>
                <w:szCs w:val="14"/>
                <w:color w:val="auto"/>
                <w:w w:val="99"/>
              </w:rPr>
              <w:t>Three Months Ended</w:t>
            </w:r>
          </w:p>
        </w:tc>
        <w:tc>
          <w:tcPr>
            <w:tcW w:w="106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79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0"/>
                <w:szCs w:val="20"/>
                <w:color w:val="auto"/>
              </w:rPr>
            </w:pPr>
          </w:p>
        </w:tc>
        <w:tc>
          <w:tcPr>
            <w:tcW w:w="1000" w:type="dxa"/>
            <w:vAlign w:val="bottom"/>
          </w:tcPr>
          <w:p>
            <w:pPr>
              <w:jc w:val="right"/>
              <w:ind w:right="596"/>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20"/>
                <w:szCs w:val="20"/>
                <w:color w:val="auto"/>
              </w:rPr>
            </w:pPr>
          </w:p>
        </w:tc>
        <w:tc>
          <w:tcPr>
            <w:tcW w:w="780" w:type="dxa"/>
            <w:vAlign w:val="bottom"/>
          </w:tcPr>
          <w:p>
            <w:pPr>
              <w:jc w:val="right"/>
              <w:ind w:right="354"/>
              <w:spacing w:after="0"/>
              <w:rPr>
                <w:sz w:val="20"/>
                <w:szCs w:val="20"/>
                <w:color w:val="auto"/>
              </w:rPr>
            </w:pPr>
            <w:r>
              <w:rPr>
                <w:rFonts w:ascii="Arial" w:cs="Arial" w:eastAsia="Arial" w:hAnsi="Arial"/>
                <w:sz w:val="14"/>
                <w:szCs w:val="14"/>
                <w:color w:val="auto"/>
              </w:rPr>
              <w:t>2013</w:t>
            </w:r>
          </w:p>
        </w:tc>
        <w:tc>
          <w:tcPr>
            <w:tcW w:w="10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436"/>
              <w:spacing w:after="0"/>
              <w:rPr>
                <w:sz w:val="20"/>
                <w:szCs w:val="20"/>
                <w:color w:val="auto"/>
              </w:rPr>
            </w:pPr>
            <w:r>
              <w:rPr>
                <w:rFonts w:ascii="Arial" w:cs="Arial" w:eastAsia="Arial" w:hAnsi="Arial"/>
                <w:sz w:val="18"/>
                <w:szCs w:val="18"/>
                <w:color w:val="auto"/>
                <w:w w:val="83"/>
              </w:rPr>
              <w:t>17,408</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w w:val="83"/>
              </w:rPr>
              <w:t>15,310</w:t>
            </w:r>
          </w:p>
        </w:tc>
        <w:tc>
          <w:tcPr>
            <w:tcW w:w="10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rPr>
              <w:t>5,908</w:t>
            </w:r>
          </w:p>
        </w:tc>
        <w:tc>
          <w:tcPr>
            <w:tcW w:w="1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4,663</w:t>
            </w:r>
          </w:p>
        </w:tc>
        <w:tc>
          <w:tcPr>
            <w:tcW w:w="10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4,466</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79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1,147</w:t>
            </w:r>
          </w:p>
        </w:tc>
        <w:tc>
          <w:tcPr>
            <w:tcW w:w="10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1,566</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36"/>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401</w:t>
            </w:r>
          </w:p>
        </w:tc>
        <w:tc>
          <w:tcPr>
            <w:tcW w:w="10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(0.2)</w:t>
            </w: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3,067</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5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76"/>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(497)</w:t>
            </w:r>
          </w:p>
        </w:tc>
        <w:tc>
          <w:tcPr>
            <w:tcW w:w="10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3.1</w:t>
            </w: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2,570</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76"/>
              <w:spacing w:after="0"/>
              <w:rPr>
                <w:sz w:val="20"/>
                <w:szCs w:val="20"/>
                <w:color w:val="auto"/>
              </w:rPr>
            </w:pPr>
            <w:r>
              <w:rPr>
                <w:rFonts w:ascii="Arial" w:cs="Arial" w:eastAsia="Arial" w:hAnsi="Arial"/>
                <w:sz w:val="18"/>
                <w:szCs w:val="18"/>
                <w:color w:val="auto"/>
                <w:w w:val="91"/>
              </w:rPr>
              <w:t>(1,118)</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(925)</w:t>
            </w:r>
          </w:p>
        </w:tc>
        <w:tc>
          <w:tcPr>
            <w:tcW w:w="10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20.8</w:t>
            </w: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1,645</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17.8</w:t>
            </w: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5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76"/>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(208)</w:t>
            </w:r>
          </w:p>
        </w:tc>
        <w:tc>
          <w:tcPr>
            <w:tcW w:w="10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(67.9)</w:t>
            </w:r>
          </w:p>
        </w:tc>
      </w:tr>
      <w:tr>
        <w:trPr>
          <w:trHeight w:val="217"/>
        </w:trPr>
        <w:tc>
          <w:tcPr>
            <w:tcW w:w="20" w:type="dxa"/>
            <w:vAlign w:val="bottom"/>
            <w:tcBorders>
              <w:bottom w:val="single" w:sz="8" w:color="auto"/>
            </w:tcBorders>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1,871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1,437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All of our reportable business segments accounted for the increase in consolidated revenue for the three months ended March 31, 2014. The increase in revenue in our Cable Networks and Broadcast Television segments was primarily due to improved performance and our broadcast of the 2014 Sochi Olympics. Excluding $1.1 billion of revenue associated with the broadcast of the 2014 Sochi Olympics, consolidated revenue increased 6.5% for the three months ended March 31, 2014. Revenue for our Cable Communications and NBCUniversal segments is discussed separately below under the heading “Segment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Communications, Cable Networks, Broadcast Television and Theme Parks segments accounted for substantially all of the increase in consolidated costs and expenses, excluding depreciation and amortization (“operating costs and expenses”) for the three months ended March 31, 2014. Operating costs and expenses for our Cable Communications and NBCUniversal segments are discussed separately below under the heading “Segment Operating Results.”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Consolidated depreciation and amortization remained flat for the three months ended March 31, 2014 compared to the same period in 2013.</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the business segment footnote to our condensed consolidated financial statements (see Note 11 to Comcast’s condensed consolidated financial statements and Note 9 to NBCUniversal’s condensed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2014, Fandango, our movie ticketing and entertainment business that was previously presented in our Cable Networks segment, is now presented in the Filmed Entertainment segment to reflect the change in our management reporting presentation. Due to immateriality, prior period amounts have not been adjusted.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80" w:type="dxa"/>
            <w:vAlign w:val="bottom"/>
            <w:gridSpan w:val="3"/>
          </w:tcPr>
          <w:p>
            <w:pPr>
              <w:jc w:val="right"/>
              <w:ind w:right="393"/>
              <w:spacing w:after="0"/>
              <w:rPr>
                <w:sz w:val="20"/>
                <w:szCs w:val="20"/>
                <w:color w:val="auto"/>
              </w:rPr>
            </w:pPr>
            <w:r>
              <w:rPr>
                <w:rFonts w:ascii="Arial" w:cs="Arial" w:eastAsia="Arial" w:hAnsi="Arial"/>
                <w:sz w:val="14"/>
                <w:szCs w:val="14"/>
                <w:color w:val="auto"/>
                <w:w w:val="97"/>
              </w:rPr>
              <w:t>Three Months Ended</w:t>
            </w:r>
          </w:p>
        </w:tc>
        <w:tc>
          <w:tcPr>
            <w:tcW w:w="1160" w:type="dxa"/>
            <w:vAlign w:val="bottom"/>
          </w:tcPr>
          <w:p>
            <w:pPr>
              <w:jc w:val="right"/>
              <w:spacing w:after="0"/>
              <w:rPr>
                <w:sz w:val="20"/>
                <w:szCs w:val="20"/>
                <w:color w:val="auto"/>
              </w:rPr>
            </w:pPr>
            <w:r>
              <w:rPr>
                <w:rFonts w:ascii="Arial" w:cs="Arial" w:eastAsia="Arial" w:hAnsi="Arial"/>
                <w:sz w:val="14"/>
                <w:szCs w:val="14"/>
                <w:color w:val="auto"/>
              </w:rPr>
              <w:t>Increase/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4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(Decrease)</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4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rPr>
              <w:t>2013</w:t>
            </w:r>
          </w:p>
        </w:tc>
        <w:tc>
          <w:tcPr>
            <w:tcW w:w="1160" w:type="dxa"/>
            <w:vAlign w:val="bottom"/>
            <w:tcBorders>
              <w:bottom w:val="single" w:sz="8" w:color="auto"/>
            </w:tcBorders>
          </w:tcPr>
          <w:p>
            <w:pPr>
              <w:jc w:val="right"/>
              <w:ind w:right="616"/>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5,178</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5,113</w:t>
            </w:r>
          </w:p>
        </w:tc>
        <w:tc>
          <w:tcPr>
            <w:tcW w:w="1160" w:type="dxa"/>
            <w:vAlign w:val="bottom"/>
            <w:shd w:val="clear" w:color="auto" w:fill="E5E5E5"/>
          </w:tcPr>
          <w:p>
            <w:pPr>
              <w:jc w:val="right"/>
              <w:ind w:right="476"/>
              <w:spacing w:after="0"/>
              <w:rPr>
                <w:sz w:val="20"/>
                <w:szCs w:val="20"/>
                <w:color w:val="auto"/>
              </w:rPr>
            </w:pPr>
            <w:r>
              <w:rPr>
                <w:rFonts w:ascii="Arial" w:cs="Arial" w:eastAsia="Arial" w:hAnsi="Arial"/>
                <w:sz w:val="18"/>
                <w:szCs w:val="18"/>
                <w:color w:val="auto"/>
              </w:rPr>
              <w:t>$ 65</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44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50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2,750</w:t>
            </w:r>
          </w:p>
        </w:tc>
        <w:tc>
          <w:tcPr>
            <w:tcW w:w="32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2,523</w:t>
            </w:r>
          </w:p>
        </w:tc>
        <w:tc>
          <w:tcPr>
            <w:tcW w:w="1160" w:type="dxa"/>
            <w:vAlign w:val="bottom"/>
          </w:tcPr>
          <w:p>
            <w:pPr>
              <w:jc w:val="right"/>
              <w:ind w:right="476"/>
              <w:spacing w:after="0"/>
              <w:rPr>
                <w:sz w:val="20"/>
                <w:szCs w:val="20"/>
                <w:color w:val="auto"/>
              </w:rPr>
            </w:pPr>
            <w:r>
              <w:rPr>
                <w:rFonts w:ascii="Arial" w:cs="Arial" w:eastAsia="Arial" w:hAnsi="Arial"/>
                <w:sz w:val="18"/>
                <w:szCs w:val="18"/>
                <w:color w:val="auto"/>
              </w:rPr>
              <w:t>227</w:t>
            </w:r>
          </w:p>
        </w:tc>
        <w:tc>
          <w:tcPr>
            <w:tcW w:w="540" w:type="dxa"/>
            <w:vAlign w:val="bottom"/>
          </w:tcPr>
          <w:p>
            <w:pPr>
              <w:jc w:val="right"/>
              <w:ind w:right="13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920</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900</w:t>
            </w:r>
          </w:p>
        </w:tc>
        <w:tc>
          <w:tcPr>
            <w:tcW w:w="1160" w:type="dxa"/>
            <w:vAlign w:val="bottom"/>
            <w:shd w:val="clear" w:color="auto" w:fill="E5E5E5"/>
          </w:tcPr>
          <w:p>
            <w:pPr>
              <w:jc w:val="right"/>
              <w:ind w:right="476"/>
              <w:spacing w:after="0"/>
              <w:rPr>
                <w:sz w:val="20"/>
                <w:szCs w:val="20"/>
                <w:color w:val="auto"/>
              </w:rPr>
            </w:pPr>
            <w:r>
              <w:rPr>
                <w:rFonts w:ascii="Arial" w:cs="Arial" w:eastAsia="Arial" w:hAnsi="Arial"/>
                <w:sz w:val="18"/>
                <w:szCs w:val="18"/>
                <w:color w:val="auto"/>
              </w:rPr>
              <w:t>20</w:t>
            </w:r>
          </w:p>
        </w:tc>
        <w:tc>
          <w:tcPr>
            <w:tcW w:w="5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50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741</w:t>
            </w:r>
          </w:p>
        </w:tc>
        <w:tc>
          <w:tcPr>
            <w:tcW w:w="1160" w:type="dxa"/>
            <w:vAlign w:val="bottom"/>
          </w:tcPr>
          <w:p>
            <w:pPr>
              <w:jc w:val="right"/>
              <w:ind w:right="476"/>
              <w:spacing w:after="0"/>
              <w:rPr>
                <w:sz w:val="20"/>
                <w:szCs w:val="20"/>
                <w:color w:val="auto"/>
              </w:rPr>
            </w:pPr>
            <w:r>
              <w:rPr>
                <w:rFonts w:ascii="Arial" w:cs="Arial" w:eastAsia="Arial" w:hAnsi="Arial"/>
                <w:sz w:val="18"/>
                <w:szCs w:val="18"/>
                <w:color w:val="auto"/>
              </w:rPr>
              <w:t>176</w:t>
            </w:r>
          </w:p>
        </w:tc>
        <w:tc>
          <w:tcPr>
            <w:tcW w:w="540" w:type="dxa"/>
            <w:vAlign w:val="bottom"/>
          </w:tcPr>
          <w:p>
            <w:pPr>
              <w:jc w:val="right"/>
              <w:ind w:right="133"/>
              <w:spacing w:after="0"/>
              <w:rPr>
                <w:sz w:val="20"/>
                <w:szCs w:val="20"/>
                <w:color w:val="auto"/>
              </w:rPr>
            </w:pPr>
            <w:r>
              <w:rPr>
                <w:rFonts w:ascii="Arial" w:cs="Arial" w:eastAsia="Arial" w:hAnsi="Arial"/>
                <w:sz w:val="18"/>
                <w:szCs w:val="18"/>
                <w:color w:val="auto"/>
                <w:w w:val="85"/>
              </w:rPr>
              <w:t>23.9</w:t>
            </w: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519</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488</w:t>
            </w:r>
          </w:p>
        </w:tc>
        <w:tc>
          <w:tcPr>
            <w:tcW w:w="1160" w:type="dxa"/>
            <w:vAlign w:val="bottom"/>
            <w:shd w:val="clear" w:color="auto" w:fill="E5E5E5"/>
          </w:tcPr>
          <w:p>
            <w:pPr>
              <w:jc w:val="right"/>
              <w:ind w:right="476"/>
              <w:spacing w:after="0"/>
              <w:rPr>
                <w:sz w:val="20"/>
                <w:szCs w:val="20"/>
                <w:color w:val="auto"/>
              </w:rPr>
            </w:pPr>
            <w:r>
              <w:rPr>
                <w:rFonts w:ascii="Arial" w:cs="Arial" w:eastAsia="Arial" w:hAnsi="Arial"/>
                <w:sz w:val="18"/>
                <w:szCs w:val="18"/>
                <w:color w:val="auto"/>
              </w:rPr>
              <w:t>31</w:t>
            </w:r>
          </w:p>
        </w:tc>
        <w:tc>
          <w:tcPr>
            <w:tcW w:w="5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473</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452</w:t>
            </w: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21</w:t>
            </w: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7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b w:val="1"/>
                <w:bCs w:val="1"/>
                <w:color w:val="auto"/>
                <w:w w:val="87"/>
              </w:rPr>
              <w:t>10,757</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w w:val="83"/>
              </w:rPr>
              <w:t>10,217</w:t>
            </w:r>
          </w:p>
        </w:tc>
        <w:tc>
          <w:tcPr>
            <w:tcW w:w="1160" w:type="dxa"/>
            <w:vAlign w:val="bottom"/>
            <w:shd w:val="clear" w:color="auto" w:fill="E5E5E5"/>
          </w:tcPr>
          <w:p>
            <w:pPr>
              <w:jc w:val="right"/>
              <w:ind w:right="476"/>
              <w:spacing w:after="0"/>
              <w:rPr>
                <w:sz w:val="20"/>
                <w:szCs w:val="20"/>
                <w:color w:val="auto"/>
              </w:rPr>
            </w:pPr>
            <w:r>
              <w:rPr>
                <w:rFonts w:ascii="Arial" w:cs="Arial" w:eastAsia="Arial" w:hAnsi="Arial"/>
                <w:sz w:val="18"/>
                <w:szCs w:val="18"/>
                <w:b w:val="1"/>
                <w:bCs w:val="1"/>
                <w:color w:val="auto"/>
              </w:rPr>
              <w:t>540</w:t>
            </w:r>
          </w:p>
        </w:tc>
        <w:tc>
          <w:tcPr>
            <w:tcW w:w="54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2,452</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2,253</w:t>
            </w:r>
          </w:p>
        </w:tc>
        <w:tc>
          <w:tcPr>
            <w:tcW w:w="1160" w:type="dxa"/>
            <w:vAlign w:val="bottom"/>
            <w:shd w:val="clear" w:color="auto" w:fill="E5E5E5"/>
          </w:tcPr>
          <w:p>
            <w:pPr>
              <w:jc w:val="right"/>
              <w:ind w:right="476"/>
              <w:spacing w:after="0"/>
              <w:rPr>
                <w:sz w:val="20"/>
                <w:szCs w:val="20"/>
                <w:color w:val="auto"/>
              </w:rPr>
            </w:pPr>
            <w:r>
              <w:rPr>
                <w:rFonts w:ascii="Arial" w:cs="Arial" w:eastAsia="Arial" w:hAnsi="Arial"/>
                <w:sz w:val="18"/>
                <w:szCs w:val="18"/>
                <w:color w:val="auto"/>
              </w:rPr>
              <w:t>199</w:t>
            </w:r>
          </w:p>
        </w:tc>
        <w:tc>
          <w:tcPr>
            <w:tcW w:w="5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50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1,377</w:t>
            </w:r>
          </w:p>
        </w:tc>
        <w:tc>
          <w:tcPr>
            <w:tcW w:w="32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1,320</w:t>
            </w:r>
          </w:p>
        </w:tc>
        <w:tc>
          <w:tcPr>
            <w:tcW w:w="1160" w:type="dxa"/>
            <w:vAlign w:val="bottom"/>
          </w:tcPr>
          <w:p>
            <w:pPr>
              <w:jc w:val="right"/>
              <w:ind w:right="476"/>
              <w:spacing w:after="0"/>
              <w:rPr>
                <w:sz w:val="20"/>
                <w:szCs w:val="20"/>
                <w:color w:val="auto"/>
              </w:rPr>
            </w:pPr>
            <w:r>
              <w:rPr>
                <w:rFonts w:ascii="Arial" w:cs="Arial" w:eastAsia="Arial" w:hAnsi="Arial"/>
                <w:sz w:val="18"/>
                <w:szCs w:val="18"/>
                <w:color w:val="auto"/>
              </w:rPr>
              <w:t>57</w:t>
            </w:r>
          </w:p>
        </w:tc>
        <w:tc>
          <w:tcPr>
            <w:tcW w:w="540" w:type="dxa"/>
            <w:vAlign w:val="bottom"/>
          </w:tcPr>
          <w:p>
            <w:pPr>
              <w:jc w:val="right"/>
              <w:ind w:right="1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548</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521</w:t>
            </w:r>
          </w:p>
        </w:tc>
        <w:tc>
          <w:tcPr>
            <w:tcW w:w="1160" w:type="dxa"/>
            <w:vAlign w:val="bottom"/>
            <w:shd w:val="clear" w:color="auto" w:fill="E5E5E5"/>
          </w:tcPr>
          <w:p>
            <w:pPr>
              <w:jc w:val="right"/>
              <w:ind w:right="476"/>
              <w:spacing w:after="0"/>
              <w:rPr>
                <w:sz w:val="20"/>
                <w:szCs w:val="20"/>
                <w:color w:val="auto"/>
              </w:rPr>
            </w:pPr>
            <w:r>
              <w:rPr>
                <w:rFonts w:ascii="Arial" w:cs="Arial" w:eastAsia="Arial" w:hAnsi="Arial"/>
                <w:sz w:val="18"/>
                <w:szCs w:val="18"/>
                <w:color w:val="auto"/>
              </w:rPr>
              <w:t>27</w:t>
            </w:r>
          </w:p>
        </w:tc>
        <w:tc>
          <w:tcPr>
            <w:tcW w:w="5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Franchise and other regulatory fees</w:t>
            </w:r>
          </w:p>
        </w:tc>
        <w:tc>
          <w:tcPr>
            <w:tcW w:w="50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308</w:t>
            </w:r>
          </w:p>
        </w:tc>
        <w:tc>
          <w:tcPr>
            <w:tcW w:w="1160" w:type="dxa"/>
            <w:vAlign w:val="bottom"/>
          </w:tcPr>
          <w:p>
            <w:pPr>
              <w:jc w:val="right"/>
              <w:ind w:right="476"/>
              <w:spacing w:after="0"/>
              <w:rPr>
                <w:sz w:val="20"/>
                <w:szCs w:val="20"/>
                <w:color w:val="auto"/>
              </w:rPr>
            </w:pPr>
            <w:r>
              <w:rPr>
                <w:rFonts w:ascii="Arial" w:cs="Arial" w:eastAsia="Arial" w:hAnsi="Arial"/>
                <w:sz w:val="18"/>
                <w:szCs w:val="18"/>
                <w:color w:val="auto"/>
              </w:rPr>
              <w:t>13</w:t>
            </w:r>
          </w:p>
        </w:tc>
        <w:tc>
          <w:tcPr>
            <w:tcW w:w="54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704</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669</w:t>
            </w:r>
          </w:p>
        </w:tc>
        <w:tc>
          <w:tcPr>
            <w:tcW w:w="1160" w:type="dxa"/>
            <w:vAlign w:val="bottom"/>
            <w:shd w:val="clear" w:color="auto" w:fill="E5E5E5"/>
          </w:tcPr>
          <w:p>
            <w:pPr>
              <w:jc w:val="right"/>
              <w:ind w:right="476"/>
              <w:spacing w:after="0"/>
              <w:rPr>
                <w:sz w:val="20"/>
                <w:szCs w:val="20"/>
                <w:color w:val="auto"/>
              </w:rPr>
            </w:pPr>
            <w:r>
              <w:rPr>
                <w:rFonts w:ascii="Arial" w:cs="Arial" w:eastAsia="Arial" w:hAnsi="Arial"/>
                <w:sz w:val="18"/>
                <w:szCs w:val="18"/>
                <w:color w:val="auto"/>
              </w:rPr>
              <w:t>35</w:t>
            </w:r>
          </w:p>
        </w:tc>
        <w:tc>
          <w:tcPr>
            <w:tcW w:w="5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955</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927</w:t>
            </w: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28</w:t>
            </w: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6,357</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5,998</w:t>
            </w:r>
          </w:p>
        </w:tc>
        <w:tc>
          <w:tcPr>
            <w:tcW w:w="1160" w:type="dxa"/>
            <w:vAlign w:val="bottom"/>
            <w:tcBorders>
              <w:bottom w:val="single" w:sz="8" w:color="auto"/>
            </w:tcBorders>
            <w:shd w:val="clear" w:color="auto" w:fill="E5E5E5"/>
          </w:tcPr>
          <w:p>
            <w:pPr>
              <w:jc w:val="right"/>
              <w:ind w:right="476"/>
              <w:spacing w:after="0"/>
              <w:rPr>
                <w:sz w:val="20"/>
                <w:szCs w:val="20"/>
                <w:color w:val="auto"/>
              </w:rPr>
            </w:pPr>
            <w:r>
              <w:rPr>
                <w:rFonts w:ascii="Arial" w:cs="Arial" w:eastAsia="Arial" w:hAnsi="Arial"/>
                <w:sz w:val="18"/>
                <w:szCs w:val="18"/>
                <w:color w:val="auto"/>
              </w:rPr>
              <w:t>359</w:t>
            </w:r>
          </w:p>
        </w:tc>
        <w:tc>
          <w:tcPr>
            <w:tcW w:w="5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4,400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4,219</w:t>
            </w: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b w:val="1"/>
                <w:bCs w:val="1"/>
                <w:color w:val="auto"/>
              </w:rPr>
              <w:t>$181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in 2014, our Cable Communications segment revised its methodology for counting customers related to how we count and report customers who reside in multiple dwelling units (“MDUs”) that are billed under bulk contracts (the “billable customers method”). For MDUs whose residents have the ability to receive additional cable services, such as additional programming choices or our high-definition (“HD”) or DVR services, we now count and report customers based on the number of potential billable relationships within each MDU. For MDUs whose residents are not able to receive additional cable services, the MDU is now counted as a single customer. Previously, we had counted and reported these customers on an equivalent billing unit basis by dividing monthly revenue received under an MDU’s bulk contract by the standard monthly residential rate where the MDU was located (the “EBU method”). We believe the billable customers method is consistent with the methodology used by other companies in our industry, including Time Warner Cable, to count and report customers.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tables below present customer metrics using the billable customers method. Because the differences in the number of customers using the billable customers method and the EBU method for high-speed Internet and voice customers were not material, high-speed Internet and voice customers metrics as of and for the three months ended March 31, 2013 are presented using the EBU method.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Metrics—Billable Customers Method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120" w:type="dxa"/>
            <w:vAlign w:val="bottom"/>
            <w:tcBorders>
              <w:bottom w:val="single" w:sz="8" w:color="auto"/>
            </w:tcBorders>
            <w:gridSpan w:val="2"/>
          </w:tcPr>
          <w:p>
            <w:pPr>
              <w:jc w:val="right"/>
              <w:ind w:right="1117"/>
              <w:spacing w:after="0"/>
              <w:rPr>
                <w:sz w:val="20"/>
                <w:szCs w:val="20"/>
                <w:color w:val="auto"/>
              </w:rPr>
            </w:pPr>
            <w:r>
              <w:rPr>
                <w:rFonts w:ascii="Arial" w:cs="Arial" w:eastAsia="Arial" w:hAnsi="Arial"/>
                <w:sz w:val="14"/>
                <w:szCs w:val="14"/>
                <w:color w:val="auto"/>
              </w:rPr>
              <w:t>Total Customers</w:t>
            </w:r>
          </w:p>
        </w:tc>
        <w:tc>
          <w:tcPr>
            <w:tcW w:w="3720" w:type="dxa"/>
            <w:vAlign w:val="bottom"/>
            <w:tcBorders>
              <w:bottom w:val="single" w:sz="8" w:color="auto"/>
            </w:tcBorders>
            <w:gridSpan w:val="2"/>
          </w:tcPr>
          <w:p>
            <w:pPr>
              <w:jc w:val="right"/>
              <w:ind w:right="817"/>
              <w:spacing w:after="0"/>
              <w:rPr>
                <w:sz w:val="20"/>
                <w:szCs w:val="20"/>
                <w:color w:val="auto"/>
              </w:rPr>
            </w:pPr>
            <w:r>
              <w:rPr>
                <w:rFonts w:ascii="Arial" w:cs="Arial" w:eastAsia="Arial" w:hAnsi="Arial"/>
                <w:sz w:val="14"/>
                <w:szCs w:val="14"/>
                <w:color w:val="auto"/>
              </w:rPr>
              <w:t>Net Additional Customers</w:t>
            </w:r>
          </w:p>
        </w:tc>
      </w:tr>
      <w:tr>
        <w:trPr>
          <w:trHeight w:val="166"/>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80" w:type="dxa"/>
            <w:vAlign w:val="bottom"/>
          </w:tcPr>
          <w:p>
            <w:pPr>
              <w:jc w:val="right"/>
              <w:ind w:right="258"/>
              <w:spacing w:after="0"/>
              <w:rPr>
                <w:sz w:val="20"/>
                <w:szCs w:val="20"/>
                <w:color w:val="auto"/>
              </w:rPr>
            </w:pPr>
            <w:r>
              <w:rPr>
                <w:rFonts w:ascii="Arial" w:cs="Arial" w:eastAsia="Arial" w:hAnsi="Arial"/>
                <w:sz w:val="14"/>
                <w:szCs w:val="14"/>
                <w:color w:val="auto"/>
              </w:rPr>
              <w:t>March 31</w:t>
            </w:r>
          </w:p>
        </w:tc>
        <w:tc>
          <w:tcPr>
            <w:tcW w:w="1640" w:type="dxa"/>
            <w:vAlign w:val="bottom"/>
          </w:tcPr>
          <w:p>
            <w:pPr>
              <w:jc w:val="right"/>
              <w:ind w:right="697"/>
              <w:spacing w:after="0"/>
              <w:rPr>
                <w:sz w:val="20"/>
                <w:szCs w:val="20"/>
                <w:color w:val="auto"/>
              </w:rPr>
            </w:pPr>
            <w:r>
              <w:rPr>
                <w:rFonts w:ascii="Arial" w:cs="Arial" w:eastAsia="Arial" w:hAnsi="Arial"/>
                <w:sz w:val="14"/>
                <w:szCs w:val="14"/>
                <w:color w:val="auto"/>
              </w:rPr>
              <w:t>March 31</w:t>
            </w:r>
          </w:p>
        </w:tc>
        <w:tc>
          <w:tcPr>
            <w:tcW w:w="3720" w:type="dxa"/>
            <w:vAlign w:val="bottom"/>
            <w:gridSpan w:val="2"/>
          </w:tcPr>
          <w:p>
            <w:pPr>
              <w:jc w:val="right"/>
              <w:ind w:right="957"/>
              <w:spacing w:after="0"/>
              <w:rPr>
                <w:sz w:val="20"/>
                <w:szCs w:val="20"/>
                <w:color w:val="auto"/>
              </w:rPr>
            </w:pPr>
            <w:r>
              <w:rPr>
                <w:rFonts w:ascii="Arial" w:cs="Arial" w:eastAsia="Arial" w:hAnsi="Arial"/>
                <w:sz w:val="14"/>
                <w:szCs w:val="14"/>
                <w:color w:val="auto"/>
              </w:rPr>
              <w:t>Three Months Ended</w:t>
            </w:r>
          </w:p>
        </w:tc>
      </w:tr>
      <w:tr>
        <w:trPr>
          <w:trHeight w:val="219"/>
        </w:trPr>
        <w:tc>
          <w:tcPr>
            <w:tcW w:w="45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80" w:type="dxa"/>
            <w:vAlign w:val="bottom"/>
          </w:tcPr>
          <w:p>
            <w:pPr>
              <w:jc w:val="right"/>
              <w:ind w:right="398"/>
              <w:spacing w:after="0"/>
              <w:rPr>
                <w:sz w:val="20"/>
                <w:szCs w:val="20"/>
                <w:color w:val="auto"/>
              </w:rPr>
            </w:pPr>
            <w:r>
              <w:rPr>
                <w:rFonts w:ascii="Arial" w:cs="Arial" w:eastAsia="Arial" w:hAnsi="Arial"/>
                <w:sz w:val="14"/>
                <w:szCs w:val="14"/>
                <w:color w:val="auto"/>
              </w:rPr>
              <w:t>2014</w:t>
            </w:r>
          </w:p>
        </w:tc>
        <w:tc>
          <w:tcPr>
            <w:tcW w:w="1640" w:type="dxa"/>
            <w:vAlign w:val="bottom"/>
          </w:tcPr>
          <w:p>
            <w:pPr>
              <w:jc w:val="right"/>
              <w:ind w:right="817"/>
              <w:spacing w:after="0"/>
              <w:rPr>
                <w:sz w:val="20"/>
                <w:szCs w:val="20"/>
                <w:color w:val="auto"/>
              </w:rPr>
            </w:pPr>
            <w:r>
              <w:rPr>
                <w:rFonts w:ascii="Arial" w:cs="Arial" w:eastAsia="Arial" w:hAnsi="Arial"/>
                <w:sz w:val="14"/>
                <w:szCs w:val="14"/>
                <w:color w:val="auto"/>
              </w:rPr>
              <w:t>2013</w:t>
            </w:r>
          </w:p>
        </w:tc>
        <w:tc>
          <w:tcPr>
            <w:tcW w:w="1860" w:type="dxa"/>
            <w:vAlign w:val="bottom"/>
          </w:tcPr>
          <w:p>
            <w:pPr>
              <w:jc w:val="right"/>
              <w:ind w:right="158"/>
              <w:spacing w:after="0"/>
              <w:rPr>
                <w:sz w:val="20"/>
                <w:szCs w:val="20"/>
                <w:color w:val="auto"/>
              </w:rPr>
            </w:pPr>
            <w:r>
              <w:rPr>
                <w:rFonts w:ascii="Arial" w:cs="Arial" w:eastAsia="Arial" w:hAnsi="Arial"/>
                <w:sz w:val="14"/>
                <w:szCs w:val="14"/>
                <w:color w:val="auto"/>
              </w:rPr>
              <w:t>March 31, 2014</w:t>
            </w:r>
          </w:p>
        </w:tc>
        <w:tc>
          <w:tcPr>
            <w:tcW w:w="1860" w:type="dxa"/>
            <w:vAlign w:val="bottom"/>
          </w:tcPr>
          <w:p>
            <w:pPr>
              <w:jc w:val="right"/>
              <w:ind w:right="157"/>
              <w:spacing w:after="0"/>
              <w:rPr>
                <w:sz w:val="20"/>
                <w:szCs w:val="20"/>
                <w:color w:val="auto"/>
              </w:rPr>
            </w:pPr>
            <w:r>
              <w:rPr>
                <w:rFonts w:ascii="Arial" w:cs="Arial" w:eastAsia="Arial" w:hAnsi="Arial"/>
                <w:sz w:val="14"/>
                <w:szCs w:val="14"/>
                <w:color w:val="auto"/>
              </w:rPr>
              <w:t>March 31, 2013</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480" w:type="dxa"/>
            <w:vAlign w:val="bottom"/>
            <w:tcBorders>
              <w:top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color w:val="auto"/>
              </w:rPr>
              <w:t>22,601</w:t>
            </w:r>
          </w:p>
        </w:tc>
        <w:tc>
          <w:tcPr>
            <w:tcW w:w="1640" w:type="dxa"/>
            <w:vAlign w:val="bottom"/>
            <w:tcBorders>
              <w:top w:val="single" w:sz="8" w:color="auto"/>
            </w:tcBorders>
            <w:shd w:val="clear" w:color="auto" w:fill="E5E5E5"/>
          </w:tcPr>
          <w:p>
            <w:pPr>
              <w:jc w:val="right"/>
              <w:ind w:right="677"/>
              <w:spacing w:after="0"/>
              <w:rPr>
                <w:sz w:val="20"/>
                <w:szCs w:val="20"/>
                <w:color w:val="auto"/>
              </w:rPr>
            </w:pPr>
            <w:r>
              <w:rPr>
                <w:rFonts w:ascii="Arial" w:cs="Arial" w:eastAsia="Arial" w:hAnsi="Arial"/>
                <w:sz w:val="18"/>
                <w:szCs w:val="18"/>
                <w:color w:val="auto"/>
              </w:rPr>
              <w:t>22,819</w:t>
            </w:r>
          </w:p>
        </w:tc>
        <w:tc>
          <w:tcPr>
            <w:tcW w:w="1860" w:type="dxa"/>
            <w:vAlign w:val="bottom"/>
            <w:tcBorders>
              <w:top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color w:val="auto"/>
              </w:rPr>
              <w:t>24</w:t>
            </w:r>
          </w:p>
        </w:tc>
        <w:tc>
          <w:tcPr>
            <w:tcW w:w="1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480" w:type="dxa"/>
            <w:vAlign w:val="bottom"/>
          </w:tcPr>
          <w:p>
            <w:pPr>
              <w:jc w:val="right"/>
              <w:ind w:right="258"/>
              <w:spacing w:after="0"/>
              <w:rPr>
                <w:sz w:val="20"/>
                <w:szCs w:val="20"/>
                <w:color w:val="auto"/>
              </w:rPr>
            </w:pPr>
            <w:r>
              <w:rPr>
                <w:rFonts w:ascii="Arial" w:cs="Arial" w:eastAsia="Arial" w:hAnsi="Arial"/>
                <w:sz w:val="18"/>
                <w:szCs w:val="18"/>
                <w:color w:val="auto"/>
              </w:rPr>
              <w:t>21,068</w:t>
            </w:r>
          </w:p>
        </w:tc>
        <w:tc>
          <w:tcPr>
            <w:tcW w:w="1640" w:type="dxa"/>
            <w:vAlign w:val="bottom"/>
          </w:tcPr>
          <w:p>
            <w:pPr>
              <w:jc w:val="right"/>
              <w:ind w:right="677"/>
              <w:spacing w:after="0"/>
              <w:rPr>
                <w:sz w:val="20"/>
                <w:szCs w:val="20"/>
                <w:color w:val="auto"/>
              </w:rPr>
            </w:pPr>
            <w:r>
              <w:rPr>
                <w:rFonts w:ascii="Arial" w:cs="Arial" w:eastAsia="Arial" w:hAnsi="Arial"/>
                <w:sz w:val="18"/>
                <w:szCs w:val="18"/>
                <w:color w:val="auto"/>
              </w:rPr>
              <w:t>19,799</w:t>
            </w:r>
          </w:p>
        </w:tc>
        <w:tc>
          <w:tcPr>
            <w:tcW w:w="1860" w:type="dxa"/>
            <w:vAlign w:val="bottom"/>
          </w:tcPr>
          <w:p>
            <w:pPr>
              <w:jc w:val="right"/>
              <w:ind w:right="18"/>
              <w:spacing w:after="0"/>
              <w:rPr>
                <w:sz w:val="20"/>
                <w:szCs w:val="20"/>
                <w:color w:val="auto"/>
              </w:rPr>
            </w:pPr>
            <w:r>
              <w:rPr>
                <w:rFonts w:ascii="Arial" w:cs="Arial" w:eastAsia="Arial" w:hAnsi="Arial"/>
                <w:sz w:val="18"/>
                <w:szCs w:val="18"/>
                <w:color w:val="auto"/>
              </w:rPr>
              <w:t>383</w:t>
            </w:r>
          </w:p>
        </w:tc>
        <w:tc>
          <w:tcPr>
            <w:tcW w:w="1860" w:type="dxa"/>
            <w:vAlign w:val="bottom"/>
          </w:tcPr>
          <w:p>
            <w:pPr>
              <w:jc w:val="right"/>
              <w:ind w:right="17"/>
              <w:spacing w:after="0"/>
              <w:rPr>
                <w:sz w:val="20"/>
                <w:szCs w:val="20"/>
                <w:color w:val="auto"/>
              </w:rPr>
            </w:pPr>
            <w:r>
              <w:rPr>
                <w:rFonts w:ascii="Arial" w:cs="Arial" w:eastAsia="Arial" w:hAnsi="Arial"/>
                <w:sz w:val="18"/>
                <w:szCs w:val="18"/>
                <w:color w:val="auto"/>
              </w:rPr>
              <w:t>433</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1480" w:type="dxa"/>
            <w:vAlign w:val="bottom"/>
            <w:tcBorders>
              <w:bottom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color w:val="auto"/>
              </w:rPr>
              <w:t>10,865</w:t>
            </w:r>
          </w:p>
        </w:tc>
        <w:tc>
          <w:tcPr>
            <w:tcW w:w="1640" w:type="dxa"/>
            <w:vAlign w:val="bottom"/>
            <w:tcBorders>
              <w:bottom w:val="single" w:sz="8" w:color="auto"/>
            </w:tcBorders>
            <w:shd w:val="clear" w:color="auto" w:fill="E5E5E5"/>
          </w:tcPr>
          <w:p>
            <w:pPr>
              <w:jc w:val="right"/>
              <w:ind w:right="677"/>
              <w:spacing w:after="0"/>
              <w:rPr>
                <w:sz w:val="20"/>
                <w:szCs w:val="20"/>
                <w:color w:val="auto"/>
              </w:rPr>
            </w:pPr>
            <w:r>
              <w:rPr>
                <w:rFonts w:ascii="Arial" w:cs="Arial" w:eastAsia="Arial" w:hAnsi="Arial"/>
                <w:sz w:val="18"/>
                <w:szCs w:val="18"/>
                <w:color w:val="auto"/>
              </w:rPr>
              <w:t>10,166</w:t>
            </w:r>
          </w:p>
        </w:tc>
        <w:tc>
          <w:tcPr>
            <w:tcW w:w="186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color w:val="auto"/>
              </w:rPr>
              <w:t>142</w:t>
            </w:r>
          </w:p>
        </w:tc>
        <w:tc>
          <w:tcPr>
            <w:tcW w:w="18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211</w:t>
            </w: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customer relationships</w:t>
            </w:r>
          </w:p>
        </w:tc>
        <w:tc>
          <w:tcPr>
            <w:tcW w:w="148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26,800</w:t>
            </w:r>
          </w:p>
        </w:tc>
        <w:tc>
          <w:tcPr>
            <w:tcW w:w="1640" w:type="dxa"/>
            <w:vAlign w:val="bottom"/>
            <w:tcBorders>
              <w:bottom w:val="single" w:sz="8" w:color="auto"/>
            </w:tcBorders>
          </w:tcPr>
          <w:p>
            <w:pPr>
              <w:jc w:val="right"/>
              <w:ind w:right="677"/>
              <w:spacing w:after="0"/>
              <w:rPr>
                <w:sz w:val="20"/>
                <w:szCs w:val="20"/>
                <w:color w:val="auto"/>
              </w:rPr>
            </w:pPr>
            <w:r>
              <w:rPr>
                <w:rFonts w:ascii="Arial" w:cs="Arial" w:eastAsia="Arial" w:hAnsi="Arial"/>
                <w:sz w:val="18"/>
                <w:szCs w:val="18"/>
                <w:color w:val="auto"/>
              </w:rPr>
              <w:t>26,596</w:t>
            </w:r>
          </w:p>
        </w:tc>
        <w:tc>
          <w:tcPr>
            <w:tcW w:w="1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124</w:t>
            </w:r>
          </w:p>
        </w:tc>
        <w:tc>
          <w:tcPr>
            <w:tcW w:w="1860" w:type="dxa"/>
            <w:vAlign w:val="bottom"/>
            <w:tcBorders>
              <w:bottom w:val="single" w:sz="8" w:color="E5E5E5"/>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Single product customers</w:t>
            </w:r>
          </w:p>
        </w:tc>
        <w:tc>
          <w:tcPr>
            <w:tcW w:w="148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8,605</w:t>
            </w:r>
          </w:p>
        </w:tc>
        <w:tc>
          <w:tcPr>
            <w:tcW w:w="1640" w:type="dxa"/>
            <w:vAlign w:val="bottom"/>
            <w:shd w:val="clear" w:color="auto" w:fill="E5E5E5"/>
          </w:tcPr>
          <w:p>
            <w:pPr>
              <w:jc w:val="right"/>
              <w:ind w:right="677"/>
              <w:spacing w:after="0"/>
              <w:rPr>
                <w:sz w:val="20"/>
                <w:szCs w:val="20"/>
                <w:color w:val="auto"/>
              </w:rPr>
            </w:pPr>
            <w:r>
              <w:rPr>
                <w:rFonts w:ascii="Arial" w:cs="Arial" w:eastAsia="Arial" w:hAnsi="Arial"/>
                <w:sz w:val="18"/>
                <w:szCs w:val="18"/>
                <w:color w:val="auto"/>
              </w:rPr>
              <w:t>9,206</w:t>
            </w:r>
          </w:p>
        </w:tc>
        <w:tc>
          <w:tcPr>
            <w:tcW w:w="1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w:t>
            </w:r>
          </w:p>
        </w:tc>
        <w:tc>
          <w:tcPr>
            <w:tcW w:w="186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Double product customers</w:t>
            </w:r>
          </w:p>
        </w:tc>
        <w:tc>
          <w:tcPr>
            <w:tcW w:w="1480" w:type="dxa"/>
            <w:vAlign w:val="bottom"/>
          </w:tcPr>
          <w:p>
            <w:pPr>
              <w:jc w:val="right"/>
              <w:ind w:right="258"/>
              <w:spacing w:after="0"/>
              <w:rPr>
                <w:sz w:val="20"/>
                <w:szCs w:val="20"/>
                <w:color w:val="auto"/>
              </w:rPr>
            </w:pPr>
            <w:r>
              <w:rPr>
                <w:rFonts w:ascii="Arial" w:cs="Arial" w:eastAsia="Arial" w:hAnsi="Arial"/>
                <w:sz w:val="18"/>
                <w:szCs w:val="18"/>
                <w:color w:val="auto"/>
              </w:rPr>
              <w:t>8,656</w:t>
            </w:r>
          </w:p>
        </w:tc>
        <w:tc>
          <w:tcPr>
            <w:tcW w:w="1640" w:type="dxa"/>
            <w:vAlign w:val="bottom"/>
          </w:tcPr>
          <w:p>
            <w:pPr>
              <w:jc w:val="right"/>
              <w:ind w:right="677"/>
              <w:spacing w:after="0"/>
              <w:rPr>
                <w:sz w:val="20"/>
                <w:szCs w:val="20"/>
                <w:color w:val="auto"/>
              </w:rPr>
            </w:pPr>
            <w:r>
              <w:rPr>
                <w:rFonts w:ascii="Arial" w:cs="Arial" w:eastAsia="Arial" w:hAnsi="Arial"/>
                <w:sz w:val="18"/>
                <w:szCs w:val="18"/>
                <w:color w:val="auto"/>
              </w:rPr>
              <w:t>8,568</w:t>
            </w:r>
          </w:p>
        </w:tc>
        <w:tc>
          <w:tcPr>
            <w:tcW w:w="1860" w:type="dxa"/>
            <w:vAlign w:val="bottom"/>
          </w:tcPr>
          <w:p>
            <w:pPr>
              <w:jc w:val="right"/>
              <w:ind w:right="18"/>
              <w:spacing w:after="0"/>
              <w:rPr>
                <w:sz w:val="20"/>
                <w:szCs w:val="20"/>
                <w:color w:val="auto"/>
              </w:rPr>
            </w:pPr>
            <w:r>
              <w:rPr>
                <w:rFonts w:ascii="Arial" w:cs="Arial" w:eastAsia="Arial" w:hAnsi="Arial"/>
                <w:sz w:val="18"/>
                <w:szCs w:val="18"/>
                <w:color w:val="auto"/>
              </w:rPr>
              <w:t>116</w:t>
            </w:r>
          </w:p>
        </w:tc>
        <w:tc>
          <w:tcPr>
            <w:tcW w:w="1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Triple product customers</w:t>
            </w:r>
          </w:p>
        </w:tc>
        <w:tc>
          <w:tcPr>
            <w:tcW w:w="1480" w:type="dxa"/>
            <w:vAlign w:val="bottom"/>
            <w:tcBorders>
              <w:bottom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color w:val="auto"/>
              </w:rPr>
              <w:t>9,539</w:t>
            </w:r>
          </w:p>
        </w:tc>
        <w:tc>
          <w:tcPr>
            <w:tcW w:w="1640" w:type="dxa"/>
            <w:vAlign w:val="bottom"/>
            <w:tcBorders>
              <w:bottom w:val="single" w:sz="8" w:color="auto"/>
            </w:tcBorders>
            <w:shd w:val="clear" w:color="auto" w:fill="E5E5E5"/>
          </w:tcPr>
          <w:p>
            <w:pPr>
              <w:jc w:val="right"/>
              <w:ind w:right="677"/>
              <w:spacing w:after="0"/>
              <w:rPr>
                <w:sz w:val="20"/>
                <w:szCs w:val="20"/>
                <w:color w:val="auto"/>
              </w:rPr>
            </w:pPr>
            <w:r>
              <w:rPr>
                <w:rFonts w:ascii="Arial" w:cs="Arial" w:eastAsia="Arial" w:hAnsi="Arial"/>
                <w:sz w:val="18"/>
                <w:szCs w:val="18"/>
                <w:color w:val="auto"/>
              </w:rPr>
              <w:t>8,821</w:t>
            </w:r>
          </w:p>
        </w:tc>
        <w:tc>
          <w:tcPr>
            <w:tcW w:w="186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color w:val="auto"/>
              </w:rPr>
              <w:t>155</w:t>
            </w:r>
          </w:p>
        </w:tc>
        <w:tc>
          <w:tcPr>
            <w:tcW w:w="1860" w:type="dxa"/>
            <w:vAlign w:val="bottom"/>
            <w:shd w:val="clear" w:color="auto" w:fill="E5E5E5"/>
          </w:tcPr>
          <w:p>
            <w:pPr>
              <w:spacing w:after="0"/>
              <w:rPr>
                <w:sz w:val="18"/>
                <w:szCs w:val="18"/>
                <w:color w:val="auto"/>
              </w:rPr>
            </w:pPr>
          </w:p>
        </w:tc>
      </w:tr>
    </w:tbl>
    <w:p>
      <w:pPr>
        <w:spacing w:after="0" w:line="97" w:lineRule="exact"/>
        <w:rPr>
          <w:sz w:val="20"/>
          <w:szCs w:val="20"/>
          <w:color w:val="auto"/>
        </w:rPr>
      </w:pPr>
    </w:p>
    <w:p>
      <w:pPr>
        <w:jc w:val="both"/>
        <w:ind w:right="20"/>
        <w:spacing w:after="0" w:line="318" w:lineRule="auto"/>
        <w:rPr>
          <w:sz w:val="20"/>
          <w:szCs w:val="20"/>
          <w:color w:val="auto"/>
        </w:rPr>
      </w:pPr>
      <w:r>
        <w:rPr>
          <w:rFonts w:ascii="Arial" w:cs="Arial" w:eastAsia="Arial" w:hAnsi="Arial"/>
          <w:sz w:val="12"/>
          <w:szCs w:val="12"/>
          <w:color w:val="auto"/>
        </w:rPr>
        <w:t>Customer data includes residential and business customers. Customer relationships represent the number of residential and business customers that subscribe to at least one of our cable services and are presented based on actual amounts. Single product, double product and triple product customers represent customers that subscribe to one, two or three of our cable services,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Communications segment leverages our existing cable distribution system to grow revenue by, among other things, adding new customers, encouraging existing customers to add additional or higher-tier services, and growing other services such as our business services offerings and our home security and automation services. We offer our cable services in bundles and often provide promotional incentives. We seek to balance promotional offers and rate increases with their expected effects on the number of customers and overall revenue.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Video revenue increased 1.3% for the three months ended March 31, 2014 compared to the same period in 2013. An increase in the number of customers receiving additional and higher levels of video service and rate adjustments accounted for an increase in revenue of 2.8%. As of March 31, 2014, the number of customers who subscribed to our advanced services, which are HD and DVR services, increased 4.6% to 12.6 million customers compared to the same period in 2013. The increase in revenue was partially offset by fewer residential video customers compared to the prior year period. These decreases were primarily due to competitive pressures in our service areas from phone and satellite competitors and the impact of rate adjustments. We may experience further declines in the number of residential video customers.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High-speed Internet revenue increased 9.0% for the three months ended March 31, 2014 compared to the same period in 2013. An increase in the number of residential customers receiving our high-speed Internet service accounted for an increase in revenue of 6.0%. The remaining increase in revenue for the three months ended March 31, 2014 was primarily due to higher rates from customers receiving higher levels of service and rate adjustments. Our customer base continues to grow as consumers choose our high-speed Internet service and seek higher-speed offerings.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Voice revenue increased 2.1% for the three months ended March 31, 2014 compared to the same period in 2013. An increase in the number of residential customers receiving our services through our discounted bundled offerings accounted for an increase in revenue of 6.4% for the three months ended March 31, 2014. This increase was partially offset by the impact of the allocation of voice revenue for our bundled customers because revenue attributable to voice services represents a lower proportion of the bundled rate. The amounts allocated to voice revenue in the bundled rate have decreased because video and high-speed Internet rates have increased, while voice rates have remained relatively flat.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Business services revenue increased 23.9% for the three months ended March 31, 2014 compared to the same period in 2013. The increase was primarily due to a higher number of business customers receiving our cable services. The remaining increase was primarily due to continued growth in the number of medium-sized business customers, including those receiving our Ethernet network and cellular backhaul services. During the three months ended March 31, 2014, our medium-sized business customers represented 22% of total business services revenue. We believe the increase in business customers is primarily the result of our efforts to gain market share from competitors by offering competitive services and pricing.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revenue increased 6.2% for the three months ended March 31, 2014 compared to the same period in 2013 primarily due to an increase in political advertising revenue, as well as an increase in revenue primarily in our core national and local advertising markets.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increased 4.8% for the three months ended March 31, 2014 compared to the same period in 2013 primarily due to increases in franchise and other regulatory fees and in revenue from other services, including our home security and automation services.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significant operating cost is the programming expense we incur to provide content to our video customers. We anticipate that our programming expenses will continue to increase. We have and will continue to attempt to offset increases in programming expenses through rate increases, the sale of additional video and other services, and through operating efficiencies.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Programming costs increased for the three months ended March 31, 2014 compared to the same period in 2013 primarily due to increases in programming license fees, including retransmission consent fees and sports programming costs, and fees to secure rights for additional programming for our customers across an increasing number of platforms.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Technical and product support expenses increased for the three months ended March 31, 2014 compared to the same period in 2013 primarily due to expenses related to customer fulfillment activities, expenses related to the development, delivery and support of our products and services, continued growth in our products, and weather related expenses.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Customer service expenses increased for the three months ended March 31, 2014 compared to the same period in 2013 primarily due to increases in total labor costs associated with increases in customer service activity. The increases in customer service activity were primarily due to increases in the number of customers as well as sales and related support activity associated with the continued deployment of enhanced services and devices, including our X1 platform and wireless gateways, and continued growth in business services.</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Franchise and other regulatory fees increased for the three months ended March 31, 2014 compared to the same period in 2013 primarily due to increases in residential and business services revenue.</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increased for the three months ended March 31, 2014 compared to the same period in 2013 primarily due to increases in spending associated with attracting new residential and business services customers and encouraging existing customers to add additional or higher-tier services.</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costs and expenses increased for the three months ended March 31, 2014 compared to the same period in 2013 primarily due to increases in other administrative costs and costs related to advertising sales activities.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gridSpan w:val="3"/>
          </w:tcPr>
          <w:p>
            <w:pPr>
              <w:jc w:val="right"/>
              <w:ind w:right="434"/>
              <w:spacing w:after="0"/>
              <w:rPr>
                <w:sz w:val="20"/>
                <w:szCs w:val="20"/>
                <w:color w:val="auto"/>
              </w:rPr>
            </w:pPr>
            <w:r>
              <w:rPr>
                <w:rFonts w:ascii="Arial" w:cs="Arial" w:eastAsia="Arial" w:hAnsi="Arial"/>
                <w:sz w:val="14"/>
                <w:szCs w:val="14"/>
                <w:color w:val="auto"/>
                <w:w w:val="94"/>
              </w:rPr>
              <w:t>Three Months Ended</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Increase/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2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2"/>
              <w:spacing w:after="0" w:line="159" w:lineRule="exact"/>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(Decrease)</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w w:val="89"/>
              </w:rPr>
              <w:t>2014</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w w:val="89"/>
              </w:rPr>
              <w:t>2013</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97"/>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6"/>
              <w:spacing w:after="0"/>
              <w:rPr>
                <w:sz w:val="20"/>
                <w:szCs w:val="20"/>
                <w:color w:val="auto"/>
              </w:rPr>
            </w:pPr>
            <w:r>
              <w:rPr>
                <w:rFonts w:ascii="Arial" w:cs="Arial" w:eastAsia="Arial" w:hAnsi="Arial"/>
                <w:sz w:val="18"/>
                <w:szCs w:val="18"/>
                <w:color w:val="auto"/>
                <w:w w:val="93"/>
              </w:rPr>
              <w:t>2,505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2,225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77"/>
              <w:spacing w:after="0"/>
              <w:rPr>
                <w:sz w:val="20"/>
                <w:szCs w:val="20"/>
                <w:color w:val="auto"/>
              </w:rPr>
            </w:pPr>
            <w:r>
              <w:rPr>
                <w:rFonts w:ascii="Arial" w:cs="Arial" w:eastAsia="Arial" w:hAnsi="Arial"/>
                <w:sz w:val="18"/>
                <w:szCs w:val="18"/>
                <w:color w:val="auto"/>
              </w:rPr>
              <w:t>280</w:t>
            </w: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w w:val="93"/>
              </w:rPr>
              <w:t>2,621</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w w:val="88"/>
              </w:rPr>
              <w:t>1,517</w:t>
            </w: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w w:val="84"/>
              </w:rPr>
              <w:t>1,104</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52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w w:val="93"/>
              </w:rPr>
              <w:t>1,351</w:t>
            </w:r>
          </w:p>
        </w:tc>
        <w:tc>
          <w:tcPr>
            <w:tcW w:w="34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1,216</w:t>
            </w:r>
          </w:p>
        </w:tc>
        <w:tc>
          <w:tcPr>
            <w:tcW w:w="320" w:type="dxa"/>
            <w:vAlign w:val="bottom"/>
          </w:tcPr>
          <w:p>
            <w:pPr>
              <w:spacing w:after="0"/>
              <w:rPr>
                <w:sz w:val="18"/>
                <w:szCs w:val="18"/>
                <w:color w:val="auto"/>
              </w:rPr>
            </w:pPr>
          </w:p>
        </w:tc>
        <w:tc>
          <w:tcPr>
            <w:tcW w:w="960" w:type="dxa"/>
            <w:vAlign w:val="bottom"/>
          </w:tcPr>
          <w:p>
            <w:pPr>
              <w:jc w:val="right"/>
              <w:ind w:right="477"/>
              <w:spacing w:after="0"/>
              <w:rPr>
                <w:sz w:val="20"/>
                <w:szCs w:val="20"/>
                <w:color w:val="auto"/>
              </w:rPr>
            </w:pPr>
            <w:r>
              <w:rPr>
                <w:rFonts w:ascii="Arial" w:cs="Arial" w:eastAsia="Arial" w:hAnsi="Arial"/>
                <w:sz w:val="18"/>
                <w:szCs w:val="18"/>
                <w:color w:val="auto"/>
              </w:rPr>
              <w:t>135</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487</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25</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(8)</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7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b w:val="1"/>
                <w:bCs w:val="1"/>
                <w:color w:val="auto"/>
                <w:w w:val="93"/>
              </w:rPr>
              <w:t>6,876</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w w:val="88"/>
              </w:rPr>
              <w:t>5,340</w:t>
            </w:r>
          </w:p>
        </w:tc>
        <w:tc>
          <w:tcPr>
            <w:tcW w:w="1280" w:type="dxa"/>
            <w:vAlign w:val="bottom"/>
            <w:tcBorders>
              <w:bottom w:val="single" w:sz="8" w:color="auto"/>
            </w:tcBorders>
            <w:gridSpan w:val="2"/>
            <w:shd w:val="clear" w:color="auto" w:fill="E5E5E5"/>
          </w:tcPr>
          <w:p>
            <w:pPr>
              <w:jc w:val="right"/>
              <w:ind w:right="477"/>
              <w:spacing w:after="0"/>
              <w:rPr>
                <w:sz w:val="20"/>
                <w:szCs w:val="20"/>
                <w:color w:val="auto"/>
              </w:rPr>
            </w:pPr>
            <w:r>
              <w:rPr>
                <w:rFonts w:ascii="Arial" w:cs="Arial" w:eastAsia="Arial" w:hAnsi="Arial"/>
                <w:sz w:val="18"/>
                <w:szCs w:val="18"/>
                <w:b w:val="1"/>
                <w:bCs w:val="1"/>
                <w:color w:val="auto"/>
              </w:rPr>
              <w:t>$1,536</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28.8%</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895</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859</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36</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52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960" w:type="dxa"/>
            <w:vAlign w:val="bottom"/>
          </w:tcPr>
          <w:p>
            <w:pPr>
              <w:jc w:val="right"/>
              <w:ind w:right="477"/>
              <w:spacing w:after="0"/>
              <w:rPr>
                <w:sz w:val="20"/>
                <w:szCs w:val="20"/>
                <w:color w:val="auto"/>
              </w:rPr>
            </w:pPr>
            <w:r>
              <w:rPr>
                <w:rFonts w:ascii="Arial" w:cs="Arial" w:eastAsia="Arial" w:hAnsi="Arial"/>
                <w:sz w:val="18"/>
                <w:szCs w:val="18"/>
                <w:color w:val="auto"/>
              </w:rPr>
              <w:t>157</w:t>
            </w:r>
          </w:p>
        </w:tc>
        <w:tc>
          <w:tcPr>
            <w:tcW w:w="640" w:type="dxa"/>
            <w:vAlign w:val="bottom"/>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288</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69</w:t>
            </w: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219</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8"/>
              </w:rPr>
              <w:t>319.1</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52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960" w:type="dxa"/>
            <w:vAlign w:val="bottom"/>
          </w:tcPr>
          <w:p>
            <w:pPr>
              <w:jc w:val="right"/>
              <w:ind w:right="417"/>
              <w:spacing w:after="0"/>
              <w:rPr>
                <w:sz w:val="20"/>
                <w:szCs w:val="20"/>
                <w:color w:val="auto"/>
              </w:rPr>
            </w:pPr>
            <w:r>
              <w:rPr>
                <w:rFonts w:ascii="Arial" w:cs="Arial" w:eastAsia="Arial" w:hAnsi="Arial"/>
                <w:sz w:val="18"/>
                <w:szCs w:val="18"/>
                <w:color w:val="auto"/>
              </w:rPr>
              <w:t>(3)</w:t>
            </w: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(164)</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(51)</w:t>
            </w:r>
          </w:p>
        </w:tc>
        <w:tc>
          <w:tcPr>
            <w:tcW w:w="6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3"/>
              </w:rPr>
              <w:t>(46.1)</w:t>
            </w:r>
          </w:p>
        </w:tc>
        <w:tc>
          <w:tcPr>
            <w:tcW w:w="0" w:type="dxa"/>
            <w:vAlign w:val="bottom"/>
          </w:tcPr>
          <w:p>
            <w:pPr>
              <w:spacing w:after="0"/>
              <w:rPr>
                <w:sz w:val="1"/>
                <w:szCs w:val="1"/>
                <w:color w:val="auto"/>
              </w:rPr>
            </w:pPr>
          </w:p>
        </w:tc>
      </w:tr>
      <w:tr>
        <w:trPr>
          <w:trHeight w:val="217"/>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(loss) before depreciation and amortization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3"/>
              </w:rPr>
              <w:t>1,311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953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b w:val="1"/>
                <w:bCs w:val="1"/>
                <w:color w:val="auto"/>
              </w:rPr>
              <w:t>358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3"/>
          </w:tcPr>
          <w:p>
            <w:pPr>
              <w:jc w:val="right"/>
              <w:ind w:right="374"/>
              <w:spacing w:after="0"/>
              <w:rPr>
                <w:sz w:val="20"/>
                <w:szCs w:val="20"/>
                <w:color w:val="auto"/>
              </w:rPr>
            </w:pPr>
            <w:r>
              <w:rPr>
                <w:rFonts w:ascii="Arial" w:cs="Arial" w:eastAsia="Arial" w:hAnsi="Arial"/>
                <w:sz w:val="14"/>
                <w:szCs w:val="14"/>
                <w:color w:val="auto"/>
                <w:w w:val="91"/>
              </w:rPr>
              <w:t>Three Months Ended</w:t>
            </w:r>
          </w:p>
        </w:tc>
        <w:tc>
          <w:tcPr>
            <w:tcW w:w="1180" w:type="dxa"/>
            <w:vAlign w:val="bottom"/>
          </w:tcPr>
          <w:p>
            <w:pPr>
              <w:jc w:val="right"/>
              <w:spacing w:after="0"/>
              <w:rPr>
                <w:sz w:val="20"/>
                <w:szCs w:val="20"/>
                <w:color w:val="auto"/>
              </w:rPr>
            </w:pPr>
            <w:r>
              <w:rPr>
                <w:rFonts w:ascii="Arial" w:cs="Arial" w:eastAsia="Arial" w:hAnsi="Arial"/>
                <w:sz w:val="14"/>
                <w:szCs w:val="14"/>
                <w:color w:val="auto"/>
              </w:rPr>
              <w:t>Increase/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(Decrease)</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jc w:val="right"/>
              <w:ind w:right="297"/>
              <w:spacing w:after="0" w:line="142" w:lineRule="exact"/>
              <w:rPr>
                <w:sz w:val="20"/>
                <w:szCs w:val="20"/>
                <w:color w:val="auto"/>
              </w:rPr>
            </w:pPr>
            <w:r>
              <w:rPr>
                <w:rFonts w:ascii="Arial" w:cs="Arial" w:eastAsia="Arial" w:hAnsi="Arial"/>
                <w:sz w:val="14"/>
                <w:szCs w:val="14"/>
                <w:color w:val="auto"/>
                <w:w w:val="83"/>
              </w:rPr>
              <w:t>2014</w:t>
            </w:r>
          </w:p>
        </w:tc>
        <w:tc>
          <w:tcPr>
            <w:tcW w:w="340" w:type="dxa"/>
            <w:vAlign w:val="bottom"/>
          </w:tcPr>
          <w:p>
            <w:pPr>
              <w:spacing w:after="0"/>
              <w:rPr>
                <w:sz w:val="12"/>
                <w:szCs w:val="12"/>
                <w:color w:val="auto"/>
              </w:rPr>
            </w:pPr>
          </w:p>
        </w:tc>
        <w:tc>
          <w:tcPr>
            <w:tcW w:w="68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9"/>
              </w:rPr>
              <w:t>2013</w:t>
            </w:r>
          </w:p>
        </w:tc>
        <w:tc>
          <w:tcPr>
            <w:tcW w:w="1180" w:type="dxa"/>
            <w:vAlign w:val="bottom"/>
          </w:tcPr>
          <w:p>
            <w:pPr>
              <w:jc w:val="right"/>
              <w:ind w:right="657"/>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1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88"/>
              </w:rPr>
              <w:t>1,473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1,241</w:t>
            </w:r>
          </w:p>
        </w:tc>
        <w:tc>
          <w:tcPr>
            <w:tcW w:w="1180" w:type="dxa"/>
            <w:vAlign w:val="bottom"/>
          </w:tcPr>
          <w:p>
            <w:pPr>
              <w:jc w:val="right"/>
              <w:ind w:right="497"/>
              <w:spacing w:after="0"/>
              <w:rPr>
                <w:sz w:val="20"/>
                <w:szCs w:val="20"/>
                <w:color w:val="auto"/>
              </w:rPr>
            </w:pPr>
            <w:r>
              <w:rPr>
                <w:rFonts w:ascii="Arial" w:cs="Arial" w:eastAsia="Arial" w:hAnsi="Arial"/>
                <w:sz w:val="18"/>
                <w:szCs w:val="18"/>
                <w:color w:val="auto"/>
              </w:rPr>
              <w:t>$232</w:t>
            </w:r>
          </w:p>
        </w:tc>
        <w:tc>
          <w:tcPr>
            <w:tcW w:w="600" w:type="dxa"/>
            <w:vAlign w:val="bottom"/>
          </w:tcPr>
          <w:p>
            <w:pPr>
              <w:jc w:val="right"/>
              <w:spacing w:after="0"/>
              <w:rPr>
                <w:sz w:val="20"/>
                <w:szCs w:val="20"/>
                <w:color w:val="auto"/>
              </w:rPr>
            </w:pPr>
            <w:r>
              <w:rPr>
                <w:rFonts w:ascii="Arial" w:cs="Arial" w:eastAsia="Arial" w:hAnsi="Arial"/>
                <w:sz w:val="18"/>
                <w:szCs w:val="18"/>
                <w:color w:val="auto"/>
                <w:w w:val="97"/>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896</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828</w:t>
            </w:r>
          </w:p>
        </w:tc>
        <w:tc>
          <w:tcPr>
            <w:tcW w:w="118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68</w:t>
            </w:r>
          </w:p>
        </w:tc>
        <w:tc>
          <w:tcPr>
            <w:tcW w:w="6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156</w:t>
            </w: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(20)</w:t>
            </w: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84"/>
              </w:rPr>
              <w:t>(12.3)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w w:val="88"/>
              </w:rPr>
              <w:t>2,505</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93"/>
              </w:rPr>
              <w:t>2,225</w:t>
            </w:r>
          </w:p>
        </w:tc>
        <w:tc>
          <w:tcPr>
            <w:tcW w:w="1180" w:type="dxa"/>
            <w:vAlign w:val="bottom"/>
            <w:shd w:val="clear" w:color="auto" w:fill="E5E5E5"/>
          </w:tcPr>
          <w:p>
            <w:pPr>
              <w:jc w:val="right"/>
              <w:ind w:right="497"/>
              <w:spacing w:after="0"/>
              <w:rPr>
                <w:sz w:val="20"/>
                <w:szCs w:val="20"/>
                <w:color w:val="auto"/>
              </w:rPr>
            </w:pPr>
            <w:r>
              <w:rPr>
                <w:rFonts w:ascii="Arial" w:cs="Arial" w:eastAsia="Arial" w:hAnsi="Arial"/>
                <w:sz w:val="18"/>
                <w:szCs w:val="18"/>
                <w:b w:val="1"/>
                <w:bCs w:val="1"/>
                <w:color w:val="auto"/>
              </w:rPr>
              <w:t>280</w:t>
            </w:r>
          </w:p>
        </w:tc>
        <w:tc>
          <w:tcPr>
            <w:tcW w:w="60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8"/>
              </w:rPr>
              <w:t>1,187</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908</w:t>
            </w:r>
          </w:p>
        </w:tc>
        <w:tc>
          <w:tcPr>
            <w:tcW w:w="118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279</w:t>
            </w:r>
          </w:p>
        </w:tc>
        <w:tc>
          <w:tcPr>
            <w:tcW w:w="6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rPr>
              <w:t>303</w:t>
            </w:r>
          </w:p>
        </w:tc>
        <w:tc>
          <w:tcPr>
            <w:tcW w:w="34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338</w:t>
            </w:r>
          </w:p>
        </w:tc>
        <w:tc>
          <w:tcPr>
            <w:tcW w:w="1180" w:type="dxa"/>
            <w:vAlign w:val="bottom"/>
          </w:tcPr>
          <w:p>
            <w:pPr>
              <w:jc w:val="right"/>
              <w:ind w:right="437"/>
              <w:spacing w:after="0"/>
              <w:rPr>
                <w:sz w:val="20"/>
                <w:szCs w:val="20"/>
                <w:color w:val="auto"/>
              </w:rPr>
            </w:pPr>
            <w:r>
              <w:rPr>
                <w:rFonts w:ascii="Arial" w:cs="Arial" w:eastAsia="Arial" w:hAnsi="Arial"/>
                <w:sz w:val="18"/>
                <w:szCs w:val="18"/>
                <w:color w:val="auto"/>
              </w:rPr>
              <w:t>(35)</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w w:val="84"/>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120</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120</w:t>
            </w:r>
          </w:p>
        </w:tc>
        <w:tc>
          <w:tcPr>
            <w:tcW w:w="118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w w:val="88"/>
              </w:rPr>
              <w:t>1,610</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3"/>
              </w:rPr>
              <w:t>1,366</w:t>
            </w: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244</w:t>
            </w: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895</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859</w:t>
            </w:r>
          </w:p>
        </w:tc>
        <w:tc>
          <w:tcPr>
            <w:tcW w:w="118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b w:val="1"/>
                <w:bCs w:val="1"/>
                <w:color w:val="auto"/>
              </w:rPr>
              <w:t>$ 36</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Cable Networks revenue increased for the three months ended March 31, 2014 compared to the same period in 2013 due to increases in distribution revenue and advertising revenue. The increase in distribution revenue was primarily due to the 2014 Sochi Olympics and increases in the contractual rates charged under distribution agreements. Advertising revenue increased for the three months ended March 31, 2014 compared to the same period in 2013 primarily due to higher advertising revenue associated with the 2014 Sochi Olympics. Advertising revenue was also affected by higher prices and an increase in the volume of advertising units sold, offset by continuing declines in audience ratings at some of our networks. Excluding $257 million of revenue associated with the 2014 Sochi Olympics, Cable Networks segment revenue increased 1.0%.</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2014 and 2013, 12% and 14%, respectively, of the revenue from our Cable Networks segment was generated from our Cable Communications segment. These amounts are eliminated in our condensed consolidated financial statements but are included in the amounts presented above.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Operating costs and expenses increased for the three months ended March 31, 2014 compared to the same period in 2013 primarily due to an increase in programming and production costs, which was partially offset by a decrease in other operating and administrative expenses. The increase in programming and production costs was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primarily due to the 2014 Sochi Olympics and other sports programming rights costs, and our continued investment in original programming at certain of our cable networks. The decrease in other operating and administrative costs was primarily due to a decrease in employee-related costs and the absence of Fandango in the current year period.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60" w:type="dxa"/>
            <w:vAlign w:val="bottom"/>
            <w:gridSpan w:val="3"/>
          </w:tcPr>
          <w:p>
            <w:pPr>
              <w:jc w:val="right"/>
              <w:ind w:right="494"/>
              <w:spacing w:after="0"/>
              <w:rPr>
                <w:sz w:val="20"/>
                <w:szCs w:val="20"/>
                <w:color w:val="auto"/>
              </w:rPr>
            </w:pPr>
            <w:r>
              <w:rPr>
                <w:rFonts w:ascii="Arial" w:cs="Arial" w:eastAsia="Arial" w:hAnsi="Arial"/>
                <w:sz w:val="14"/>
                <w:szCs w:val="14"/>
                <w:color w:val="auto"/>
                <w:w w:val="96"/>
              </w:rPr>
              <w:t>Three Months Ended</w:t>
            </w:r>
          </w:p>
        </w:tc>
        <w:tc>
          <w:tcPr>
            <w:tcW w:w="36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4"/>
                <w:szCs w:val="14"/>
                <w:color w:val="auto"/>
              </w:rPr>
              <w:t>Increase/</w:t>
            </w:r>
          </w:p>
        </w:tc>
        <w:tc>
          <w:tcPr>
            <w:tcW w:w="5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w w:val="85"/>
              </w:rPr>
              <w:t>March 31</w:t>
            </w: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(Decrease)</w:t>
            </w:r>
          </w:p>
        </w:tc>
        <w:tc>
          <w:tcPr>
            <w:tcW w:w="580" w:type="dxa"/>
            <w:vAlign w:val="bottom"/>
            <w:tcBorders>
              <w:bottom w:val="single" w:sz="8" w:color="auto"/>
            </w:tcBorders>
          </w:tcPr>
          <w:p>
            <w:pPr>
              <w:spacing w:after="0"/>
              <w:rPr>
                <w:sz w:val="14"/>
                <w:szCs w:val="14"/>
                <w:color w:val="auto"/>
              </w:rPr>
            </w:pPr>
          </w:p>
        </w:tc>
      </w:tr>
      <w:tr>
        <w:trPr>
          <w:trHeight w:val="143"/>
        </w:trPr>
        <w:tc>
          <w:tcPr>
            <w:tcW w:w="704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2"/>
                <w:szCs w:val="12"/>
                <w:color w:val="auto"/>
              </w:rPr>
            </w:pPr>
          </w:p>
        </w:tc>
        <w:tc>
          <w:tcPr>
            <w:tcW w:w="440" w:type="dxa"/>
            <w:vAlign w:val="bottom"/>
          </w:tcPr>
          <w:p>
            <w:pPr>
              <w:jc w:val="right"/>
              <w:ind w:right="56"/>
              <w:spacing w:after="0" w:line="143" w:lineRule="exact"/>
              <w:rPr>
                <w:sz w:val="20"/>
                <w:szCs w:val="20"/>
                <w:color w:val="auto"/>
              </w:rPr>
            </w:pPr>
            <w:r>
              <w:rPr>
                <w:rFonts w:ascii="Arial" w:cs="Arial" w:eastAsia="Arial" w:hAnsi="Arial"/>
                <w:sz w:val="14"/>
                <w:szCs w:val="14"/>
                <w:color w:val="auto"/>
                <w:w w:val="89"/>
              </w:rPr>
              <w:t>2014</w:t>
            </w:r>
          </w:p>
        </w:tc>
        <w:tc>
          <w:tcPr>
            <w:tcW w:w="660" w:type="dxa"/>
            <w:vAlign w:val="bottom"/>
          </w:tcPr>
          <w:p>
            <w:pPr>
              <w:spacing w:after="0"/>
              <w:rPr>
                <w:sz w:val="12"/>
                <w:szCs w:val="12"/>
                <w:color w:val="auto"/>
              </w:rPr>
            </w:pPr>
          </w:p>
        </w:tc>
        <w:tc>
          <w:tcPr>
            <w:tcW w:w="760" w:type="dxa"/>
            <w:vAlign w:val="bottom"/>
          </w:tcPr>
          <w:p>
            <w:pPr>
              <w:jc w:val="right"/>
              <w:ind w:right="394"/>
              <w:spacing w:after="0" w:line="143" w:lineRule="exact"/>
              <w:rPr>
                <w:sz w:val="20"/>
                <w:szCs w:val="20"/>
                <w:color w:val="auto"/>
              </w:rPr>
            </w:pPr>
            <w:r>
              <w:rPr>
                <w:rFonts w:ascii="Arial" w:cs="Arial" w:eastAsia="Arial" w:hAnsi="Arial"/>
                <w:sz w:val="14"/>
                <w:szCs w:val="14"/>
                <w:color w:val="auto"/>
                <w:w w:val="83"/>
              </w:rPr>
              <w:t>2013</w:t>
            </w:r>
          </w:p>
        </w:tc>
        <w:tc>
          <w:tcPr>
            <w:tcW w:w="360" w:type="dxa"/>
            <w:vAlign w:val="bottom"/>
          </w:tcPr>
          <w:p>
            <w:pPr>
              <w:spacing w:after="0"/>
              <w:rPr>
                <w:sz w:val="12"/>
                <w:szCs w:val="12"/>
                <w:color w:val="auto"/>
              </w:rPr>
            </w:pPr>
          </w:p>
        </w:tc>
        <w:tc>
          <w:tcPr>
            <w:tcW w:w="980" w:type="dxa"/>
            <w:vAlign w:val="bottom"/>
          </w:tcPr>
          <w:p>
            <w:pPr>
              <w:jc w:val="right"/>
              <w:ind w:right="697"/>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ind w:left="120"/>
              <w:spacing w:after="0" w:line="143"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1,833</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rPr>
              <w:t>952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77"/>
              <w:spacing w:after="0"/>
              <w:rPr>
                <w:sz w:val="20"/>
                <w:szCs w:val="20"/>
                <w:color w:val="auto"/>
              </w:rPr>
            </w:pPr>
            <w:r>
              <w:rPr>
                <w:rFonts w:ascii="Arial" w:cs="Arial" w:eastAsia="Arial" w:hAnsi="Arial"/>
                <w:sz w:val="18"/>
                <w:szCs w:val="18"/>
                <w:color w:val="auto"/>
              </w:rPr>
              <w:t>881</w:t>
            </w:r>
          </w:p>
        </w:tc>
        <w:tc>
          <w:tcPr>
            <w:tcW w:w="580" w:type="dxa"/>
            <w:vAlign w:val="bottom"/>
          </w:tcPr>
          <w:p>
            <w:pPr>
              <w:ind w:left="80"/>
              <w:spacing w:after="0"/>
              <w:rPr>
                <w:sz w:val="20"/>
                <w:szCs w:val="20"/>
                <w:color w:val="auto"/>
              </w:rPr>
            </w:pPr>
            <w:r>
              <w:rPr>
                <w:rFonts w:ascii="Arial" w:cs="Arial" w:eastAsia="Arial" w:hAnsi="Arial"/>
                <w:sz w:val="18"/>
                <w:szCs w:val="18"/>
                <w:color w:val="auto"/>
                <w:w w:val="93"/>
              </w:rPr>
              <w:t>92.5%</w:t>
            </w:r>
          </w:p>
        </w:tc>
      </w:tr>
      <w:tr>
        <w:trPr>
          <w:trHeight w:val="216"/>
        </w:trPr>
        <w:tc>
          <w:tcPr>
            <w:tcW w:w="20" w:type="dxa"/>
            <w:vAlign w:val="bottom"/>
          </w:tcPr>
          <w:p>
            <w:pPr>
              <w:spacing w:after="0"/>
              <w:rPr>
                <w:sz w:val="18"/>
                <w:szCs w:val="18"/>
                <w:color w:val="auto"/>
              </w:rPr>
            </w:pPr>
          </w:p>
        </w:tc>
        <w:tc>
          <w:tcPr>
            <w:tcW w:w="7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60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496</w:t>
            </w:r>
          </w:p>
        </w:tc>
        <w:tc>
          <w:tcPr>
            <w:tcW w:w="6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397</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99</w:t>
            </w:r>
          </w:p>
        </w:tc>
        <w:tc>
          <w:tcPr>
            <w:tcW w:w="580" w:type="dxa"/>
            <w:vAlign w:val="bottom"/>
            <w:shd w:val="clear" w:color="auto" w:fill="E5E5E5"/>
          </w:tcPr>
          <w:p>
            <w:pPr>
              <w:ind w:left="80"/>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7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168</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color w:val="auto"/>
              </w:rPr>
              <w:t>124</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74.5</w:t>
            </w:r>
          </w:p>
        </w:tc>
      </w:tr>
      <w:tr>
        <w:trPr>
          <w:trHeight w:val="210"/>
        </w:trPr>
        <w:tc>
          <w:tcPr>
            <w:tcW w:w="20" w:type="dxa"/>
            <w:vAlign w:val="bottom"/>
          </w:tcPr>
          <w:p>
            <w:pPr>
              <w:spacing w:after="0"/>
              <w:rPr>
                <w:sz w:val="18"/>
                <w:szCs w:val="18"/>
                <w:color w:val="auto"/>
              </w:rPr>
            </w:pPr>
          </w:p>
        </w:tc>
        <w:tc>
          <w:tcPr>
            <w:tcW w:w="7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60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2,621</w:t>
            </w:r>
          </w:p>
        </w:tc>
        <w:tc>
          <w:tcPr>
            <w:tcW w:w="6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b w:val="1"/>
                <w:bCs w:val="1"/>
                <w:color w:val="auto"/>
                <w:w w:val="88"/>
              </w:rPr>
              <w:t>1,517</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77"/>
              <w:spacing w:after="0"/>
              <w:rPr>
                <w:sz w:val="20"/>
                <w:szCs w:val="20"/>
                <w:color w:val="auto"/>
              </w:rPr>
            </w:pPr>
            <w:r>
              <w:rPr>
                <w:rFonts w:ascii="Arial" w:cs="Arial" w:eastAsia="Arial" w:hAnsi="Arial"/>
                <w:sz w:val="18"/>
                <w:szCs w:val="18"/>
                <w:b w:val="1"/>
                <w:bCs w:val="1"/>
                <w:color w:val="auto"/>
                <w:w w:val="88"/>
              </w:rPr>
              <w:t>1,104</w:t>
            </w:r>
          </w:p>
        </w:tc>
        <w:tc>
          <w:tcPr>
            <w:tcW w:w="58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auto"/>
              </w:rPr>
              <w:t>72.8</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60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2,028</w:t>
            </w:r>
          </w:p>
        </w:tc>
        <w:tc>
          <w:tcPr>
            <w:tcW w:w="6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88"/>
              </w:rPr>
              <w:t>1,160</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868</w:t>
            </w:r>
          </w:p>
        </w:tc>
        <w:tc>
          <w:tcPr>
            <w:tcW w:w="580" w:type="dxa"/>
            <w:vAlign w:val="bottom"/>
            <w:shd w:val="clear" w:color="auto" w:fill="E5E5E5"/>
          </w:tcPr>
          <w:p>
            <w:pPr>
              <w:ind w:left="80"/>
              <w:spacing w:after="0"/>
              <w:rPr>
                <w:sz w:val="20"/>
                <w:szCs w:val="20"/>
                <w:color w:val="auto"/>
              </w:rPr>
            </w:pPr>
            <w:r>
              <w:rPr>
                <w:rFonts w:ascii="Arial" w:cs="Arial" w:eastAsia="Arial" w:hAnsi="Arial"/>
                <w:sz w:val="18"/>
                <w:szCs w:val="18"/>
                <w:color w:val="auto"/>
              </w:rPr>
              <w:t>74.9</w:t>
            </w: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323</w:t>
            </w:r>
          </w:p>
        </w:tc>
        <w:tc>
          <w:tcPr>
            <w:tcW w:w="660" w:type="dxa"/>
            <w:vAlign w:val="bottom"/>
          </w:tcPr>
          <w:p>
            <w:pPr>
              <w:spacing w:after="0"/>
              <w:rPr>
                <w:sz w:val="18"/>
                <w:szCs w:val="18"/>
                <w:color w:val="auto"/>
              </w:rPr>
            </w:pPr>
          </w:p>
        </w:tc>
        <w:tc>
          <w:tcPr>
            <w:tcW w:w="760" w:type="dxa"/>
            <w:vAlign w:val="bottom"/>
          </w:tcPr>
          <w:p>
            <w:pPr>
              <w:jc w:val="right"/>
              <w:ind w:right="254"/>
              <w:spacing w:after="0"/>
              <w:rPr>
                <w:sz w:val="20"/>
                <w:szCs w:val="20"/>
                <w:color w:val="auto"/>
              </w:rPr>
            </w:pPr>
            <w:r>
              <w:rPr>
                <w:rFonts w:ascii="Arial" w:cs="Arial" w:eastAsia="Arial" w:hAnsi="Arial"/>
                <w:sz w:val="18"/>
                <w:szCs w:val="18"/>
                <w:color w:val="auto"/>
              </w:rPr>
              <w:t>292</w:t>
            </w:r>
          </w:p>
        </w:tc>
        <w:tc>
          <w:tcPr>
            <w:tcW w:w="360" w:type="dxa"/>
            <w:vAlign w:val="bottom"/>
          </w:tcPr>
          <w:p>
            <w:pPr>
              <w:spacing w:after="0"/>
              <w:rPr>
                <w:sz w:val="18"/>
                <w:szCs w:val="18"/>
                <w:color w:val="auto"/>
              </w:rPr>
            </w:pPr>
          </w:p>
        </w:tc>
        <w:tc>
          <w:tcPr>
            <w:tcW w:w="980" w:type="dxa"/>
            <w:vAlign w:val="bottom"/>
          </w:tcPr>
          <w:p>
            <w:pPr>
              <w:jc w:val="right"/>
              <w:ind w:right="477"/>
              <w:spacing w:after="0"/>
              <w:rPr>
                <w:sz w:val="20"/>
                <w:szCs w:val="20"/>
                <w:color w:val="auto"/>
              </w:rPr>
            </w:pPr>
            <w:r>
              <w:rPr>
                <w:rFonts w:ascii="Arial" w:cs="Arial" w:eastAsia="Arial" w:hAnsi="Arial"/>
                <w:sz w:val="18"/>
                <w:szCs w:val="18"/>
                <w:color w:val="auto"/>
              </w:rPr>
              <w:t>31</w:t>
            </w:r>
          </w:p>
        </w:tc>
        <w:tc>
          <w:tcPr>
            <w:tcW w:w="580" w:type="dxa"/>
            <w:vAlign w:val="bottom"/>
          </w:tcPr>
          <w:p>
            <w:pPr>
              <w:ind w:left="8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7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60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148</w:t>
            </w:r>
          </w:p>
        </w:tc>
        <w:tc>
          <w:tcPr>
            <w:tcW w:w="6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477"/>
              <w:spacing w:after="0"/>
              <w:rPr>
                <w:sz w:val="20"/>
                <w:szCs w:val="20"/>
                <w:color w:val="auto"/>
              </w:rPr>
            </w:pPr>
            <w:r>
              <w:rPr>
                <w:rFonts w:ascii="Arial" w:cs="Arial" w:eastAsia="Arial" w:hAnsi="Arial"/>
                <w:sz w:val="18"/>
                <w:szCs w:val="18"/>
                <w:color w:val="auto"/>
              </w:rPr>
              <w:t>48</w:t>
            </w:r>
          </w:p>
        </w:tc>
        <w:tc>
          <w:tcPr>
            <w:tcW w:w="5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47.4</w:t>
            </w:r>
          </w:p>
        </w:tc>
      </w:tr>
      <w:tr>
        <w:trPr>
          <w:trHeight w:val="210"/>
        </w:trPr>
        <w:tc>
          <w:tcPr>
            <w:tcW w:w="20" w:type="dxa"/>
            <w:vAlign w:val="bottom"/>
          </w:tcPr>
          <w:p>
            <w:pPr>
              <w:spacing w:after="0"/>
              <w:rPr>
                <w:sz w:val="18"/>
                <w:szCs w:val="18"/>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2,499</w:t>
            </w: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88"/>
              </w:rPr>
              <w:t>1,552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color w:val="auto"/>
              </w:rPr>
              <w:t>947</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61.0</w:t>
            </w:r>
          </w:p>
        </w:tc>
      </w:tr>
      <w:tr>
        <w:trPr>
          <w:trHeight w:val="217"/>
        </w:trPr>
        <w:tc>
          <w:tcPr>
            <w:tcW w:w="20" w:type="dxa"/>
            <w:vAlign w:val="bottom"/>
          </w:tcPr>
          <w:p>
            <w:pPr>
              <w:spacing w:after="0"/>
              <w:rPr>
                <w:sz w:val="18"/>
                <w:szCs w:val="18"/>
                <w:color w:val="auto"/>
              </w:rPr>
            </w:pPr>
          </w:p>
        </w:tc>
        <w:tc>
          <w:tcPr>
            <w:tcW w:w="7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122</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(35)</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477"/>
              <w:spacing w:after="0"/>
              <w:rPr>
                <w:sz w:val="20"/>
                <w:szCs w:val="20"/>
                <w:color w:val="auto"/>
              </w:rPr>
            </w:pPr>
            <w:r>
              <w:rPr>
                <w:rFonts w:ascii="Arial" w:cs="Arial" w:eastAsia="Arial" w:hAnsi="Arial"/>
                <w:sz w:val="18"/>
                <w:szCs w:val="18"/>
                <w:b w:val="1"/>
                <w:bCs w:val="1"/>
                <w:color w:val="auto"/>
              </w:rPr>
              <w:t>157</w:t>
            </w:r>
          </w:p>
        </w:tc>
        <w:tc>
          <w:tcPr>
            <w:tcW w:w="5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NM</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Broadcast Television revenue increased for the three months ended March 31, 2014 compared to the same period in 2013 primarily due to an increase in advertising revenue associated with our broadcast of the 2014 Sochi Olympics in the current year period, as well as increases in content licensing and other revenue. Excluding $846 million of revenue associated with the 2014 Sochi Olympics, Broadcast Television revenue increased 17% primarily due to higher advertising revenue related to an increase in audience ratings. The increase in content licensing revenue was primarily due to the timing of a licensing agreement related to certain of our programming. The increase in other revenue was primarily due to fees recognized under our retransmission consent agreements and other revenue associated with the 2014 Sochi Olympics.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Operating costs and expenses increased for the three months ended March 31, 2014 compared to the same period in 2013 due to higher programming and production costs associated with our broadcast of the 2014 Sochi Olympics in the current year period.</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3"/>
          </w:tcPr>
          <w:p>
            <w:pPr>
              <w:jc w:val="right"/>
              <w:ind w:right="334"/>
              <w:spacing w:after="0"/>
              <w:rPr>
                <w:sz w:val="20"/>
                <w:szCs w:val="20"/>
                <w:color w:val="auto"/>
              </w:rPr>
            </w:pPr>
            <w:r>
              <w:rPr>
                <w:rFonts w:ascii="Arial" w:cs="Arial" w:eastAsia="Arial" w:hAnsi="Arial"/>
                <w:sz w:val="14"/>
                <w:szCs w:val="14"/>
                <w:color w:val="auto"/>
                <w:w w:val="93"/>
              </w:rPr>
              <w:t>Three Months Ended</w:t>
            </w:r>
          </w:p>
        </w:tc>
        <w:tc>
          <w:tcPr>
            <w:tcW w:w="660" w:type="dxa"/>
            <w:vAlign w:val="bottom"/>
          </w:tcPr>
          <w:p>
            <w:pPr>
              <w:spacing w:after="0"/>
              <w:rPr>
                <w:sz w:val="14"/>
                <w:szCs w:val="14"/>
                <w:color w:val="auto"/>
              </w:rPr>
            </w:pPr>
          </w:p>
        </w:tc>
        <w:tc>
          <w:tcPr>
            <w:tcW w:w="1140" w:type="dxa"/>
            <w:vAlign w:val="bottom"/>
          </w:tcPr>
          <w:p>
            <w:pPr>
              <w:jc w:val="right"/>
              <w:ind w:right="576"/>
              <w:spacing w:after="0"/>
              <w:rPr>
                <w:sz w:val="20"/>
                <w:szCs w:val="20"/>
                <w:color w:val="auto"/>
              </w:rPr>
            </w:pPr>
            <w:r>
              <w:rPr>
                <w:rFonts w:ascii="Arial" w:cs="Arial" w:eastAsia="Arial" w:hAnsi="Arial"/>
                <w:sz w:val="14"/>
                <w:szCs w:val="14"/>
                <w:color w:val="auto"/>
                <w:w w:val="79"/>
              </w:rPr>
              <w:t>Increase/</w:t>
            </w: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5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ind w:right="516"/>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w w:val="89"/>
              </w:rPr>
              <w:t>2014</w:t>
            </w: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w w:val="89"/>
              </w:rPr>
              <w:t>2013</w:t>
            </w:r>
          </w:p>
        </w:tc>
        <w:tc>
          <w:tcPr>
            <w:tcW w:w="6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7"/>
              <w:spacing w:after="0"/>
              <w:rPr>
                <w:sz w:val="20"/>
                <w:szCs w:val="20"/>
                <w:color w:val="auto"/>
              </w:rPr>
            </w:pPr>
            <w:r>
              <w:rPr>
                <w:rFonts w:ascii="Arial" w:cs="Arial" w:eastAsia="Arial" w:hAnsi="Arial"/>
                <w:sz w:val="18"/>
                <w:szCs w:val="18"/>
                <w:color w:val="auto"/>
              </w:rPr>
              <w:t>376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313</w:t>
            </w:r>
          </w:p>
        </w:tc>
        <w:tc>
          <w:tcPr>
            <w:tcW w:w="660" w:type="dxa"/>
            <w:vAlign w:val="bottom"/>
          </w:tcPr>
          <w:p>
            <w:pPr>
              <w:jc w:val="right"/>
              <w:spacing w:after="0"/>
              <w:rPr>
                <w:sz w:val="20"/>
                <w:szCs w:val="20"/>
                <w:color w:val="auto"/>
              </w:rPr>
            </w:pPr>
            <w:r>
              <w:rPr>
                <w:rFonts w:ascii="Arial" w:cs="Arial" w:eastAsia="Arial" w:hAnsi="Arial"/>
                <w:sz w:val="18"/>
                <w:szCs w:val="18"/>
                <w:color w:val="auto"/>
              </w:rPr>
              <w:t>$ 63</w:t>
            </w: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25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465</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438</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114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137"/>
              <w:spacing w:after="0"/>
              <w:rPr>
                <w:sz w:val="20"/>
                <w:szCs w:val="20"/>
                <w:color w:val="auto"/>
              </w:rPr>
            </w:pPr>
            <w:r>
              <w:rPr>
                <w:rFonts w:ascii="Arial" w:cs="Arial" w:eastAsia="Arial" w:hAnsi="Arial"/>
                <w:sz w:val="18"/>
                <w:szCs w:val="18"/>
                <w:color w:val="auto"/>
              </w:rPr>
              <w:t>351</w:t>
            </w:r>
          </w:p>
        </w:tc>
        <w:tc>
          <w:tcPr>
            <w:tcW w:w="34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371</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159</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94</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65</w:t>
            </w:r>
          </w:p>
        </w:tc>
        <w:tc>
          <w:tcPr>
            <w:tcW w:w="114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137"/>
              <w:spacing w:after="0"/>
              <w:rPr>
                <w:sz w:val="20"/>
                <w:szCs w:val="20"/>
                <w:color w:val="auto"/>
              </w:rPr>
            </w:pPr>
            <w:r>
              <w:rPr>
                <w:rFonts w:ascii="Arial" w:cs="Arial" w:eastAsia="Arial" w:hAnsi="Arial"/>
                <w:sz w:val="18"/>
                <w:szCs w:val="18"/>
                <w:b w:val="1"/>
                <w:bCs w:val="1"/>
                <w:color w:val="auto"/>
                <w:w w:val="93"/>
              </w:rPr>
              <w:t>1,351</w:t>
            </w:r>
          </w:p>
        </w:tc>
        <w:tc>
          <w:tcPr>
            <w:tcW w:w="34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b w:val="1"/>
                <w:bCs w:val="1"/>
                <w:color w:val="auto"/>
                <w:w w:val="93"/>
              </w:rPr>
              <w:t>1,216</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1140" w:type="dxa"/>
            <w:vAlign w:val="bottom"/>
          </w:tcPr>
          <w:p>
            <w:pPr>
              <w:jc w:val="right"/>
              <w:ind w:right="136"/>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25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137"/>
              <w:spacing w:after="0"/>
              <w:rPr>
                <w:sz w:val="20"/>
                <w:szCs w:val="20"/>
                <w:color w:val="auto"/>
              </w:rPr>
            </w:pPr>
            <w:r>
              <w:rPr>
                <w:rFonts w:ascii="Arial" w:cs="Arial" w:eastAsia="Arial" w:hAnsi="Arial"/>
                <w:sz w:val="18"/>
                <w:szCs w:val="18"/>
                <w:color w:val="auto"/>
              </w:rPr>
              <w:t>604</w:t>
            </w:r>
          </w:p>
        </w:tc>
        <w:tc>
          <w:tcPr>
            <w:tcW w:w="34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698</w:t>
            </w: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25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188</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168</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114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2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271</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281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5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w w:val="93"/>
              </w:rPr>
              <w:t>1,063</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93"/>
              </w:rPr>
              <w:t>1,147</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(84)</w:t>
            </w:r>
          </w:p>
        </w:tc>
        <w:tc>
          <w:tcPr>
            <w:tcW w:w="11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288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69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319.1%</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540" w:type="dxa"/>
            <w:vAlign w:val="bottom"/>
          </w:tcPr>
          <w:p>
            <w:pPr>
              <w:jc w:val="right"/>
              <w:ind w:right="1532"/>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Filmed Entertainment revenue increased for the three months ended March 31, 2014 compared to the same period in 2013 primarily due to increases in theatrical, other and content licensing revenue, which were partially offset by a decrease in home entertainment revenue. The increase in theatrical revenue was primarily due to the performance of our current period releases, including </w:t>
      </w:r>
      <w:r>
        <w:rPr>
          <w:rFonts w:ascii="Arial" w:cs="Arial" w:eastAsia="Arial" w:hAnsi="Arial"/>
          <w:sz w:val="16"/>
          <w:szCs w:val="16"/>
          <w:i w:val="1"/>
          <w:iCs w:val="1"/>
          <w:color w:val="auto"/>
        </w:rPr>
        <w:t>Ride Along</w:t>
      </w:r>
      <w:r>
        <w:rPr>
          <w:rFonts w:ascii="Arial" w:cs="Arial" w:eastAsia="Arial" w:hAnsi="Arial"/>
          <w:sz w:val="16"/>
          <w:szCs w:val="16"/>
          <w:color w:val="auto"/>
        </w:rPr>
        <w:t xml:space="preserve"> and </w:t>
      </w:r>
      <w:r>
        <w:rPr>
          <w:rFonts w:ascii="Arial" w:cs="Arial" w:eastAsia="Arial" w:hAnsi="Arial"/>
          <w:sz w:val="16"/>
          <w:szCs w:val="16"/>
          <w:i w:val="1"/>
          <w:iCs w:val="1"/>
          <w:color w:val="auto"/>
        </w:rPr>
        <w:t>Lone Survivor</w:t>
      </w:r>
      <w:r>
        <w:rPr>
          <w:rFonts w:ascii="Arial" w:cs="Arial" w:eastAsia="Arial" w:hAnsi="Arial"/>
          <w:sz w:val="16"/>
          <w:szCs w:val="16"/>
          <w:color w:val="auto"/>
        </w:rPr>
        <w:t xml:space="preserve"> and the international performance of </w:t>
      </w:r>
      <w:r>
        <w:rPr>
          <w:rFonts w:ascii="Arial" w:cs="Arial" w:eastAsia="Arial" w:hAnsi="Arial"/>
          <w:sz w:val="16"/>
          <w:szCs w:val="16"/>
          <w:i w:val="1"/>
          <w:iCs w:val="1"/>
          <w:color w:val="auto"/>
        </w:rPr>
        <w:t>The Wolf of Wall Street</w:t>
      </w:r>
      <w:r>
        <w:rPr>
          <w:rFonts w:ascii="Arial" w:cs="Arial" w:eastAsia="Arial" w:hAnsi="Arial"/>
          <w:sz w:val="16"/>
          <w:szCs w:val="16"/>
          <w:color w:val="auto"/>
        </w:rPr>
        <w:t>. The increase in other revenue was primarily due to the inclusion, in 2014, of Fandango, which was previously presented in our Cable Networks segment. The increase in content licensing revenue was primarily due to the timing of licensing agreements related to our film library.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three months ended March 31, 2014 compared to the same period in 2013 primarily due to a decrease in the amortization of film costs. Operating costs and expenses for the three months ended March 31, 2013 included $66 million of expense associated with fair value adjustments to capitalized film production costs, which did not occur in the current year period.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0" w:type="dxa"/>
            <w:vAlign w:val="bottom"/>
            <w:gridSpan w:val="3"/>
          </w:tcPr>
          <w:p>
            <w:pPr>
              <w:jc w:val="right"/>
              <w:ind w:right="437"/>
              <w:spacing w:after="0"/>
              <w:rPr>
                <w:sz w:val="20"/>
                <w:szCs w:val="20"/>
                <w:color w:val="auto"/>
              </w:rPr>
            </w:pPr>
            <w:r>
              <w:rPr>
                <w:rFonts w:ascii="Arial" w:cs="Arial" w:eastAsia="Arial" w:hAnsi="Arial"/>
                <w:sz w:val="14"/>
                <w:szCs w:val="14"/>
                <w:color w:val="auto"/>
                <w:w w:val="96"/>
              </w:rPr>
              <w:t>Three Months Ended</w:t>
            </w:r>
          </w:p>
        </w:tc>
        <w:tc>
          <w:tcPr>
            <w:tcW w:w="1280" w:type="dxa"/>
            <w:vAlign w:val="bottom"/>
          </w:tcPr>
          <w:p>
            <w:pPr>
              <w:jc w:val="right"/>
              <w:ind w:right="2"/>
              <w:spacing w:after="0"/>
              <w:rPr>
                <w:sz w:val="20"/>
                <w:szCs w:val="20"/>
                <w:color w:val="auto"/>
              </w:rPr>
            </w:pPr>
            <w:r>
              <w:rPr>
                <w:rFonts w:ascii="Arial" w:cs="Arial" w:eastAsia="Arial" w:hAnsi="Arial"/>
                <w:sz w:val="14"/>
                <w:szCs w:val="14"/>
                <w:color w:val="auto"/>
              </w:rPr>
              <w:t>Increase/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1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9"/>
              <w:spacing w:after="0" w:line="159" w:lineRule="exact"/>
              <w:rPr>
                <w:sz w:val="20"/>
                <w:szCs w:val="20"/>
                <w:color w:val="auto"/>
              </w:rPr>
            </w:pPr>
            <w:r>
              <w:rPr>
                <w:rFonts w:ascii="Arial" w:cs="Arial" w:eastAsia="Arial" w:hAnsi="Arial"/>
                <w:sz w:val="14"/>
                <w:szCs w:val="14"/>
                <w:color w:val="auto"/>
                <w:w w:val="85"/>
              </w:rPr>
              <w:t>March 31</w:t>
            </w:r>
          </w:p>
        </w:tc>
        <w:tc>
          <w:tcPr>
            <w:tcW w:w="7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(Decrease)</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2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color w:val="auto"/>
                <w:w w:val="89"/>
              </w:rPr>
              <w:t>2014</w:t>
            </w: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w w:val="89"/>
              </w:rPr>
              <w:t>2013</w:t>
            </w:r>
          </w:p>
        </w:tc>
        <w:tc>
          <w:tcPr>
            <w:tcW w:w="1280" w:type="dxa"/>
            <w:vAlign w:val="bottom"/>
            <w:tcBorders>
              <w:bottom w:val="single" w:sz="8" w:color="auto"/>
            </w:tcBorders>
          </w:tcPr>
          <w:p>
            <w:pPr>
              <w:jc w:val="right"/>
              <w:ind w:right="722"/>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487</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462</w:t>
            </w:r>
          </w:p>
        </w:tc>
        <w:tc>
          <w:tcPr>
            <w:tcW w:w="1280" w:type="dxa"/>
            <w:vAlign w:val="bottom"/>
            <w:shd w:val="clear" w:color="auto" w:fill="E5E5E5"/>
          </w:tcPr>
          <w:p>
            <w:pPr>
              <w:jc w:val="right"/>
              <w:ind w:right="582"/>
              <w:spacing w:after="0"/>
              <w:rPr>
                <w:sz w:val="20"/>
                <w:szCs w:val="20"/>
                <w:color w:val="auto"/>
              </w:rPr>
            </w:pPr>
            <w:r>
              <w:rPr>
                <w:rFonts w:ascii="Arial" w:cs="Arial" w:eastAsia="Arial" w:hAnsi="Arial"/>
                <w:sz w:val="18"/>
                <w:szCs w:val="18"/>
                <w:color w:val="auto"/>
              </w:rPr>
              <w:t>$ 25</w:t>
            </w:r>
          </w:p>
        </w:tc>
        <w:tc>
          <w:tcPr>
            <w:tcW w:w="62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289</w:t>
            </w: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8"/>
                <w:szCs w:val="18"/>
                <w:color w:val="auto"/>
              </w:rPr>
              <w:t>28</w:t>
            </w: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7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170</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b w:val="1"/>
                <w:bCs w:val="1"/>
                <w:color w:val="auto"/>
              </w:rPr>
              <w:t>173</w:t>
            </w:r>
          </w:p>
        </w:tc>
        <w:tc>
          <w:tcPr>
            <w:tcW w:w="1280" w:type="dxa"/>
            <w:vAlign w:val="bottom"/>
            <w:tcBorders>
              <w:bottom w:val="single" w:sz="8" w:color="auto"/>
            </w:tcBorders>
            <w:shd w:val="clear" w:color="auto" w:fill="E5E5E5"/>
          </w:tcPr>
          <w:p>
            <w:pPr>
              <w:jc w:val="right"/>
              <w:ind w:right="522"/>
              <w:spacing w:after="0"/>
              <w:rPr>
                <w:sz w:val="20"/>
                <w:szCs w:val="20"/>
                <w:color w:val="auto"/>
              </w:rPr>
            </w:pPr>
            <w:r>
              <w:rPr>
                <w:rFonts w:ascii="Arial" w:cs="Arial" w:eastAsia="Arial" w:hAnsi="Arial"/>
                <w:sz w:val="18"/>
                <w:szCs w:val="18"/>
                <w:b w:val="1"/>
                <w:bCs w:val="1"/>
                <w:color w:val="auto"/>
              </w:rPr>
              <w:t>$ (3)</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Parks revenue increased for the three months ended March 31, 2014 compared to the same period in 2013 primarily due to an increase in per capita spending at our Hollywood and Orlando theme parks. Guest attendance at our Orlando and Hollywood theme parks has remained stable despite the effect of a shift in the timing of holidays from the first quarter of 2013 to the second quarter of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Theme Parks segment operating costs and expenses increased for the three months ended March 31, 2014 compared to the same period in 2013 primarily due to costs at our Orlando and Hollywood theme parks associated with additional attractions and an increase in per capita spending.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Headquarters, Other and Eliminations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 in operating income (loss) before depreciation and amortization for headquarters, other and eliminations for the three months ended March 31, 2014 compared to the same period in 2013 was primarily due to higher employee-related costs, including severance costs.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gridSpan w:val="3"/>
          </w:tcPr>
          <w:p>
            <w:pPr>
              <w:jc w:val="right"/>
              <w:ind w:right="517"/>
              <w:spacing w:after="0"/>
              <w:rPr>
                <w:sz w:val="20"/>
                <w:szCs w:val="20"/>
                <w:color w:val="auto"/>
              </w:rPr>
            </w:pPr>
            <w:r>
              <w:rPr>
                <w:rFonts w:ascii="Arial" w:cs="Arial" w:eastAsia="Arial" w:hAnsi="Arial"/>
                <w:sz w:val="14"/>
                <w:szCs w:val="14"/>
                <w:color w:val="auto"/>
                <w:w w:val="97"/>
              </w:rPr>
              <w:t>Three Months Ended</w:t>
            </w:r>
          </w:p>
        </w:tc>
        <w:tc>
          <w:tcPr>
            <w:tcW w:w="1280" w:type="dxa"/>
            <w:vAlign w:val="bottom"/>
          </w:tcPr>
          <w:p>
            <w:pPr>
              <w:jc w:val="right"/>
              <w:ind w:right="2"/>
              <w:spacing w:after="0"/>
              <w:rPr>
                <w:sz w:val="20"/>
                <w:szCs w:val="20"/>
                <w:color w:val="auto"/>
              </w:rPr>
            </w:pPr>
            <w:r>
              <w:rPr>
                <w:rFonts w:ascii="Arial" w:cs="Arial" w:eastAsia="Arial" w:hAnsi="Arial"/>
                <w:sz w:val="14"/>
                <w:szCs w:val="14"/>
                <w:color w:val="auto"/>
              </w:rPr>
              <w:t>Increase/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0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(Decrease)</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62"/>
              <w:spacing w:after="0" w:line="142" w:lineRule="exact"/>
              <w:rPr>
                <w:sz w:val="20"/>
                <w:szCs w:val="20"/>
                <w:color w:val="auto"/>
              </w:rPr>
            </w:pPr>
            <w:r>
              <w:rPr>
                <w:rFonts w:ascii="Arial" w:cs="Arial" w:eastAsia="Arial" w:hAnsi="Arial"/>
                <w:sz w:val="14"/>
                <w:szCs w:val="14"/>
                <w:color w:val="auto"/>
                <w:w w:val="83"/>
              </w:rPr>
              <w:t>2014</w:t>
            </w: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color w:val="auto"/>
                <w:w w:val="89"/>
              </w:rPr>
              <w:t>2013</w:t>
            </w:r>
          </w:p>
        </w:tc>
        <w:tc>
          <w:tcPr>
            <w:tcW w:w="1280" w:type="dxa"/>
            <w:vAlign w:val="bottom"/>
            <w:tcBorders>
              <w:bottom w:val="single" w:sz="8" w:color="auto"/>
            </w:tcBorders>
          </w:tcPr>
          <w:p>
            <w:pPr>
              <w:jc w:val="right"/>
              <w:ind w:right="722"/>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522"/>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162</w:t>
            </w:r>
          </w:p>
        </w:tc>
        <w:tc>
          <w:tcPr>
            <w:tcW w:w="1280" w:type="dxa"/>
            <w:vAlign w:val="bottom"/>
            <w:shd w:val="clear" w:color="auto" w:fill="E5E5E5"/>
          </w:tcPr>
          <w:p>
            <w:pPr>
              <w:jc w:val="right"/>
              <w:ind w:right="582"/>
              <w:spacing w:after="0"/>
              <w:rPr>
                <w:sz w:val="20"/>
                <w:szCs w:val="20"/>
                <w:color w:val="auto"/>
              </w:rPr>
            </w:pPr>
            <w:r>
              <w:rPr>
                <w:rFonts w:ascii="Arial" w:cs="Arial" w:eastAsia="Arial" w:hAnsi="Arial"/>
                <w:sz w:val="18"/>
                <w:szCs w:val="18"/>
                <w:color w:val="auto"/>
              </w:rPr>
              <w:t>$ 12</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245</w:t>
            </w: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8"/>
                <w:szCs w:val="18"/>
                <w:color w:val="auto"/>
              </w:rPr>
              <w:t>82</w:t>
            </w: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w w:val="91"/>
              </w:rPr>
              <w:t>33.1</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462"/>
              <w:spacing w:after="0"/>
              <w:rPr>
                <w:sz w:val="20"/>
                <w:szCs w:val="20"/>
                <w:color w:val="auto"/>
              </w:rPr>
            </w:pPr>
            <w:r>
              <w:rPr>
                <w:rFonts w:ascii="Arial" w:cs="Arial" w:eastAsia="Arial" w:hAnsi="Arial"/>
                <w:sz w:val="18"/>
                <w:szCs w:val="18"/>
                <w:b w:val="1"/>
                <w:bCs w:val="1"/>
                <w:color w:val="auto"/>
              </w:rPr>
              <w:t>(153)</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(83)</w:t>
            </w:r>
          </w:p>
        </w:tc>
        <w:tc>
          <w:tcPr>
            <w:tcW w:w="1280" w:type="dxa"/>
            <w:vAlign w:val="bottom"/>
            <w:tcBorders>
              <w:bottom w:val="single" w:sz="8" w:color="auto"/>
            </w:tcBorders>
            <w:shd w:val="clear" w:color="auto" w:fill="E5E5E5"/>
          </w:tcPr>
          <w:p>
            <w:pPr>
              <w:jc w:val="right"/>
              <w:ind w:right="522"/>
              <w:spacing w:after="0"/>
              <w:rPr>
                <w:sz w:val="20"/>
                <w:szCs w:val="20"/>
                <w:color w:val="auto"/>
              </w:rPr>
            </w:pPr>
            <w:r>
              <w:rPr>
                <w:rFonts w:ascii="Arial" w:cs="Arial" w:eastAsia="Arial" w:hAnsi="Arial"/>
                <w:sz w:val="18"/>
                <w:szCs w:val="18"/>
                <w:b w:val="1"/>
                <w:bCs w:val="1"/>
                <w:color w:val="auto"/>
              </w:rPr>
              <w:t>$(70)</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0"/>
              </w:rPr>
              <w:t>82.5%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primarily relates to Comcast-Spectacor, which owns the Philadelphia Flyers and the Wells Fargo Center arena in Philadelphia and operates arena management-related businesses.</w:t>
      </w:r>
    </w:p>
    <w:p>
      <w:pPr>
        <w:spacing w:after="0" w:line="3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Other revenue increased for the three months ended March 31, 2014 compared to the same period in 2013 primarily due to an increase in revenue associated with Leisure Arts, a subsidiary acquired in October 2013, as well as an increase in ticketing revenue associated with our Comcast-Spectacor business.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 of corporate initiatives and branding, and operating costs and expenses associated with Comcast-Spectacor.</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Corporate and Other operating costs and expenses increased for the three months ended March 31, 2014 compared to the same period in 2013 primarily due to company-wide branding initiatives, including those initiatives associated with the 2014 Sochi Olympics, $17 million of transaction-related costs recorded during the three months ended March 31, 2014 associated with the Time Warner Cable transaction, and an increase in labor costs in our Comcast-Spectacor business.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right"/>
              <w:ind w:right="316"/>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0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w w:val="85"/>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4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w w:val="83"/>
              </w:rPr>
              <w:t>2014</w:t>
            </w:r>
          </w:p>
        </w:tc>
        <w:tc>
          <w:tcPr>
            <w:tcW w:w="7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(642)</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70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6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7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9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(512)</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(497)</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components of investment income (loss), net for the three months ended March 31, 2014 and 2013 are presented in a table in Note 5 to Comcast’s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other income (expense), net for the three months ended March 31, 2014 compared to the same period in 2013 was primarily due to the $108 million gain recognized in the prior year period related to our sale of wireless communications spectrum licenses and a $27 million favorable settlement of a contingency related to the AT&amp;T Broadband transaction recorded in the current year period.</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for the three months ended March 31, 2014 and 2013 reflects an effective income tax rate that differs from the federal statutory rate primarily due to state income taxes, adjustments associated with uncertain tax positions and foreign income taxes. We expect our 2014 annual effective tax rate to be in the range of 37% to 39%, absent changes in tax laws or significant changes in uncertain tax positions. It is reasonably possible that certain statutes of limitations for the years 2000 through 2006 will expire and/or judicial decisions related to litigation could be issued within the next 12 months that may result in a decrease in our effective tax rate.</w:t>
      </w:r>
    </w:p>
    <w:p>
      <w:pPr>
        <w:spacing w:after="0" w:line="78"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b w:val="1"/>
          <w:bCs w:val="1"/>
          <w:color w:val="auto"/>
        </w:rPr>
        <w:t>Consolidated Net (Income) Loss Attributable to Noncontrolling Interests and Redeemable Subsidiary Preferred Stock</w:t>
      </w:r>
    </w:p>
    <w:p>
      <w:pPr>
        <w:spacing w:after="0" w:line="2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decrease in net (income) loss attributable to noncontrolling interests and redeemable subsidiary preferred stock for the three months ended March 31, 2014 was primarily due to our acquisition of GE’s remaining 49% common equity interest in NBCUniversal Holdings in March 2013.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to meet our debt repayment obligations, to fund our capital expenditures, to invest in business opportunities and to return capital to shareholders.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160" w:type="dxa"/>
            <w:vAlign w:val="bottom"/>
            <w:gridSpan w:val="2"/>
          </w:tcPr>
          <w:p>
            <w:pPr>
              <w:jc w:val="right"/>
              <w:ind w:right="254"/>
              <w:spacing w:after="0"/>
              <w:rPr>
                <w:sz w:val="20"/>
                <w:szCs w:val="20"/>
                <w:color w:val="auto"/>
              </w:rPr>
            </w:pPr>
            <w:r>
              <w:rPr>
                <w:rFonts w:ascii="Arial" w:cs="Arial" w:eastAsia="Arial" w:hAnsi="Arial"/>
                <w:sz w:val="14"/>
                <w:szCs w:val="14"/>
                <w:color w:val="auto"/>
              </w:rPr>
              <w:t>Three Months Ended</w:t>
            </w:r>
          </w:p>
        </w:tc>
      </w:tr>
      <w:tr>
        <w:trPr>
          <w:trHeight w:val="172"/>
        </w:trPr>
        <w:tc>
          <w:tcPr>
            <w:tcW w:w="926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4"/>
                <w:szCs w:val="14"/>
                <w:color w:val="auto"/>
              </w:rPr>
            </w:pPr>
          </w:p>
        </w:tc>
      </w:tr>
      <w:tr>
        <w:trPr>
          <w:trHeight w:val="143"/>
        </w:trPr>
        <w:tc>
          <w:tcPr>
            <w:tcW w:w="92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jc w:val="right"/>
              <w:ind w:right="577"/>
              <w:spacing w:after="0" w:line="143" w:lineRule="exact"/>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jc w:val="right"/>
              <w:ind w:right="154"/>
              <w:spacing w:after="0" w:line="143" w:lineRule="exact"/>
              <w:rPr>
                <w:sz w:val="20"/>
                <w:szCs w:val="20"/>
                <w:color w:val="auto"/>
              </w:rPr>
            </w:pPr>
            <w:r>
              <w:rPr>
                <w:rFonts w:ascii="Arial" w:cs="Arial" w:eastAsia="Arial" w:hAnsi="Arial"/>
                <w:sz w:val="14"/>
                <w:szCs w:val="14"/>
                <w:color w:val="auto"/>
              </w:rPr>
              <w:t>2013</w:t>
            </w:r>
          </w:p>
        </w:tc>
      </w:tr>
      <w:tr>
        <w:trPr>
          <w:trHeight w:val="210"/>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50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$ 3,568</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9"/>
              </w:rPr>
              <w:t>$ 3,067</w:t>
            </w:r>
          </w:p>
        </w:tc>
      </w:tr>
      <w:tr>
        <w:trPr>
          <w:trHeight w:val="216"/>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1,970</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1,967</w:t>
            </w:r>
          </w:p>
        </w:tc>
      </w:tr>
      <w:tr>
        <w:trPr>
          <w:trHeight w:val="210"/>
        </w:trPr>
        <w:tc>
          <w:tcPr>
            <w:tcW w:w="92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150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5,538</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5,034</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500" w:type="dxa"/>
            <w:vAlign w:val="bottom"/>
          </w:tcPr>
          <w:p>
            <w:pPr>
              <w:jc w:val="right"/>
              <w:ind w:right="437"/>
              <w:spacing w:after="0"/>
              <w:rPr>
                <w:sz w:val="20"/>
                <w:szCs w:val="20"/>
                <w:color w:val="auto"/>
              </w:rPr>
            </w:pPr>
            <w:r>
              <w:rPr>
                <w:rFonts w:ascii="Arial" w:cs="Arial" w:eastAsia="Arial" w:hAnsi="Arial"/>
                <w:sz w:val="18"/>
                <w:szCs w:val="18"/>
                <w:color w:val="auto"/>
              </w:rPr>
              <w:t>119</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102</w:t>
            </w:r>
          </w:p>
        </w:tc>
      </w:tr>
      <w:tr>
        <w:trPr>
          <w:trHeight w:val="216"/>
        </w:trPr>
        <w:tc>
          <w:tcPr>
            <w:tcW w:w="9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tcBorders>
              <w:bottom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color w:val="auto"/>
              </w:rPr>
              <w:t>(267)</w:t>
            </w: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369</w:t>
            </w:r>
          </w:p>
        </w:tc>
      </w:tr>
      <w:tr>
        <w:trPr>
          <w:trHeight w:val="210"/>
        </w:trPr>
        <w:tc>
          <w:tcPr>
            <w:tcW w:w="926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1500" w:type="dxa"/>
            <w:vAlign w:val="bottom"/>
          </w:tcPr>
          <w:p>
            <w:pPr>
              <w:jc w:val="right"/>
              <w:ind w:right="437"/>
              <w:spacing w:after="0"/>
              <w:rPr>
                <w:sz w:val="20"/>
                <w:szCs w:val="20"/>
                <w:color w:val="auto"/>
              </w:rPr>
            </w:pPr>
            <w:r>
              <w:rPr>
                <w:rFonts w:ascii="Arial" w:cs="Arial" w:eastAsia="Arial" w:hAnsi="Arial"/>
                <w:sz w:val="18"/>
                <w:szCs w:val="18"/>
                <w:color w:val="auto"/>
              </w:rPr>
              <w:t>5,390</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5,505</w:t>
            </w:r>
          </w:p>
        </w:tc>
      </w:tr>
      <w:tr>
        <w:trPr>
          <w:trHeight w:val="216"/>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500" w:type="dxa"/>
            <w:vAlign w:val="bottom"/>
            <w:shd w:val="clear" w:color="auto" w:fill="E5E5E5"/>
          </w:tcPr>
          <w:p>
            <w:pPr>
              <w:jc w:val="right"/>
              <w:ind w:right="377"/>
              <w:spacing w:after="0"/>
              <w:rPr>
                <w:sz w:val="20"/>
                <w:szCs w:val="20"/>
                <w:color w:val="auto"/>
              </w:rPr>
            </w:pPr>
            <w:r>
              <w:rPr>
                <w:rFonts w:ascii="Arial" w:cs="Arial" w:eastAsia="Arial" w:hAnsi="Arial"/>
                <w:sz w:val="18"/>
                <w:szCs w:val="18"/>
                <w:color w:val="auto"/>
              </w:rPr>
              <w:t>(623)</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(617)</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500" w:type="dxa"/>
            <w:vAlign w:val="bottom"/>
          </w:tcPr>
          <w:p>
            <w:pPr>
              <w:jc w:val="right"/>
              <w:ind w:right="377"/>
              <w:spacing w:after="0"/>
              <w:rPr>
                <w:sz w:val="20"/>
                <w:szCs w:val="20"/>
                <w:color w:val="auto"/>
              </w:rPr>
            </w:pPr>
            <w:r>
              <w:rPr>
                <w:rFonts w:ascii="Arial" w:cs="Arial" w:eastAsia="Arial" w:hAnsi="Arial"/>
                <w:sz w:val="18"/>
                <w:szCs w:val="18"/>
                <w:color w:val="auto"/>
              </w:rPr>
              <w:t>(186)</w:t>
            </w:r>
          </w:p>
        </w:tc>
        <w:tc>
          <w:tcPr>
            <w:tcW w:w="66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Excess tax benefits under share-based compensation</w:t>
            </w:r>
          </w:p>
        </w:tc>
        <w:tc>
          <w:tcPr>
            <w:tcW w:w="1500" w:type="dxa"/>
            <w:vAlign w:val="bottom"/>
            <w:shd w:val="clear" w:color="auto" w:fill="E5E5E5"/>
          </w:tcPr>
          <w:p>
            <w:pPr>
              <w:jc w:val="right"/>
              <w:ind w:right="377"/>
              <w:spacing w:after="0"/>
              <w:rPr>
                <w:sz w:val="20"/>
                <w:szCs w:val="20"/>
                <w:color w:val="auto"/>
              </w:rPr>
            </w:pPr>
            <w:r>
              <w:rPr>
                <w:rFonts w:ascii="Arial" w:cs="Arial" w:eastAsia="Arial" w:hAnsi="Arial"/>
                <w:sz w:val="18"/>
                <w:szCs w:val="18"/>
                <w:color w:val="auto"/>
              </w:rPr>
              <w:t>(151)</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56</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w:t>
            </w:r>
          </w:p>
        </w:tc>
      </w:tr>
      <w:tr>
        <w:trPr>
          <w:trHeight w:val="217"/>
        </w:trPr>
        <w:tc>
          <w:tcPr>
            <w:tcW w:w="9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b w:val="1"/>
                <w:bCs w:val="1"/>
                <w:color w:val="auto"/>
              </w:rPr>
              <w:t>$ 4,486</w:t>
            </w: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9"/>
              </w:rPr>
              <w:t>$ 4,369</w:t>
            </w: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changes in operating assets and liabilities for the three months ended March 31, 2014 compared to the same period in 2013 were primarily related to the timing of operating items associated with our broadcast of the 2014 Sochi Olympics and an increase in film and television costs.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income tax payments for the three months ended March 31, 2014 compared to the same period in 2013 was primarily due to lower tax payments made in 2014 that related to 2013.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for the three months ended March 31, 2014 consisted primarily of cash paid for capital expenditures and cash paid for intangible assets, which were partially offset by proceeds from the sales of businesses and investments.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for the three months ended March 31, 2014 consisted primarily of repayments of debt, repurchases of our common stock and dividend payments.</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2014, we issued $1.2 billion aggregate principal amount of 3.60% senior notes due 2024 and $1 billion aggregate principal amount of 4.75% senior notes due 2044. The proceeds from this offering were used for working capital and general corporate purposes, including the repayment of a portion of our outstanding commercial paper and our $900 million aggregate principal amount of 2.10% senior notes in April 2014 at maturity.</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2014, we repaid at maturity $1 billion aggregate principal amount of 5.30% senior notes due 2014. In February 2014, we repaid $1.25 billion of borrowings outstanding under NBCUniversal Enterprise’s revolving credit facility with the proceeds from $990 million of borrowings under its new commercial paper program and cash on hand.</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also maintain significant availability under our lines of credit and our commercial paper program to meet our short-term liquidity requirements.</w:t>
      </w:r>
    </w:p>
    <w:p>
      <w:pPr>
        <w:spacing w:after="0" w:line="10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2014, NBCUniversal Enterprise established a commercial paper program. The maximum borrowing capacity under this commercial paper program is $1.35 billion, and it is supported by NBCUniversal Enterprise’s existing $1.35 billion revolving credit facility due March 2018. The commercial paper program is fully and unconditionally guaranteed by us and the cable guarantors. As of March 31, 2014, NBCUniversal Enterprise had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$990 million face amount of commercial paper outstanding. The proceeds from NBCUniversal Enterprise’s issuance of commercial paper were used to repay the $1.25 billion borrowings outstanding under its revolving credit facility.</w:t>
      </w:r>
    </w:p>
    <w:p>
      <w:pPr>
        <w:spacing w:after="0" w:line="3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March 31, 2014, amounts available under our consolidated revolving credit facilities, net of amounts outstanding under our commercial paper program and undrawn letters of credit, totaled $6.3 billion, which included $360 million available under NBCUniversal Enterprise’s credit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2014, our Board of Directors increased our share repurchase authorization to $7.5 billion, which does not have an expiration date. Under this authorization, we may repurchase shares in the open market or in private transactions. During the three months ended March 31, 2014, we repurchased 15 million shares of our Class A Special common stock for $750 million. We intend to repurchase a total of $3 billion of shares in 2014, subject to market conditions. In addition, after shareholder approval has been obtained by both Comcast and Time Warner Cable related to the merger, we intend to repurchase an additional $2.5 billion of shares during 2014, subject to market conditions.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2014, our Board of Directors approved a 15% increase in our dividend to $0.90 per share on an annualized basis and approved our first quarter dividend of $0.225 per share to be paid in April 2014. We expect to continue to pay quarterly dividends, although each dividend is subject to approval by our Board of Directors.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2013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2013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disclosure controls and procedures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Rules 13a-15(e) and 15d-15(e) of the Securities Exchange Act of 1934, as amended (the “Exchange Act”))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disclosure controls and procedures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 to Note 10 to Comcast’s condensed consolidated financial statements included in this Quarterly Report on Form 10-Q for a discussion of recent developments related to our legal proceedings. There have been no material developments in the matter reported in our 2013 Annual Report on Form 10-K regarding the California Attorney General and the Alameda County, California District Attorney’s investigation of certain of our waste disposal policies, procedures and practices.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Media, LLC is subject to legal proceedings and claims that arise in the ordinary course of its business. It does not expect the final disposition of any of these matters to have a material adverse effect on its results of operations, cash flows or financial condition, although any such matters could be time consuming and costly and could injure its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2013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Comcast’s Class A Special common stock repurchases under its Board-authorized share repurchase program during the three months ended March 31, 2014.</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center"/>
              <w:ind w:right="263"/>
              <w:spacing w:after="0"/>
              <w:rPr>
                <w:sz w:val="20"/>
                <w:szCs w:val="20"/>
                <w:color w:val="auto"/>
              </w:rPr>
            </w:pPr>
            <w:r>
              <w:rPr>
                <w:rFonts w:ascii="Arial" w:cs="Arial" w:eastAsia="Arial" w:hAnsi="Arial"/>
                <w:sz w:val="14"/>
                <w:szCs w:val="14"/>
                <w:color w:val="auto"/>
                <w:w w:val="92"/>
              </w:rPr>
              <w:t>Total Dollar</w:t>
            </w:r>
          </w:p>
        </w:tc>
        <w:tc>
          <w:tcPr>
            <w:tcW w:w="1480" w:type="dxa"/>
            <w:vAlign w:val="bottom"/>
          </w:tcPr>
          <w:p>
            <w:pPr>
              <w:jc w:val="center"/>
              <w:ind w:left="64"/>
              <w:spacing w:after="0"/>
              <w:rPr>
                <w:sz w:val="20"/>
                <w:szCs w:val="20"/>
                <w:color w:val="auto"/>
              </w:rPr>
            </w:pPr>
            <w:r>
              <w:rPr>
                <w:rFonts w:ascii="Arial" w:cs="Arial" w:eastAsia="Arial" w:hAnsi="Arial"/>
                <w:sz w:val="14"/>
                <w:szCs w:val="14"/>
                <w:color w:val="auto"/>
                <w:w w:val="92"/>
              </w:rPr>
              <w:t>Maximum Dollar</w:t>
            </w:r>
          </w:p>
        </w:tc>
      </w:tr>
      <w:tr>
        <w:trPr>
          <w:trHeight w:val="149"/>
        </w:trPr>
        <w:tc>
          <w:tcPr>
            <w:tcW w:w="2980" w:type="dxa"/>
            <w:vAlign w:val="bottom"/>
          </w:tcPr>
          <w:p>
            <w:pPr>
              <w:spacing w:after="0"/>
              <w:rPr>
                <w:sz w:val="12"/>
                <w:szCs w:val="12"/>
                <w:color w:val="auto"/>
              </w:rPr>
            </w:pPr>
          </w:p>
        </w:tc>
        <w:tc>
          <w:tcPr>
            <w:tcW w:w="2580" w:type="dxa"/>
            <w:vAlign w:val="bottom"/>
          </w:tcPr>
          <w:p>
            <w:pPr>
              <w:jc w:val="center"/>
              <w:ind w:left="1162"/>
              <w:spacing w:after="0" w:line="149" w:lineRule="exact"/>
              <w:rPr>
                <w:sz w:val="20"/>
                <w:szCs w:val="20"/>
                <w:color w:val="auto"/>
              </w:rPr>
            </w:pPr>
            <w:r>
              <w:rPr>
                <w:rFonts w:ascii="Arial" w:cs="Arial" w:eastAsia="Arial" w:hAnsi="Arial"/>
                <w:sz w:val="14"/>
                <w:szCs w:val="14"/>
                <w:color w:val="auto"/>
                <w:w w:val="83"/>
              </w:rPr>
              <w:t>Total</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2"/>
                <w:szCs w:val="12"/>
                <w:color w:val="auto"/>
              </w:rPr>
            </w:pPr>
          </w:p>
        </w:tc>
        <w:tc>
          <w:tcPr>
            <w:tcW w:w="1120" w:type="dxa"/>
            <w:vAlign w:val="bottom"/>
          </w:tcPr>
          <w:p>
            <w:pPr>
              <w:jc w:val="center"/>
              <w:ind w:right="283"/>
              <w:spacing w:after="0" w:line="149" w:lineRule="exact"/>
              <w:rPr>
                <w:sz w:val="20"/>
                <w:szCs w:val="20"/>
                <w:color w:val="auto"/>
              </w:rPr>
            </w:pPr>
            <w:r>
              <w:rPr>
                <w:rFonts w:ascii="Arial" w:cs="Arial" w:eastAsia="Arial" w:hAnsi="Arial"/>
                <w:sz w:val="14"/>
                <w:szCs w:val="14"/>
                <w:color w:val="auto"/>
                <w:w w:val="91"/>
              </w:rPr>
              <w:t>Amount</w:t>
            </w:r>
          </w:p>
        </w:tc>
        <w:tc>
          <w:tcPr>
            <w:tcW w:w="1480" w:type="dxa"/>
            <w:vAlign w:val="bottom"/>
          </w:tcPr>
          <w:p>
            <w:pPr>
              <w:jc w:val="center"/>
              <w:ind w:left="84"/>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2980" w:type="dxa"/>
            <w:vAlign w:val="bottom"/>
          </w:tcPr>
          <w:p>
            <w:pPr>
              <w:spacing w:after="0"/>
              <w:rPr>
                <w:sz w:val="12"/>
                <w:szCs w:val="12"/>
                <w:color w:val="auto"/>
              </w:rPr>
            </w:pPr>
          </w:p>
        </w:tc>
        <w:tc>
          <w:tcPr>
            <w:tcW w:w="2580" w:type="dxa"/>
            <w:vAlign w:val="bottom"/>
          </w:tcPr>
          <w:p>
            <w:pPr>
              <w:jc w:val="center"/>
              <w:ind w:left="1162"/>
              <w:spacing w:after="0" w:line="149" w:lineRule="exact"/>
              <w:rPr>
                <w:sz w:val="20"/>
                <w:szCs w:val="20"/>
                <w:color w:val="auto"/>
              </w:rPr>
            </w:pPr>
            <w:r>
              <w:rPr>
                <w:rFonts w:ascii="Arial" w:cs="Arial" w:eastAsia="Arial" w:hAnsi="Arial"/>
                <w:sz w:val="14"/>
                <w:szCs w:val="14"/>
                <w:color w:val="auto"/>
                <w:w w:val="88"/>
              </w:rPr>
              <w:t>Number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83"/>
              </w:rPr>
              <w:t>Shares Purchased</w:t>
            </w:r>
          </w:p>
        </w:tc>
        <w:tc>
          <w:tcPr>
            <w:tcW w:w="360" w:type="dxa"/>
            <w:vAlign w:val="bottom"/>
          </w:tcPr>
          <w:p>
            <w:pPr>
              <w:spacing w:after="0"/>
              <w:rPr>
                <w:sz w:val="12"/>
                <w:szCs w:val="12"/>
                <w:color w:val="auto"/>
              </w:rPr>
            </w:pPr>
          </w:p>
        </w:tc>
        <w:tc>
          <w:tcPr>
            <w:tcW w:w="1120" w:type="dxa"/>
            <w:vAlign w:val="bottom"/>
          </w:tcPr>
          <w:p>
            <w:pPr>
              <w:jc w:val="center"/>
              <w:ind w:right="283"/>
              <w:spacing w:after="0" w:line="149" w:lineRule="exact"/>
              <w:rPr>
                <w:sz w:val="20"/>
                <w:szCs w:val="20"/>
                <w:color w:val="auto"/>
              </w:rPr>
            </w:pPr>
            <w:r>
              <w:rPr>
                <w:rFonts w:ascii="Arial" w:cs="Arial" w:eastAsia="Arial" w:hAnsi="Arial"/>
                <w:sz w:val="14"/>
                <w:szCs w:val="14"/>
                <w:color w:val="auto"/>
                <w:w w:val="83"/>
              </w:rPr>
              <w:t>Purchased</w:t>
            </w:r>
          </w:p>
        </w:tc>
        <w:tc>
          <w:tcPr>
            <w:tcW w:w="1480" w:type="dxa"/>
            <w:vAlign w:val="bottom"/>
          </w:tcPr>
          <w:p>
            <w:pPr>
              <w:jc w:val="center"/>
              <w:ind w:left="84"/>
              <w:spacing w:after="0" w:line="149" w:lineRule="exact"/>
              <w:rPr>
                <w:sz w:val="20"/>
                <w:szCs w:val="20"/>
                <w:color w:val="auto"/>
              </w:rPr>
            </w:pPr>
            <w:r>
              <w:rPr>
                <w:rFonts w:ascii="Arial" w:cs="Arial" w:eastAsia="Arial" w:hAnsi="Arial"/>
                <w:sz w:val="14"/>
                <w:szCs w:val="14"/>
                <w:color w:val="auto"/>
                <w:w w:val="88"/>
              </w:rPr>
              <w:t>May Yet Be</w:t>
            </w:r>
          </w:p>
        </w:tc>
      </w:tr>
      <w:tr>
        <w:trPr>
          <w:trHeight w:val="132"/>
        </w:trPr>
        <w:tc>
          <w:tcPr>
            <w:tcW w:w="2980" w:type="dxa"/>
            <w:vAlign w:val="bottom"/>
          </w:tcPr>
          <w:p>
            <w:pPr>
              <w:spacing w:after="0"/>
              <w:rPr>
                <w:sz w:val="11"/>
                <w:szCs w:val="11"/>
                <w:color w:val="auto"/>
              </w:rPr>
            </w:pPr>
          </w:p>
        </w:tc>
        <w:tc>
          <w:tcPr>
            <w:tcW w:w="2580" w:type="dxa"/>
            <w:vAlign w:val="bottom"/>
          </w:tcPr>
          <w:p>
            <w:pPr>
              <w:jc w:val="center"/>
              <w:ind w:left="1182"/>
              <w:spacing w:after="0" w:line="133" w:lineRule="exact"/>
              <w:rPr>
                <w:sz w:val="20"/>
                <w:szCs w:val="20"/>
                <w:color w:val="auto"/>
              </w:rPr>
            </w:pPr>
            <w:r>
              <w:rPr>
                <w:rFonts w:ascii="Arial" w:cs="Arial" w:eastAsia="Arial" w:hAnsi="Arial"/>
                <w:sz w:val="14"/>
                <w:szCs w:val="14"/>
                <w:color w:val="auto"/>
                <w:w w:val="81"/>
              </w:rPr>
              <w:t>Shares</w:t>
            </w:r>
          </w:p>
        </w:tc>
        <w:tc>
          <w:tcPr>
            <w:tcW w:w="1000" w:type="dxa"/>
            <w:vAlign w:val="bottom"/>
          </w:tcPr>
          <w:p>
            <w:pPr>
              <w:jc w:val="center"/>
              <w:spacing w:after="0" w:line="133" w:lineRule="exact"/>
              <w:rPr>
                <w:sz w:val="20"/>
                <w:szCs w:val="20"/>
                <w:color w:val="auto"/>
              </w:rPr>
            </w:pPr>
            <w:r>
              <w:rPr>
                <w:rFonts w:ascii="Arial" w:cs="Arial" w:eastAsia="Arial" w:hAnsi="Arial"/>
                <w:sz w:val="14"/>
                <w:szCs w:val="14"/>
                <w:color w:val="auto"/>
                <w:w w:val="82"/>
              </w:rPr>
              <w:t>Per</w:t>
            </w:r>
          </w:p>
        </w:tc>
        <w:tc>
          <w:tcPr>
            <w:tcW w:w="1900" w:type="dxa"/>
            <w:vAlign w:val="bottom"/>
          </w:tcPr>
          <w:p>
            <w:pPr>
              <w:jc w:val="center"/>
              <w:spacing w:after="0" w:line="133" w:lineRule="exact"/>
              <w:rPr>
                <w:sz w:val="20"/>
                <w:szCs w:val="20"/>
                <w:color w:val="auto"/>
              </w:rPr>
            </w:pPr>
            <w:r>
              <w:rPr>
                <w:rFonts w:ascii="Arial" w:cs="Arial" w:eastAsia="Arial" w:hAnsi="Arial"/>
                <w:sz w:val="14"/>
                <w:szCs w:val="14"/>
                <w:color w:val="auto"/>
                <w:w w:val="89"/>
              </w:rPr>
              <w:t>as Part of Publicly</w:t>
            </w:r>
          </w:p>
        </w:tc>
        <w:tc>
          <w:tcPr>
            <w:tcW w:w="360" w:type="dxa"/>
            <w:vAlign w:val="bottom"/>
          </w:tcPr>
          <w:p>
            <w:pPr>
              <w:spacing w:after="0"/>
              <w:rPr>
                <w:sz w:val="11"/>
                <w:szCs w:val="11"/>
                <w:color w:val="auto"/>
              </w:rPr>
            </w:pPr>
          </w:p>
        </w:tc>
        <w:tc>
          <w:tcPr>
            <w:tcW w:w="1120" w:type="dxa"/>
            <w:vAlign w:val="bottom"/>
          </w:tcPr>
          <w:p>
            <w:pPr>
              <w:jc w:val="center"/>
              <w:ind w:right="263"/>
              <w:spacing w:after="0" w:line="133" w:lineRule="exact"/>
              <w:rPr>
                <w:sz w:val="20"/>
                <w:szCs w:val="20"/>
                <w:color w:val="auto"/>
              </w:rPr>
            </w:pPr>
            <w:r>
              <w:rPr>
                <w:rFonts w:ascii="Arial" w:cs="Arial" w:eastAsia="Arial" w:hAnsi="Arial"/>
                <w:sz w:val="14"/>
                <w:szCs w:val="14"/>
                <w:color w:val="auto"/>
                <w:w w:val="87"/>
              </w:rPr>
              <w:t>Under the</w:t>
            </w:r>
          </w:p>
        </w:tc>
        <w:tc>
          <w:tcPr>
            <w:tcW w:w="1480" w:type="dxa"/>
            <w:vAlign w:val="bottom"/>
          </w:tcPr>
          <w:p>
            <w:pPr>
              <w:jc w:val="center"/>
              <w:ind w:left="84"/>
              <w:spacing w:after="0" w:line="133" w:lineRule="exact"/>
              <w:rPr>
                <w:sz w:val="20"/>
                <w:szCs w:val="20"/>
                <w:color w:val="auto"/>
              </w:rPr>
            </w:pPr>
            <w:r>
              <w:rPr>
                <w:rFonts w:ascii="Arial" w:cs="Arial" w:eastAsia="Arial" w:hAnsi="Arial"/>
                <w:sz w:val="14"/>
                <w:szCs w:val="14"/>
                <w:color w:val="auto"/>
                <w:w w:val="84"/>
              </w:rPr>
              <w:t>Purchased Under the</w:t>
            </w:r>
          </w:p>
        </w:tc>
      </w:tr>
      <w:tr>
        <w:trPr>
          <w:trHeight w:val="176"/>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580" w:type="dxa"/>
            <w:vAlign w:val="bottom"/>
            <w:tcBorders>
              <w:bottom w:val="single" w:sz="8" w:color="auto"/>
            </w:tcBorders>
          </w:tcPr>
          <w:p>
            <w:pPr>
              <w:jc w:val="center"/>
              <w:ind w:left="1162"/>
              <w:spacing w:after="0"/>
              <w:rPr>
                <w:sz w:val="20"/>
                <w:szCs w:val="20"/>
                <w:color w:val="auto"/>
              </w:rPr>
            </w:pPr>
            <w:r>
              <w:rPr>
                <w:rFonts w:ascii="Arial" w:cs="Arial" w:eastAsia="Arial" w:hAnsi="Arial"/>
                <w:sz w:val="14"/>
                <w:szCs w:val="14"/>
                <w:color w:val="auto"/>
                <w:w w:val="80"/>
              </w:rPr>
              <w:t>Purchased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0"/>
              </w:rPr>
              <w:t>Share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Announced Authorization</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color w:val="auto"/>
                <w:w w:val="90"/>
              </w:rPr>
              <w:t>Authorization</w:t>
            </w:r>
          </w:p>
        </w:tc>
        <w:tc>
          <w:tcPr>
            <w:tcW w:w="1480" w:type="dxa"/>
            <w:vAlign w:val="bottom"/>
            <w:tcBorders>
              <w:bottom w:val="single" w:sz="8" w:color="auto"/>
            </w:tcBorders>
          </w:tcPr>
          <w:p>
            <w:pPr>
              <w:jc w:val="center"/>
              <w:ind w:left="84"/>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January 1-31, 2014</w:t>
            </w:r>
          </w:p>
        </w:tc>
        <w:tc>
          <w:tcPr>
            <w:tcW w:w="2580" w:type="dxa"/>
            <w:vAlign w:val="bottom"/>
            <w:shd w:val="clear" w:color="auto" w:fill="E5E5E5"/>
          </w:tcPr>
          <w:p>
            <w:pPr>
              <w:jc w:val="right"/>
              <w:ind w:right="162"/>
              <w:spacing w:after="0"/>
              <w:rPr>
                <w:sz w:val="20"/>
                <w:szCs w:val="20"/>
                <w:color w:val="auto"/>
              </w:rPr>
            </w:pPr>
            <w:r>
              <w:rPr>
                <w:rFonts w:ascii="Arial" w:cs="Arial" w:eastAsia="Arial" w:hAnsi="Arial"/>
                <w:sz w:val="18"/>
                <w:szCs w:val="18"/>
                <w:color w:val="auto"/>
              </w:rPr>
              <w:t>289</w:t>
            </w:r>
          </w:p>
        </w:tc>
        <w:tc>
          <w:tcPr>
            <w:tcW w:w="1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$52.72</w:t>
            </w:r>
          </w:p>
        </w:tc>
        <w:tc>
          <w:tcPr>
            <w:tcW w:w="1900" w:type="dxa"/>
            <w:vAlign w:val="bottom"/>
            <w:shd w:val="clear" w:color="auto" w:fill="E5E5E5"/>
          </w:tcPr>
          <w:p>
            <w:pPr>
              <w:jc w:val="right"/>
              <w:ind w:right="16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163"/>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E5E5"/>
          </w:tcPr>
          <w:p>
            <w:pPr>
              <w:jc w:val="center"/>
              <w:ind w:left="84"/>
              <w:spacing w:after="0"/>
              <w:rPr>
                <w:sz w:val="20"/>
                <w:szCs w:val="20"/>
                <w:color w:val="auto"/>
              </w:rPr>
            </w:pPr>
            <w:r>
              <w:rPr>
                <w:rFonts w:ascii="Arial" w:cs="Arial" w:eastAsia="Arial" w:hAnsi="Arial"/>
                <w:sz w:val="18"/>
                <w:szCs w:val="18"/>
                <w:color w:val="auto"/>
                <w:w w:val="86"/>
              </w:rPr>
              <w:t>$ 7,500,000,000</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February 1-28, 2014</w:t>
            </w:r>
          </w:p>
        </w:tc>
        <w:tc>
          <w:tcPr>
            <w:tcW w:w="2580" w:type="dxa"/>
            <w:vAlign w:val="bottom"/>
          </w:tcPr>
          <w:p>
            <w:pPr>
              <w:jc w:val="right"/>
              <w:ind w:right="162"/>
              <w:spacing w:after="0"/>
              <w:rPr>
                <w:sz w:val="20"/>
                <w:szCs w:val="20"/>
                <w:color w:val="auto"/>
              </w:rPr>
            </w:pPr>
            <w:r>
              <w:rPr>
                <w:rFonts w:ascii="Arial" w:cs="Arial" w:eastAsia="Arial" w:hAnsi="Arial"/>
                <w:sz w:val="18"/>
                <w:szCs w:val="18"/>
                <w:color w:val="auto"/>
              </w:rPr>
              <w:t>4,903,055</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$50.99</w:t>
            </w:r>
          </w:p>
        </w:tc>
        <w:tc>
          <w:tcPr>
            <w:tcW w:w="1900" w:type="dxa"/>
            <w:vAlign w:val="bottom"/>
          </w:tcPr>
          <w:p>
            <w:pPr>
              <w:jc w:val="right"/>
              <w:ind w:right="162"/>
              <w:spacing w:after="0"/>
              <w:rPr>
                <w:sz w:val="20"/>
                <w:szCs w:val="20"/>
                <w:color w:val="auto"/>
              </w:rPr>
            </w:pPr>
            <w:r>
              <w:rPr>
                <w:rFonts w:ascii="Arial" w:cs="Arial" w:eastAsia="Arial" w:hAnsi="Arial"/>
                <w:sz w:val="18"/>
                <w:szCs w:val="18"/>
                <w:color w:val="auto"/>
              </w:rPr>
              <w:t>4,903,055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3"/>
              <w:spacing w:after="0"/>
              <w:rPr>
                <w:sz w:val="20"/>
                <w:szCs w:val="20"/>
                <w:color w:val="auto"/>
              </w:rPr>
            </w:pPr>
            <w:r>
              <w:rPr>
                <w:rFonts w:ascii="Arial" w:cs="Arial" w:eastAsia="Arial" w:hAnsi="Arial"/>
                <w:sz w:val="18"/>
                <w:szCs w:val="18"/>
                <w:color w:val="auto"/>
                <w:w w:val="85"/>
              </w:rPr>
              <w:t>250,000,000</w:t>
            </w:r>
          </w:p>
        </w:tc>
        <w:tc>
          <w:tcPr>
            <w:tcW w:w="1480" w:type="dxa"/>
            <w:vAlign w:val="bottom"/>
          </w:tcPr>
          <w:p>
            <w:pPr>
              <w:jc w:val="center"/>
              <w:ind w:left="84"/>
              <w:spacing w:after="0"/>
              <w:rPr>
                <w:sz w:val="20"/>
                <w:szCs w:val="20"/>
                <w:color w:val="auto"/>
              </w:rPr>
            </w:pPr>
            <w:r>
              <w:rPr>
                <w:rFonts w:ascii="Arial" w:cs="Arial" w:eastAsia="Arial" w:hAnsi="Arial"/>
                <w:sz w:val="18"/>
                <w:szCs w:val="18"/>
                <w:color w:val="auto"/>
                <w:w w:val="86"/>
              </w:rPr>
              <w:t>$ 7,250,000,000</w:t>
            </w:r>
          </w:p>
        </w:tc>
      </w:tr>
      <w:tr>
        <w:trPr>
          <w:trHeight w:val="216"/>
        </w:trPr>
        <w:tc>
          <w:tcPr>
            <w:tcW w:w="2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March 1-31, 2014</w:t>
            </w:r>
          </w:p>
        </w:tc>
        <w:tc>
          <w:tcPr>
            <w:tcW w:w="258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10,188,367</w:t>
            </w:r>
          </w:p>
        </w:tc>
        <w:tc>
          <w:tcPr>
            <w:tcW w:w="10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0"/>
              </w:rPr>
              <w:t>$49.72</w:t>
            </w:r>
          </w:p>
        </w:tc>
        <w:tc>
          <w:tcPr>
            <w:tcW w:w="190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10,062,354</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163"/>
              <w:spacing w:after="0"/>
              <w:rPr>
                <w:sz w:val="20"/>
                <w:szCs w:val="20"/>
                <w:color w:val="auto"/>
              </w:rPr>
            </w:pPr>
            <w:r>
              <w:rPr>
                <w:rFonts w:ascii="Arial" w:cs="Arial" w:eastAsia="Arial" w:hAnsi="Arial"/>
                <w:sz w:val="18"/>
                <w:szCs w:val="18"/>
                <w:color w:val="auto"/>
                <w:w w:val="85"/>
              </w:rPr>
              <w:t>500,000,000</w:t>
            </w:r>
          </w:p>
        </w:tc>
        <w:tc>
          <w:tcPr>
            <w:tcW w:w="1480" w:type="dxa"/>
            <w:vAlign w:val="bottom"/>
            <w:tcBorders>
              <w:bottom w:val="single" w:sz="8" w:color="auto"/>
            </w:tcBorders>
            <w:shd w:val="clear" w:color="auto" w:fill="E5E5E5"/>
          </w:tcPr>
          <w:p>
            <w:pPr>
              <w:jc w:val="center"/>
              <w:ind w:left="84"/>
              <w:spacing w:after="0"/>
              <w:rPr>
                <w:sz w:val="20"/>
                <w:szCs w:val="20"/>
                <w:color w:val="auto"/>
              </w:rPr>
            </w:pPr>
            <w:r>
              <w:rPr>
                <w:rFonts w:ascii="Arial" w:cs="Arial" w:eastAsia="Arial" w:hAnsi="Arial"/>
                <w:sz w:val="18"/>
                <w:szCs w:val="18"/>
                <w:color w:val="auto"/>
                <w:w w:val="86"/>
              </w:rPr>
              <w:t>$ 6,750,000,000</w:t>
            </w:r>
          </w:p>
        </w:tc>
      </w:tr>
      <w:tr>
        <w:trPr>
          <w:trHeight w:val="217"/>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58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15,091,711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$50.13</w:t>
            </w:r>
          </w:p>
        </w:tc>
        <w:tc>
          <w:tcPr>
            <w:tcW w:w="190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14,965,409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b w:val="1"/>
                <w:bCs w:val="1"/>
                <w:color w:val="auto"/>
                <w:w w:val="85"/>
              </w:rPr>
              <w:t>750,000,000</w:t>
            </w:r>
          </w:p>
        </w:tc>
        <w:tc>
          <w:tcPr>
            <w:tcW w:w="1480" w:type="dxa"/>
            <w:vAlign w:val="bottom"/>
            <w:tcBorders>
              <w:bottom w:val="single" w:sz="8" w:color="auto"/>
            </w:tcBorders>
          </w:tcPr>
          <w:p>
            <w:pPr>
              <w:jc w:val="center"/>
              <w:ind w:left="84"/>
              <w:spacing w:after="0"/>
              <w:rPr>
                <w:sz w:val="20"/>
                <w:szCs w:val="20"/>
                <w:color w:val="auto"/>
              </w:rPr>
            </w:pPr>
            <w:r>
              <w:rPr>
                <w:rFonts w:ascii="Arial" w:cs="Arial" w:eastAsia="Arial" w:hAnsi="Arial"/>
                <w:sz w:val="18"/>
                <w:szCs w:val="18"/>
                <w:b w:val="1"/>
                <w:bCs w:val="1"/>
                <w:color w:val="auto"/>
                <w:w w:val="86"/>
              </w:rPr>
              <w:t>$ 6,750,000,000</w:t>
            </w:r>
          </w:p>
        </w:tc>
      </w:tr>
    </w:tbl>
    <w:p>
      <w:pPr>
        <w:spacing w:after="0" w:line="111" w:lineRule="exact"/>
        <w:rPr>
          <w:sz w:val="20"/>
          <w:szCs w:val="20"/>
          <w:color w:val="auto"/>
        </w:rPr>
      </w:pPr>
    </w:p>
    <w:p>
      <w:pPr>
        <w:jc w:val="both"/>
        <w:ind w:left="340" w:hanging="332"/>
        <w:spacing w:after="0" w:line="28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January 2014, our Board of Directors increased our share repurchase authorization to $7.5 billion, which does not have an expiration date. Under this authorization, we may repurchase shares in the open market or in private transactions. We expect to make $2.25 billion more in repurchases during the remainder of 2014, subject to market conditions. In addition, after shareholder approval has been obtained by both Comcast and Time Warner Cable related to the merger, we intend to repurchase an additional $2.5 billion of shares during 2014, subject to market conditions.</w:t>
      </w:r>
    </w:p>
    <w:p>
      <w:pPr>
        <w:spacing w:after="0" w:line="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March 31, 2014 includes 126,302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20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Agreement and Plan of Merger dated as of February 12, 2014 among Comcast Corporation, Time Warner Cable Inc. and Tango Acquisition Sub, Inc.</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(incorporated by reference to Exhibit 2.1 to Comcast’s Current Report filed on February 13, 2014).</w:t>
      </w:r>
    </w:p>
    <w:p>
      <w:pPr>
        <w:spacing w:after="0" w:line="9" w:lineRule="exact"/>
        <w:rPr>
          <w:sz w:val="20"/>
          <w:szCs w:val="20"/>
          <w:color w:val="auto"/>
        </w:rPr>
      </w:pPr>
    </w:p>
    <w:p>
      <w:pPr>
        <w:jc w:val="both"/>
        <w:ind w:left="820" w:hanging="722"/>
        <w:spacing w:after="0" w:line="281" w:lineRule="auto"/>
        <w:tabs>
          <w:tab w:leader="none" w:pos="8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Voting Agreement dated as of February 12, 2014 among Time Warner Cable Inc., Brian L. Roberts, BRCC Holdings LLC, Irrevocable Deed of Trust of Brian L. Roberts for Children and Other Issue dated June 10, 1998 and Irrevocable Deed of Trust of Ralph J. Roberts for Brian L. Roberts and Other Beneficiaries dated May 11, 1993 (incorporated by reference to Exhibit 2.2 to Comcast’s Current Report filed on February 13, 2014).</w:t>
      </w:r>
    </w:p>
    <w:p>
      <w:pPr>
        <w:spacing w:after="0" w:line="2"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Comcast Corporation 2002 Restricted Stock Plan, as amended and restated effective February 24, 2014.</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and Chief Financial Officer pursuant to Section 302 of the Sarbanes-Oxley Act of 2002.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months ended March 31, 2014, filed with the Securities and Exchange Commission on April 22, 2014,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w:t>
      </w:r>
      <w:r>
        <w:rPr>
          <w:rFonts w:ascii="Arial" w:cs="Arial" w:eastAsia="Arial" w:hAnsi="Arial"/>
          <w:sz w:val="12"/>
          <w:szCs w:val="12"/>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20" w:hanging="724"/>
        <w:spacing w:after="0" w:line="25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Quarterly Report on Form 10-Q for the three months ended March 31, 2014, filed with the Securities and Exchange Commission on April 22, 2014,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Controller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22, 2014</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2014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Index</w:t>
            </w:r>
          </w:p>
        </w:tc>
        <w:tc>
          <w:tcPr>
            <w:tcW w:w="6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Page</w:t>
            </w:r>
          </w:p>
        </w:tc>
      </w:tr>
      <w:tr>
        <w:trPr>
          <w:trHeight w:val="169"/>
        </w:trPr>
        <w:tc>
          <w:tcPr>
            <w:tcW w:w="5020" w:type="dxa"/>
            <w:vAlign w:val="bottom"/>
            <w:gridSpan w:val="7"/>
          </w:tcPr>
          <w:p>
            <w:pPr>
              <w:spacing w:after="0" w:line="170" w:lineRule="exact"/>
              <w:rPr>
                <w:rFonts w:ascii="Arial" w:cs="Arial" w:eastAsia="Arial" w:hAnsi="Arial"/>
                <w:sz w:val="18"/>
                <w:szCs w:val="18"/>
                <w:color w:val="0000EE"/>
              </w:rPr>
            </w:pPr>
            <w:hyperlink w:anchor="page42">
              <w:r>
                <w:rPr>
                  <w:rFonts w:ascii="Arial" w:cs="Arial" w:eastAsia="Arial" w:hAnsi="Arial"/>
                  <w:sz w:val="18"/>
                  <w:szCs w:val="18"/>
                  <w:color w:val="0000EE"/>
                </w:rPr>
                <w:t>Condensed Consolidated Balance Sheet</w:t>
              </w:r>
            </w:hyperlink>
          </w:p>
        </w:tc>
        <w:tc>
          <w:tcPr>
            <w:tcW w:w="6400" w:type="dxa"/>
            <w:vAlign w:val="bottom"/>
          </w:tcPr>
          <w:p>
            <w:pPr>
              <w:jc w:val="right"/>
              <w:ind w:right="15"/>
              <w:spacing w:after="0" w:line="170" w:lineRule="exact"/>
              <w:rPr>
                <w:sz w:val="20"/>
                <w:szCs w:val="20"/>
                <w:color w:val="auto"/>
              </w:rPr>
            </w:pPr>
            <w:r>
              <w:rPr>
                <w:rFonts w:ascii="Arial" w:cs="Arial" w:eastAsia="Arial" w:hAnsi="Arial"/>
                <w:sz w:val="18"/>
                <w:szCs w:val="18"/>
                <w:color w:val="auto"/>
              </w:rPr>
              <w:t>40</w:t>
            </w:r>
          </w:p>
        </w:tc>
      </w:tr>
      <w:tr>
        <w:trPr>
          <w:trHeight w:val="20"/>
        </w:trPr>
        <w:tc>
          <w:tcPr>
            <w:tcW w:w="2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Condensed Consolidated Statement of Income</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41</w:t>
            </w:r>
          </w:p>
        </w:tc>
      </w:tr>
      <w:tr>
        <w:trPr>
          <w:trHeight w:val="20"/>
        </w:trPr>
        <w:tc>
          <w:tcPr>
            <w:tcW w:w="3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Condensed Consolidated Statement of Comprehensive Income</w:t>
              </w:r>
            </w:hyperlink>
          </w:p>
        </w:tc>
        <w:tc>
          <w:tcPr>
            <w:tcW w:w="600" w:type="dxa"/>
            <w:vAlign w:val="bottom"/>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42</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Condensed Consolidated Statement of Cash Flows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43</w:t>
            </w:r>
          </w:p>
        </w:tc>
      </w:tr>
      <w:tr>
        <w:trPr>
          <w:trHeight w:val="20"/>
        </w:trPr>
        <w:tc>
          <w:tcPr>
            <w:tcW w:w="35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Condensed Consolidated Statement of Changes in Equity</w:t>
              </w:r>
            </w:hyperlink>
          </w:p>
        </w:tc>
        <w:tc>
          <w:tcPr>
            <w:tcW w:w="980" w:type="dxa"/>
            <w:vAlign w:val="bottom"/>
            <w:gridSpan w:val="2"/>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44</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Notes to Condensed Consolidated Financial Statements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45</w:t>
            </w:r>
          </w:p>
        </w:tc>
      </w:tr>
      <w:tr>
        <w:trPr>
          <w:trHeight w:val="61"/>
        </w:trPr>
        <w:tc>
          <w:tcPr>
            <w:tcW w:w="2800" w:type="dxa"/>
            <w:vAlign w:val="bottom"/>
            <w:tcBorders>
              <w:top w:val="single" w:sz="8" w:color="0000EE"/>
              <w:bottom w:val="single" w:sz="8" w:color="auto"/>
            </w:tcBorders>
          </w:tcPr>
          <w:p>
            <w:pPr>
              <w:spacing w:after="0"/>
              <w:rPr>
                <w:sz w:val="5"/>
                <w:szCs w:val="5"/>
                <w:color w:val="auto"/>
              </w:rPr>
            </w:pPr>
          </w:p>
        </w:tc>
        <w:tc>
          <w:tcPr>
            <w:tcW w:w="4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400" w:type="dxa"/>
            <w:vAlign w:val="bottom"/>
            <w:tcBorders>
              <w:bottom w:val="single" w:sz="8" w:color="auto"/>
            </w:tcBorders>
          </w:tcPr>
          <w:p>
            <w:pPr>
              <w:spacing w:after="0"/>
              <w:rPr>
                <w:sz w:val="5"/>
                <w:szCs w:val="5"/>
                <w:color w:val="auto"/>
              </w:rPr>
            </w:pPr>
          </w:p>
        </w:tc>
      </w:tr>
      <w:tr>
        <w:trPr>
          <w:trHeight w:val="383"/>
        </w:trPr>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0" w:type="dxa"/>
            <w:vAlign w:val="bottom"/>
          </w:tcPr>
          <w:p>
            <w:pPr>
              <w:jc w:val="right"/>
              <w:ind w:right="5515"/>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800" w:type="dxa"/>
            <w:vAlign w:val="bottom"/>
            <w:gridSpan w:val="2"/>
          </w:tcPr>
          <w:p>
            <w:pPr>
              <w:ind w:left="1880"/>
              <w:spacing w:after="0"/>
              <w:rPr>
                <w:sz w:val="20"/>
                <w:szCs w:val="20"/>
                <w:color w:val="auto"/>
              </w:rPr>
            </w:pPr>
            <w:r>
              <w:rPr>
                <w:rFonts w:ascii="Arial" w:cs="Arial" w:eastAsia="Arial" w:hAnsi="Arial"/>
                <w:sz w:val="14"/>
                <w:szCs w:val="14"/>
                <w:color w:val="auto"/>
              </w:rPr>
              <w:t>March 31,</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w w:val="97"/>
              </w:rPr>
              <w:t>December 31,</w:t>
            </w:r>
          </w:p>
        </w:tc>
      </w:tr>
      <w:tr>
        <w:trPr>
          <w:trHeight w:val="159"/>
        </w:trPr>
        <w:tc>
          <w:tcPr>
            <w:tcW w:w="74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960" w:type="dxa"/>
            <w:vAlign w:val="bottom"/>
          </w:tcPr>
          <w:p>
            <w:pPr>
              <w:spacing w:after="0"/>
              <w:rPr>
                <w:sz w:val="13"/>
                <w:szCs w:val="13"/>
                <w:color w:val="auto"/>
              </w:rPr>
            </w:pPr>
          </w:p>
        </w:tc>
        <w:tc>
          <w:tcPr>
            <w:tcW w:w="840" w:type="dxa"/>
            <w:vAlign w:val="bottom"/>
          </w:tcPr>
          <w:p>
            <w:pPr>
              <w:jc w:val="right"/>
              <w:ind w:right="433"/>
              <w:spacing w:after="0" w:line="159" w:lineRule="exact"/>
              <w:rPr>
                <w:sz w:val="20"/>
                <w:szCs w:val="20"/>
                <w:color w:val="auto"/>
              </w:rPr>
            </w:pPr>
            <w:r>
              <w:rPr>
                <w:rFonts w:ascii="Arial" w:cs="Arial" w:eastAsia="Arial" w:hAnsi="Arial"/>
                <w:sz w:val="14"/>
                <w:szCs w:val="14"/>
                <w:color w:val="auto"/>
                <w:w w:val="96"/>
              </w:rPr>
              <w:t>2014</w:t>
            </w:r>
          </w:p>
        </w:tc>
        <w:tc>
          <w:tcPr>
            <w:tcW w:w="48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1960" w:type="dxa"/>
            <w:vAlign w:val="bottom"/>
            <w:shd w:val="clear" w:color="auto" w:fill="E5E5E5"/>
          </w:tcPr>
          <w:p>
            <w:pPr>
              <w:ind w:left="18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1,125</w:t>
            </w:r>
          </w:p>
        </w:tc>
        <w:tc>
          <w:tcPr>
            <w:tcW w:w="48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967</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4,826</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4,911</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843</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903</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804</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615</w:t>
            </w: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7,598</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7,396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5,048</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4,983</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898</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884</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$1,748 and $1,599</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7,727</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7,650</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14,887</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14,882</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$4,152 and $4,003</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14,688</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14,857</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19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1,093</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1,087</w:t>
            </w:r>
          </w:p>
        </w:tc>
      </w:tr>
      <w:tr>
        <w:trPr>
          <w:trHeight w:val="217"/>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96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83"/>
              </w:rPr>
              <w:t>51,939</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51,739</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960" w:type="dxa"/>
            <w:vAlign w:val="bottom"/>
            <w:shd w:val="clear" w:color="auto" w:fill="E5E5E5"/>
          </w:tcPr>
          <w:p>
            <w:pPr>
              <w:ind w:left="18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1,421</w:t>
            </w:r>
          </w:p>
        </w:tc>
        <w:tc>
          <w:tcPr>
            <w:tcW w:w="48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1,583</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1,256</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1,239</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 obligations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654</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689</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846</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1,269</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1,465</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Note payable to Comcast</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938</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799</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19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905</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906</w:t>
            </w: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7,132</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7,495</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10,255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10,259</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1,055</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1,015</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3,362</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3,412</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317</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Member’s Capital</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29,542</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29,056</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29,529</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29,040</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289</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287</w:t>
            </w:r>
          </w:p>
        </w:tc>
      </w:tr>
      <w:tr>
        <w:trPr>
          <w:trHeight w:val="210"/>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19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w w:val="83"/>
              </w:rPr>
              <w:t>29,818</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29,327</w:t>
            </w:r>
          </w:p>
        </w:tc>
      </w:tr>
      <w:tr>
        <w:trPr>
          <w:trHeight w:val="217"/>
        </w:trPr>
        <w:tc>
          <w:tcPr>
            <w:tcW w:w="2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96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83"/>
              </w:rPr>
              <w:t>51,939</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51,739</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gridSpan w:val="3"/>
          </w:tcPr>
          <w:p>
            <w:pPr>
              <w:jc w:val="right"/>
              <w:ind w:right="253"/>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2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575"/>
              <w:spacing w:after="0" w:line="142" w:lineRule="exact"/>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2"/>
                <w:szCs w:val="12"/>
                <w:color w:val="auto"/>
              </w:rPr>
            </w:pPr>
          </w:p>
        </w:tc>
        <w:tc>
          <w:tcPr>
            <w:tcW w:w="540" w:type="dxa"/>
            <w:vAlign w:val="bottom"/>
          </w:tcPr>
          <w:p>
            <w:pPr>
              <w:jc w:val="right"/>
              <w:ind w:right="153"/>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color w:val="auto"/>
                <w:w w:val="93"/>
              </w:rPr>
              <w:t>6,876</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93"/>
              </w:rPr>
              <w:t>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w w:val="93"/>
              </w:rPr>
              <w:t>3,742</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40" w:type="dxa"/>
            <w:vAlign w:val="bottom"/>
          </w:tcPr>
          <w:p>
            <w:pPr>
              <w:spacing w:after="0"/>
              <w:rPr>
                <w:sz w:val="18"/>
                <w:szCs w:val="18"/>
                <w:color w:val="auto"/>
              </w:rPr>
            </w:pPr>
          </w:p>
        </w:tc>
        <w:tc>
          <w:tcPr>
            <w:tcW w:w="960" w:type="dxa"/>
            <w:vAlign w:val="bottom"/>
          </w:tcPr>
          <w:p>
            <w:pPr>
              <w:jc w:val="right"/>
              <w:ind w:right="435"/>
              <w:spacing w:after="0"/>
              <w:rPr>
                <w:sz w:val="20"/>
                <w:szCs w:val="20"/>
                <w:color w:val="auto"/>
              </w:rPr>
            </w:pPr>
            <w:r>
              <w:rPr>
                <w:rFonts w:ascii="Arial" w:cs="Arial" w:eastAsia="Arial" w:hAnsi="Arial"/>
                <w:sz w:val="18"/>
                <w:szCs w:val="18"/>
                <w:color w:val="auto"/>
                <w:w w:val="93"/>
              </w:rPr>
              <w:t>1,274</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960" w:type="dxa"/>
            <w:vAlign w:val="bottom"/>
          </w:tcPr>
          <w:p>
            <w:pPr>
              <w:jc w:val="right"/>
              <w:ind w:right="435"/>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93"/>
              </w:rPr>
              <w:t>5,930</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4,731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960" w:type="dxa"/>
            <w:vAlign w:val="bottom"/>
          </w:tcPr>
          <w:p>
            <w:pPr>
              <w:jc w:val="right"/>
              <w:ind w:right="43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18</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8"/>
                <w:szCs w:val="18"/>
                <w:color w:val="auto"/>
              </w:rPr>
            </w:pPr>
          </w:p>
        </w:tc>
        <w:tc>
          <w:tcPr>
            <w:tcW w:w="960" w:type="dxa"/>
            <w:vAlign w:val="bottom"/>
          </w:tcPr>
          <w:p>
            <w:pPr>
              <w:jc w:val="right"/>
              <w:ind w:right="435"/>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960" w:type="dxa"/>
            <w:vAlign w:val="bottom"/>
          </w:tcPr>
          <w:p>
            <w:pPr>
              <w:jc w:val="right"/>
              <w:ind w:right="435"/>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rPr>
              <w:t>682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355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356"/>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color w:val="auto"/>
                <w:w w:val="83"/>
              </w:rPr>
              <w:t>2014</w:t>
            </w: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888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741</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w:t>
            </w: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888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744</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7"/>
        </w:trPr>
        <w:tc>
          <w:tcPr>
            <w:tcW w:w="8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685</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333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gridSpan w:val="2"/>
          </w:tcPr>
          <w:p>
            <w:pPr>
              <w:jc w:val="right"/>
              <w:ind w:right="273"/>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5"/>
              <w:spacing w:after="0" w:line="142" w:lineRule="exact"/>
              <w:rPr>
                <w:sz w:val="20"/>
                <w:szCs w:val="20"/>
                <w:color w:val="auto"/>
              </w:rPr>
            </w:pPr>
            <w:r>
              <w:rPr>
                <w:rFonts w:ascii="Arial" w:cs="Arial" w:eastAsia="Arial" w:hAnsi="Arial"/>
                <w:sz w:val="14"/>
                <w:szCs w:val="14"/>
                <w:color w:val="auto"/>
                <w:w w:val="89"/>
              </w:rPr>
              <w:t>2014</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455"/>
              <w:spacing w:after="0"/>
              <w:rPr>
                <w:sz w:val="20"/>
                <w:szCs w:val="20"/>
                <w:color w:val="auto"/>
              </w:rPr>
            </w:pPr>
            <w:r>
              <w:rPr>
                <w:rFonts w:ascii="Arial" w:cs="Arial" w:eastAsia="Arial" w:hAnsi="Arial"/>
                <w:sz w:val="18"/>
                <w:szCs w:val="18"/>
                <w:b w:val="1"/>
                <w:bCs w:val="1"/>
                <w:color w:val="auto"/>
              </w:rPr>
              <w:t>756</w:t>
            </w: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$ 1,105</w:t>
            </w:r>
          </w:p>
        </w:tc>
        <w:tc>
          <w:tcPr>
            <w:tcW w:w="0" w:type="dxa"/>
            <w:vAlign w:val="bottom"/>
          </w:tcPr>
          <w:p>
            <w:pPr>
              <w:spacing w:after="0"/>
              <w:rPr>
                <w:sz w:val="1"/>
                <w:szCs w:val="1"/>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(291)</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540" w:type="dxa"/>
            <w:vAlign w:val="bottom"/>
          </w:tcPr>
          <w:p>
            <w:pPr>
              <w:spacing w:after="0"/>
              <w:rPr>
                <w:sz w:val="18"/>
                <w:szCs w:val="18"/>
                <w:color w:val="auto"/>
              </w:rPr>
            </w:pPr>
          </w:p>
        </w:tc>
        <w:tc>
          <w:tcPr>
            <w:tcW w:w="980" w:type="dxa"/>
            <w:vAlign w:val="bottom"/>
          </w:tcPr>
          <w:p>
            <w:pPr>
              <w:jc w:val="right"/>
              <w:ind w:right="395"/>
              <w:spacing w:after="0"/>
              <w:rPr>
                <w:sz w:val="20"/>
                <w:szCs w:val="20"/>
                <w:color w:val="auto"/>
              </w:rPr>
            </w:pPr>
            <w:r>
              <w:rPr>
                <w:rFonts w:ascii="Arial" w:cs="Arial" w:eastAsia="Arial" w:hAnsi="Arial"/>
                <w:sz w:val="18"/>
                <w:szCs w:val="18"/>
                <w:color w:val="auto"/>
              </w:rPr>
              <w:t>(32)</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of real estate properties</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Note receivable from Comcast</w:t>
            </w:r>
          </w:p>
        </w:tc>
        <w:tc>
          <w:tcPr>
            <w:tcW w:w="540" w:type="dxa"/>
            <w:vAlign w:val="bottom"/>
          </w:tcPr>
          <w:p>
            <w:pPr>
              <w:spacing w:after="0"/>
              <w:rPr>
                <w:sz w:val="18"/>
                <w:szCs w:val="18"/>
                <w:color w:val="auto"/>
              </w:rPr>
            </w:pP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Purchases of investments</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(7)</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(153)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b w:val="1"/>
                <w:bCs w:val="1"/>
                <w:color w:val="auto"/>
              </w:rPr>
              <w:t>(483)</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(2,046)</w:t>
            </w:r>
          </w:p>
        </w:tc>
        <w:tc>
          <w:tcPr>
            <w:tcW w:w="0" w:type="dxa"/>
            <w:vAlign w:val="bottom"/>
          </w:tcPr>
          <w:p>
            <w:pPr>
              <w:spacing w:after="0"/>
              <w:rPr>
                <w:sz w:val="1"/>
                <w:szCs w:val="1"/>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(repayments of) borrowings from Comcast, net</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139</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540" w:type="dxa"/>
            <w:vAlign w:val="bottom"/>
          </w:tcPr>
          <w:p>
            <w:pPr>
              <w:spacing w:after="0"/>
              <w:rPr>
                <w:sz w:val="18"/>
                <w:szCs w:val="18"/>
                <w:color w:val="auto"/>
              </w:rPr>
            </w:pPr>
          </w:p>
        </w:tc>
        <w:tc>
          <w:tcPr>
            <w:tcW w:w="980" w:type="dxa"/>
            <w:vAlign w:val="bottom"/>
          </w:tcPr>
          <w:p>
            <w:pPr>
              <w:jc w:val="right"/>
              <w:ind w:right="395"/>
              <w:spacing w:after="0"/>
              <w:rPr>
                <w:sz w:val="20"/>
                <w:szCs w:val="20"/>
                <w:color w:val="auto"/>
              </w:rPr>
            </w:pPr>
            <w:r>
              <w:rPr>
                <w:rFonts w:ascii="Arial" w:cs="Arial" w:eastAsia="Arial" w:hAnsi="Arial"/>
                <w:sz w:val="18"/>
                <w:szCs w:val="18"/>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Redemption Transaction distribution</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540" w:type="dxa"/>
            <w:vAlign w:val="bottom"/>
          </w:tcPr>
          <w:p>
            <w:pPr>
              <w:spacing w:after="0"/>
              <w:rPr>
                <w:sz w:val="18"/>
                <w:szCs w:val="18"/>
                <w:color w:val="auto"/>
              </w:rPr>
            </w:pPr>
          </w:p>
        </w:tc>
        <w:tc>
          <w:tcPr>
            <w:tcW w:w="980" w:type="dxa"/>
            <w:vAlign w:val="bottom"/>
          </w:tcPr>
          <w:p>
            <w:pPr>
              <w:jc w:val="right"/>
              <w:ind w:right="395"/>
              <w:spacing w:after="0"/>
              <w:rPr>
                <w:sz w:val="20"/>
                <w:szCs w:val="20"/>
                <w:color w:val="auto"/>
              </w:rPr>
            </w:pPr>
            <w:r>
              <w:rPr>
                <w:rFonts w:ascii="Arial" w:cs="Arial" w:eastAsia="Arial" w:hAnsi="Arial"/>
                <w:sz w:val="18"/>
                <w:szCs w:val="18"/>
                <w:color w:val="auto"/>
              </w:rPr>
              <w:t>(54)</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Distributions to member</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(195)</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Settlement of Station Venture liability</w:t>
            </w:r>
          </w:p>
        </w:tc>
        <w:tc>
          <w:tcPr>
            <w:tcW w:w="540" w:type="dxa"/>
            <w:vAlign w:val="bottom"/>
          </w:tcPr>
          <w:p>
            <w:pPr>
              <w:spacing w:after="0"/>
              <w:rPr>
                <w:sz w:val="18"/>
                <w:szCs w:val="18"/>
                <w:color w:val="auto"/>
              </w:rPr>
            </w:pP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b w:val="1"/>
                <w:bCs w:val="1"/>
                <w:color w:val="auto"/>
              </w:rPr>
              <w:t>(115)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(3,977)</w:t>
            </w:r>
          </w:p>
        </w:tc>
        <w:tc>
          <w:tcPr>
            <w:tcW w:w="0" w:type="dxa"/>
            <w:vAlign w:val="bottom"/>
          </w:tcPr>
          <w:p>
            <w:pPr>
              <w:spacing w:after="0"/>
              <w:rPr>
                <w:sz w:val="1"/>
                <w:szCs w:val="1"/>
                <w:color w:val="auto"/>
              </w:rPr>
            </w:pPr>
          </w:p>
        </w:tc>
      </w:tr>
      <w:tr>
        <w:trPr>
          <w:trHeight w:val="210"/>
        </w:trPr>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158</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967</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17"/>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455"/>
              <w:spacing w:after="0"/>
              <w:rPr>
                <w:sz w:val="20"/>
                <w:szCs w:val="20"/>
                <w:color w:val="auto"/>
              </w:rPr>
            </w:pPr>
            <w:r>
              <w:rPr>
                <w:rFonts w:ascii="Arial" w:cs="Arial" w:eastAsia="Arial" w:hAnsi="Arial"/>
                <w:sz w:val="18"/>
                <w:szCs w:val="18"/>
                <w:b w:val="1"/>
                <w:bCs w:val="1"/>
                <w:color w:val="auto"/>
                <w:w w:val="93"/>
              </w:rPr>
              <w:t>1,125</w:t>
            </w: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$ 1,003</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Changes in Equity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4580" w:type="dxa"/>
            <w:vAlign w:val="bottom"/>
          </w:tcPr>
          <w:p>
            <w:pPr>
              <w:spacing w:after="0"/>
              <w:rPr>
                <w:sz w:val="12"/>
                <w:szCs w:val="12"/>
                <w:color w:val="auto"/>
              </w:rPr>
            </w:pPr>
          </w:p>
        </w:tc>
        <w:tc>
          <w:tcPr>
            <w:tcW w:w="1740" w:type="dxa"/>
            <w:vAlign w:val="bottom"/>
            <w:tcBorders>
              <w:right w:val="single" w:sz="8" w:color="auto"/>
            </w:tcBorders>
            <w:gridSpan w:val="2"/>
          </w:tcPr>
          <w:p>
            <w:pPr>
              <w:jc w:val="right"/>
              <w:ind w:right="654"/>
              <w:spacing w:after="0" w:line="149" w:lineRule="exact"/>
              <w:rPr>
                <w:sz w:val="20"/>
                <w:szCs w:val="20"/>
                <w:color w:val="auto"/>
              </w:rPr>
            </w:pPr>
            <w:r>
              <w:rPr>
                <w:rFonts w:ascii="Arial" w:cs="Arial" w:eastAsia="Arial" w:hAnsi="Arial"/>
                <w:sz w:val="14"/>
                <w:szCs w:val="14"/>
                <w:color w:val="auto"/>
              </w:rPr>
              <w:t>Redeemable</w:t>
            </w: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center"/>
              <w:ind w:right="395"/>
              <w:spacing w:after="0" w:line="149" w:lineRule="exact"/>
              <w:rPr>
                <w:sz w:val="20"/>
                <w:szCs w:val="20"/>
                <w:color w:val="auto"/>
              </w:rPr>
            </w:pPr>
            <w:r>
              <w:rPr>
                <w:rFonts w:ascii="Arial" w:cs="Arial" w:eastAsia="Arial" w:hAnsi="Arial"/>
                <w:sz w:val="14"/>
                <w:szCs w:val="14"/>
                <w:color w:val="auto"/>
                <w:w w:val="85"/>
              </w:rPr>
              <w:t>Other</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580" w:type="dxa"/>
            <w:vAlign w:val="bottom"/>
          </w:tcPr>
          <w:p>
            <w:pPr>
              <w:spacing w:after="0"/>
              <w:rPr>
                <w:sz w:val="12"/>
                <w:szCs w:val="12"/>
                <w:color w:val="auto"/>
              </w:rPr>
            </w:pPr>
          </w:p>
        </w:tc>
        <w:tc>
          <w:tcPr>
            <w:tcW w:w="174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Noncontrolling</w:t>
            </w:r>
          </w:p>
        </w:tc>
        <w:tc>
          <w:tcPr>
            <w:tcW w:w="1300" w:type="dxa"/>
            <w:vAlign w:val="bottom"/>
          </w:tcPr>
          <w:p>
            <w:pPr>
              <w:jc w:val="right"/>
              <w:ind w:right="215"/>
              <w:spacing w:after="0" w:line="149" w:lineRule="exact"/>
              <w:rPr>
                <w:sz w:val="20"/>
                <w:szCs w:val="20"/>
                <w:color w:val="auto"/>
              </w:rPr>
            </w:pPr>
            <w:r>
              <w:rPr>
                <w:rFonts w:ascii="Arial" w:cs="Arial" w:eastAsia="Arial" w:hAnsi="Arial"/>
                <w:sz w:val="14"/>
                <w:szCs w:val="14"/>
                <w:color w:val="auto"/>
              </w:rPr>
              <w:t>Member’s</w:t>
            </w:r>
          </w:p>
        </w:tc>
        <w:tc>
          <w:tcPr>
            <w:tcW w:w="14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Comprehensive</w:t>
            </w: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Noncontrolling</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9"/>
        </w:trPr>
        <w:tc>
          <w:tcPr>
            <w:tcW w:w="45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jc w:val="right"/>
              <w:ind w:right="754"/>
              <w:spacing w:after="0" w:line="159" w:lineRule="exact"/>
              <w:rPr>
                <w:sz w:val="20"/>
                <w:szCs w:val="20"/>
                <w:color w:val="auto"/>
              </w:rPr>
            </w:pPr>
            <w:r>
              <w:rPr>
                <w:rFonts w:ascii="Arial" w:cs="Arial" w:eastAsia="Arial" w:hAnsi="Arial"/>
                <w:sz w:val="14"/>
                <w:szCs w:val="14"/>
                <w:color w:val="auto"/>
                <w:w w:val="93"/>
              </w:rPr>
              <w:t>Interests</w:t>
            </w:r>
          </w:p>
        </w:tc>
        <w:tc>
          <w:tcPr>
            <w:tcW w:w="1300" w:type="dxa"/>
            <w:vAlign w:val="bottom"/>
            <w:tcBorders>
              <w:bottom w:val="single" w:sz="8" w:color="auto"/>
            </w:tcBorders>
          </w:tcPr>
          <w:p>
            <w:pPr>
              <w:jc w:val="right"/>
              <w:ind w:right="295"/>
              <w:spacing w:after="0" w:line="159" w:lineRule="exact"/>
              <w:rPr>
                <w:sz w:val="20"/>
                <w:szCs w:val="20"/>
                <w:color w:val="auto"/>
              </w:rPr>
            </w:pPr>
            <w:r>
              <w:rPr>
                <w:rFonts w:ascii="Arial" w:cs="Arial" w:eastAsia="Arial" w:hAnsi="Arial"/>
                <w:sz w:val="14"/>
                <w:szCs w:val="14"/>
                <w:color w:val="auto"/>
              </w:rPr>
              <w:t>Capital</w:t>
            </w:r>
          </w:p>
        </w:tc>
        <w:tc>
          <w:tcPr>
            <w:tcW w:w="14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7"/>
              </w:rPr>
              <w:t>Income (Loss)</w:t>
            </w: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4"/>
              <w:spacing w:after="0" w:line="159" w:lineRule="exact"/>
              <w:rPr>
                <w:sz w:val="20"/>
                <w:szCs w:val="20"/>
                <w:color w:val="auto"/>
              </w:rPr>
            </w:pPr>
            <w:r>
              <w:rPr>
                <w:rFonts w:ascii="Arial" w:cs="Arial" w:eastAsia="Arial" w:hAnsi="Arial"/>
                <w:sz w:val="14"/>
                <w:szCs w:val="14"/>
                <w:color w:val="auto"/>
                <w:w w:val="89"/>
              </w:rPr>
              <w:t>Interests</w:t>
            </w:r>
          </w:p>
        </w:tc>
        <w:tc>
          <w:tcPr>
            <w:tcW w:w="10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Total Equity</w:t>
            </w:r>
          </w:p>
        </w:tc>
      </w:tr>
      <w:tr>
        <w:trPr>
          <w:trHeight w:val="210"/>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2013</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131</w:t>
            </w:r>
          </w:p>
        </w:tc>
        <w:tc>
          <w:tcPr>
            <w:tcW w:w="13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$31,900</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(65)</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419</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32,254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Compensation plans</w:t>
            </w:r>
          </w:p>
        </w:tc>
        <w:tc>
          <w:tcPr>
            <w:tcW w:w="3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00" w:type="dxa"/>
            <w:vAlign w:val="bottom"/>
          </w:tcPr>
          <w:p>
            <w:pPr>
              <w:jc w:val="right"/>
              <w:ind w:right="215"/>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16"/>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Redemption Transaction distribution</w:t>
            </w:r>
          </w:p>
        </w:tc>
        <w:tc>
          <w:tcPr>
            <w:tcW w:w="38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0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(3,200)</w:t>
            </w: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(3,200)</w:t>
            </w:r>
          </w:p>
        </w:tc>
      </w:tr>
      <w:tr>
        <w:trPr>
          <w:trHeight w:val="208"/>
        </w:trPr>
        <w:tc>
          <w:tcPr>
            <w:tcW w:w="4580" w:type="dxa"/>
            <w:vAlign w:val="bottom"/>
          </w:tcPr>
          <w:p>
            <w:pPr>
              <w:spacing w:after="0"/>
              <w:rPr>
                <w:sz w:val="20"/>
                <w:szCs w:val="20"/>
                <w:color w:val="auto"/>
              </w:rPr>
            </w:pPr>
            <w:r>
              <w:rPr>
                <w:rFonts w:ascii="Arial" w:cs="Arial" w:eastAsia="Arial" w:hAnsi="Arial"/>
                <w:sz w:val="18"/>
                <w:szCs w:val="18"/>
                <w:color w:val="auto"/>
                <w:w w:val="95"/>
              </w:rPr>
              <w:t>Contributions from (distributions to) noncontrolling interests,</w:t>
            </w:r>
          </w:p>
        </w:tc>
        <w:tc>
          <w:tcPr>
            <w:tcW w:w="3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4580" w:type="dxa"/>
            <w:vAlign w:val="bottom"/>
          </w:tcPr>
          <w:p>
            <w:pPr>
              <w:ind w:left="220"/>
              <w:spacing w:after="0"/>
              <w:rPr>
                <w:sz w:val="20"/>
                <w:szCs w:val="20"/>
                <w:color w:val="auto"/>
              </w:rPr>
            </w:pPr>
            <w:r>
              <w:rPr>
                <w:rFonts w:ascii="Arial" w:cs="Arial" w:eastAsia="Arial" w:hAnsi="Arial"/>
                <w:sz w:val="18"/>
                <w:szCs w:val="18"/>
                <w:color w:val="auto"/>
              </w:rPr>
              <w:t>net</w:t>
            </w:r>
          </w:p>
        </w:tc>
        <w:tc>
          <w:tcPr>
            <w:tcW w:w="380" w:type="dxa"/>
            <w:vAlign w:val="bottom"/>
          </w:tcPr>
          <w:p>
            <w:pPr>
              <w:spacing w:after="0"/>
              <w:rPr>
                <w:sz w:val="19"/>
                <w:szCs w:val="19"/>
                <w:color w:val="auto"/>
              </w:rPr>
            </w:pPr>
          </w:p>
        </w:tc>
        <w:tc>
          <w:tcPr>
            <w:tcW w:w="136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(9)</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8"/>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0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(172)</w:t>
            </w: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2</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55"/>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E5E5E5"/>
          </w:tcPr>
          <w:p>
            <w:pPr>
              <w:spacing w:after="0"/>
              <w:rPr>
                <w:sz w:val="18"/>
                <w:szCs w:val="18"/>
                <w:color w:val="auto"/>
              </w:rPr>
            </w:pPr>
          </w:p>
        </w:tc>
        <w:tc>
          <w:tcPr>
            <w:tcW w:w="136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355</w:t>
            </w:r>
          </w:p>
        </w:tc>
        <w:tc>
          <w:tcPr>
            <w:tcW w:w="4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405</w:t>
            </w:r>
          </w:p>
        </w:tc>
      </w:tr>
      <w:tr>
        <w:trPr>
          <w:trHeight w:val="21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2013</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128</w:t>
            </w: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$28,890</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(87)</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432</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29,235</w:t>
            </w:r>
          </w:p>
        </w:tc>
      </w:tr>
      <w:tr>
        <w:trPr>
          <w:trHeight w:val="216"/>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2014</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231</w:t>
            </w:r>
          </w:p>
        </w:tc>
        <w:tc>
          <w:tcPr>
            <w:tcW w:w="13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$29,056</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(16)</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287</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29,327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Dividends declared</w:t>
            </w:r>
          </w:p>
        </w:tc>
        <w:tc>
          <w:tcPr>
            <w:tcW w:w="3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(195)</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Issuance of subsidiary shares to noncontrolling interests</w:t>
            </w:r>
          </w:p>
        </w:tc>
        <w:tc>
          <w:tcPr>
            <w:tcW w:w="38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82</w:t>
            </w:r>
          </w:p>
        </w:tc>
        <w:tc>
          <w:tcPr>
            <w:tcW w:w="13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08"/>
        </w:trPr>
        <w:tc>
          <w:tcPr>
            <w:tcW w:w="4580" w:type="dxa"/>
            <w:vAlign w:val="bottom"/>
          </w:tcPr>
          <w:p>
            <w:pPr>
              <w:spacing w:after="0"/>
              <w:rPr>
                <w:sz w:val="20"/>
                <w:szCs w:val="20"/>
                <w:color w:val="auto"/>
              </w:rPr>
            </w:pPr>
            <w:r>
              <w:rPr>
                <w:rFonts w:ascii="Arial" w:cs="Arial" w:eastAsia="Arial" w:hAnsi="Arial"/>
                <w:sz w:val="18"/>
                <w:szCs w:val="18"/>
                <w:color w:val="auto"/>
                <w:w w:val="95"/>
              </w:rPr>
              <w:t>Contributions from (distributions to) noncontrolling interests,</w:t>
            </w:r>
          </w:p>
        </w:tc>
        <w:tc>
          <w:tcPr>
            <w:tcW w:w="3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4580" w:type="dxa"/>
            <w:vAlign w:val="bottom"/>
          </w:tcPr>
          <w:p>
            <w:pPr>
              <w:ind w:left="220"/>
              <w:spacing w:after="0"/>
              <w:rPr>
                <w:sz w:val="20"/>
                <w:szCs w:val="20"/>
                <w:color w:val="auto"/>
              </w:rPr>
            </w:pPr>
            <w:r>
              <w:rPr>
                <w:rFonts w:ascii="Arial" w:cs="Arial" w:eastAsia="Arial" w:hAnsi="Arial"/>
                <w:sz w:val="18"/>
                <w:szCs w:val="18"/>
                <w:color w:val="auto"/>
              </w:rPr>
              <w:t>net</w:t>
            </w:r>
          </w:p>
        </w:tc>
        <w:tc>
          <w:tcPr>
            <w:tcW w:w="380" w:type="dxa"/>
            <w:vAlign w:val="bottom"/>
          </w:tcPr>
          <w:p>
            <w:pPr>
              <w:spacing w:after="0"/>
              <w:rPr>
                <w:sz w:val="19"/>
                <w:szCs w:val="19"/>
                <w:color w:val="auto"/>
              </w:rPr>
            </w:pPr>
          </w:p>
        </w:tc>
        <w:tc>
          <w:tcPr>
            <w:tcW w:w="136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(10)</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8"/>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0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w:t>
            </w: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E5E5E5"/>
          </w:tcPr>
          <w:p>
            <w:pPr>
              <w:spacing w:after="0"/>
              <w:rPr>
                <w:sz w:val="18"/>
                <w:szCs w:val="18"/>
                <w:color w:val="auto"/>
              </w:rPr>
            </w:pPr>
          </w:p>
        </w:tc>
        <w:tc>
          <w:tcPr>
            <w:tcW w:w="136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14</w:t>
            </w:r>
          </w:p>
        </w:tc>
        <w:tc>
          <w:tcPr>
            <w:tcW w:w="130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682</w:t>
            </w:r>
          </w:p>
        </w:tc>
        <w:tc>
          <w:tcPr>
            <w:tcW w:w="4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45</w:t>
            </w:r>
          </w:p>
        </w:tc>
        <w:tc>
          <w:tcPr>
            <w:tcW w:w="3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727</w:t>
            </w:r>
          </w:p>
        </w:tc>
      </w:tr>
      <w:tr>
        <w:trPr>
          <w:trHeight w:val="21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2014</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317</w:t>
            </w: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$29,542</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(13)</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289</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29,818</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year-end condensed consolidated balance sheet was derived from audited financial statements but does not include all disclosures required by generally accepted accounting principles in the United States of America (“GAAP”). For a more complete discussion of our accounting policies and certain other information, refer to our consolidated financial statements included in our 2013 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Related Party Transactions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the ordinary course of our business, we enter into transactions with Comcast Corporation (“Comcast”).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 revenue from Comcast primarily from the distribution of our cable network programming and, to a lesser extent, the sale of advertising and our owned programming, and we incur expenses primarily related to various support services provided by Comcast to us.</w:t>
      </w:r>
    </w:p>
    <w:p>
      <w:pPr>
        <w:spacing w:after="0" w:line="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2013, as part of the Comcast cash management process, we and Comcast entered into a revolving credit agreement under which we can borrow up to $3 billion from Comcast and Comcast can borrow up to $3 billion from us. Amounts owed by us to Comcast under the revolving credit agreement, including accrued interest, are presented under the caption “note payable to Comcast” in our condensed consolidated balance sheet. The revolving credit agreements bear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As of March 31, 2014, the borrowing margin for London Interbank Offered Rate based borrowings was 1.00%.</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Comcast is the counterparty to one of our contractual obligations. As of March 31, 2014, the carrying value of the liability associated with this contractual obligation was $383 million.</w:t>
      </w:r>
    </w:p>
    <w:p>
      <w:pPr>
        <w:spacing w:after="0" w:line="37"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The following tables present transactions with Comcast and its consolidated subsidiaries that are included in our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880" w:type="dxa"/>
            <w:vAlign w:val="bottom"/>
            <w:gridSpan w:val="2"/>
          </w:tcPr>
          <w:p>
            <w:pPr>
              <w:ind w:left="3920"/>
              <w:spacing w:after="0"/>
              <w:rPr>
                <w:sz w:val="20"/>
                <w:szCs w:val="20"/>
                <w:color w:val="auto"/>
              </w:rPr>
            </w:pPr>
            <w:r>
              <w:rPr>
                <w:rFonts w:ascii="Arial" w:cs="Arial" w:eastAsia="Arial" w:hAnsi="Arial"/>
                <w:sz w:val="14"/>
                <w:szCs w:val="14"/>
                <w:color w:val="auto"/>
              </w:rPr>
              <w:t>March 31,</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w w:val="90"/>
              </w:rPr>
              <w:t>December 31,</w:t>
            </w:r>
          </w:p>
        </w:tc>
      </w:tr>
      <w:tr>
        <w:trPr>
          <w:trHeight w:val="159"/>
        </w:trPr>
        <w:tc>
          <w:tcPr>
            <w:tcW w:w="53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0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6"/>
              <w:spacing w:after="0" w:line="159" w:lineRule="exact"/>
              <w:rPr>
                <w:sz w:val="20"/>
                <w:szCs w:val="20"/>
                <w:color w:val="auto"/>
              </w:rPr>
            </w:pPr>
            <w:r>
              <w:rPr>
                <w:rFonts w:ascii="Arial" w:cs="Arial" w:eastAsia="Arial" w:hAnsi="Arial"/>
                <w:sz w:val="14"/>
                <w:szCs w:val="14"/>
                <w:color w:val="auto"/>
                <w:w w:val="89"/>
              </w:rPr>
              <w:t>2014</w:t>
            </w: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6"/>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5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40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4040" w:type="dxa"/>
            <w:vAlign w:val="bottom"/>
          </w:tcPr>
          <w:p>
            <w:pPr>
              <w:ind w:left="39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234</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1"/>
              </w:rPr>
              <w:t>Accounts payable and accrued expenses related to trade creditors</w:t>
            </w:r>
          </w:p>
        </w:tc>
        <w:tc>
          <w:tcPr>
            <w:tcW w:w="4040" w:type="dxa"/>
            <w:vAlign w:val="bottom"/>
            <w:shd w:val="clear" w:color="auto" w:fill="E5E5E5"/>
          </w:tcPr>
          <w:p>
            <w:pPr>
              <w:ind w:left="39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43</w:t>
            </w:r>
          </w:p>
        </w:tc>
        <w:tc>
          <w:tcPr>
            <w:tcW w:w="5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4040" w:type="dxa"/>
            <w:vAlign w:val="bottom"/>
          </w:tcPr>
          <w:p>
            <w:pPr>
              <w:ind w:left="39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9</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payable to Comcast</w:t>
            </w:r>
          </w:p>
        </w:tc>
        <w:tc>
          <w:tcPr>
            <w:tcW w:w="4040" w:type="dxa"/>
            <w:vAlign w:val="bottom"/>
            <w:shd w:val="clear" w:color="auto" w:fill="E5E5E5"/>
          </w:tcPr>
          <w:p>
            <w:pPr>
              <w:ind w:left="39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938</w:t>
            </w:r>
          </w:p>
        </w:tc>
        <w:tc>
          <w:tcPr>
            <w:tcW w:w="5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799</w:t>
            </w: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noncurrent liabilities</w:t>
            </w:r>
          </w:p>
        </w:tc>
        <w:tc>
          <w:tcPr>
            <w:tcW w:w="404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383</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356"/>
        </w:trPr>
        <w:tc>
          <w:tcPr>
            <w:tcW w:w="5320" w:type="dxa"/>
            <w:vAlign w:val="bottom"/>
          </w:tcPr>
          <w:p>
            <w:pPr>
              <w:spacing w:after="0"/>
              <w:rPr>
                <w:sz w:val="24"/>
                <w:szCs w:val="24"/>
                <w:color w:val="auto"/>
              </w:rPr>
            </w:pPr>
          </w:p>
        </w:tc>
        <w:tc>
          <w:tcPr>
            <w:tcW w:w="4040" w:type="dxa"/>
            <w:vAlign w:val="bottom"/>
          </w:tcPr>
          <w:p>
            <w:pPr>
              <w:ind w:left="300"/>
              <w:spacing w:after="0"/>
              <w:rPr>
                <w:sz w:val="20"/>
                <w:szCs w:val="20"/>
                <w:color w:val="auto"/>
              </w:rPr>
            </w:pPr>
            <w:r>
              <w:rPr>
                <w:rFonts w:ascii="Arial" w:cs="Arial" w:eastAsia="Arial" w:hAnsi="Arial"/>
                <w:sz w:val="18"/>
                <w:szCs w:val="18"/>
                <w:color w:val="auto"/>
              </w:rPr>
              <w:t>45</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357"/>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7"/>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color w:val="auto"/>
                <w:w w:val="83"/>
              </w:rPr>
              <w:t>2014</w:t>
            </w: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210"/>
        </w:trPr>
        <w:tc>
          <w:tcPr>
            <w:tcW w:w="8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Revenue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8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income (expense)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to the transactions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Inc. at an initial annual rate of 8.25% on the $9.4 billion aggregate liquidation preference of preferred units. These distributions are presented under the caption “distributions to member” in our condensed consolidated statement of cash flows.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4000" w:type="dxa"/>
            <w:vAlign w:val="bottom"/>
            <w:gridSpan w:val="2"/>
          </w:tcPr>
          <w:p>
            <w:pPr>
              <w:ind w:left="3100"/>
              <w:spacing w:after="0"/>
              <w:rPr>
                <w:sz w:val="20"/>
                <w:szCs w:val="20"/>
                <w:color w:val="auto"/>
              </w:rPr>
            </w:pPr>
            <w:r>
              <w:rPr>
                <w:rFonts w:ascii="Arial" w:cs="Arial" w:eastAsia="Arial" w:hAnsi="Arial"/>
                <w:sz w:val="14"/>
                <w:szCs w:val="14"/>
                <w:color w:val="auto"/>
              </w:rPr>
              <w:t>March 31,</w:t>
            </w:r>
          </w:p>
        </w:tc>
        <w:tc>
          <w:tcPr>
            <w:tcW w:w="1180" w:type="dxa"/>
            <w:vAlign w:val="bottom"/>
            <w:gridSpan w:val="2"/>
          </w:tcPr>
          <w:p>
            <w:pPr>
              <w:ind w:left="360"/>
              <w:spacing w:after="0"/>
              <w:rPr>
                <w:sz w:val="20"/>
                <w:szCs w:val="20"/>
                <w:color w:val="auto"/>
              </w:rPr>
            </w:pPr>
            <w:r>
              <w:rPr>
                <w:rFonts w:ascii="Arial" w:cs="Arial" w:eastAsia="Arial" w:hAnsi="Arial"/>
                <w:sz w:val="14"/>
                <w:szCs w:val="14"/>
                <w:color w:val="auto"/>
                <w:w w:val="90"/>
              </w:rPr>
              <w:t>December 31,</w:t>
            </w:r>
          </w:p>
        </w:tc>
      </w:tr>
      <w:tr>
        <w:trPr>
          <w:trHeight w:val="159"/>
        </w:trPr>
        <w:tc>
          <w:tcPr>
            <w:tcW w:w="62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line="159" w:lineRule="exact"/>
              <w:rPr>
                <w:sz w:val="20"/>
                <w:szCs w:val="20"/>
                <w:color w:val="auto"/>
              </w:rPr>
            </w:pPr>
            <w:r>
              <w:rPr>
                <w:rFonts w:ascii="Arial" w:cs="Arial" w:eastAsia="Arial" w:hAnsi="Arial"/>
                <w:sz w:val="14"/>
                <w:szCs w:val="14"/>
                <w:color w:val="auto"/>
                <w:w w:val="89"/>
              </w:rPr>
              <w:t>2014</w:t>
            </w:r>
          </w:p>
        </w:tc>
        <w:tc>
          <w:tcPr>
            <w:tcW w:w="5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4"/>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6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200" w:type="dxa"/>
            <w:vAlign w:val="bottom"/>
          </w:tcPr>
          <w:p>
            <w:pPr>
              <w:ind w:left="30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254"/>
              <w:spacing w:after="0"/>
              <w:rPr>
                <w:sz w:val="20"/>
                <w:szCs w:val="20"/>
                <w:color w:val="auto"/>
              </w:rPr>
            </w:pPr>
            <w:r>
              <w:rPr>
                <w:rFonts w:ascii="Arial" w:cs="Arial" w:eastAsia="Arial" w:hAnsi="Arial"/>
                <w:sz w:val="18"/>
                <w:szCs w:val="18"/>
                <w:color w:val="auto"/>
                <w:w w:val="97"/>
              </w:rPr>
              <w:t>1,480</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1,630</w:t>
            </w:r>
          </w:p>
        </w:tc>
      </w:tr>
      <w:tr>
        <w:trPr>
          <w:trHeight w:val="216"/>
        </w:trPr>
        <w:tc>
          <w:tcPr>
            <w:tcW w:w="6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40</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865</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r>
      <w:tr>
        <w:trPr>
          <w:trHeight w:val="210"/>
        </w:trPr>
        <w:tc>
          <w:tcPr>
            <w:tcW w:w="6240" w:type="dxa"/>
            <w:vAlign w:val="bottom"/>
            <w:shd w:val="clear" w:color="auto" w:fill="E5E5E5"/>
          </w:tcPr>
          <w:p>
            <w:pPr>
              <w:spacing w:after="0"/>
              <w:rPr>
                <w:sz w:val="18"/>
                <w:szCs w:val="18"/>
                <w:color w:val="auto"/>
              </w:rPr>
            </w:pP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2,385</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2,358</w:t>
            </w: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3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1,169</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1,155</w:t>
            </w:r>
          </w:p>
        </w:tc>
      </w:tr>
      <w:tr>
        <w:trPr>
          <w:trHeight w:val="216"/>
        </w:trPr>
        <w:tc>
          <w:tcPr>
            <w:tcW w:w="6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363</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10"/>
        </w:trPr>
        <w:tc>
          <w:tcPr>
            <w:tcW w:w="6240" w:type="dxa"/>
            <w:vAlign w:val="bottom"/>
            <w:shd w:val="clear" w:color="auto" w:fill="E5E5E5"/>
          </w:tcPr>
          <w:p>
            <w:pPr>
              <w:spacing w:after="0"/>
              <w:rPr>
                <w:sz w:val="18"/>
                <w:szCs w:val="18"/>
                <w:color w:val="auto"/>
              </w:rPr>
            </w:pP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1,532</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1,525</w:t>
            </w:r>
          </w:p>
        </w:tc>
      </w:tr>
      <w:tr>
        <w:trPr>
          <w:trHeight w:val="216"/>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97"/>
              </w:rPr>
              <w:t>1,974</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r>
      <w:tr>
        <w:trPr>
          <w:trHeight w:val="210"/>
        </w:trPr>
        <w:tc>
          <w:tcPr>
            <w:tcW w:w="6240" w:type="dxa"/>
            <w:vAlign w:val="bottom"/>
            <w:shd w:val="clear" w:color="auto" w:fill="E5E5E5"/>
          </w:tcPr>
          <w:p>
            <w:pPr>
              <w:spacing w:after="0"/>
              <w:rPr>
                <w:sz w:val="18"/>
                <w:szCs w:val="18"/>
                <w:color w:val="auto"/>
              </w:rPr>
            </w:pP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5,891</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5,886</w:t>
            </w:r>
          </w:p>
        </w:tc>
      </w:tr>
      <w:tr>
        <w:trPr>
          <w:trHeight w:val="216"/>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843</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r>
      <w:tr>
        <w:trPr>
          <w:trHeight w:val="217"/>
        </w:trPr>
        <w:tc>
          <w:tcPr>
            <w:tcW w:w="6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200" w:type="dxa"/>
            <w:vAlign w:val="bottom"/>
            <w:tcBorders>
              <w:bottom w:val="single" w:sz="8" w:color="auto"/>
            </w:tcBorders>
            <w:shd w:val="clear" w:color="auto" w:fill="E5E5E5"/>
          </w:tcPr>
          <w:p>
            <w:pPr>
              <w:ind w:left="308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b w:val="1"/>
                <w:bCs w:val="1"/>
                <w:color w:val="auto"/>
                <w:w w:val="97"/>
              </w:rPr>
              <w:t>5,048</w:t>
            </w:r>
          </w:p>
        </w:tc>
        <w:tc>
          <w:tcPr>
            <w:tcW w:w="5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4,983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6400" w:type="dxa"/>
            <w:vAlign w:val="bottom"/>
            <w:gridSpan w:val="2"/>
          </w:tcPr>
          <w:p>
            <w:pPr>
              <w:ind w:left="5440"/>
              <w:spacing w:after="0"/>
              <w:rPr>
                <w:sz w:val="20"/>
                <w:szCs w:val="20"/>
                <w:color w:val="auto"/>
              </w:rPr>
            </w:pPr>
            <w:r>
              <w:rPr>
                <w:rFonts w:ascii="Arial" w:cs="Arial" w:eastAsia="Arial" w:hAnsi="Arial"/>
                <w:sz w:val="14"/>
                <w:szCs w:val="14"/>
                <w:color w:val="auto"/>
              </w:rPr>
              <w:t>March 31,</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w w:val="90"/>
              </w:rPr>
              <w:t>December 31,</w:t>
            </w:r>
          </w:p>
        </w:tc>
      </w:tr>
      <w:tr>
        <w:trPr>
          <w:trHeight w:val="159"/>
        </w:trPr>
        <w:tc>
          <w:tcPr>
            <w:tcW w:w="38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5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5"/>
              <w:spacing w:after="0" w:line="159" w:lineRule="exact"/>
              <w:rPr>
                <w:sz w:val="20"/>
                <w:szCs w:val="20"/>
                <w:color w:val="auto"/>
              </w:rPr>
            </w:pPr>
            <w:r>
              <w:rPr>
                <w:rFonts w:ascii="Arial" w:cs="Arial" w:eastAsia="Arial" w:hAnsi="Arial"/>
                <w:sz w:val="14"/>
                <w:szCs w:val="14"/>
                <w:color w:val="auto"/>
                <w:w w:val="89"/>
              </w:rPr>
              <w:t>2014</w:t>
            </w: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5"/>
              <w:spacing w:after="0" w:line="159" w:lineRule="exact"/>
              <w:rPr>
                <w:sz w:val="20"/>
                <w:szCs w:val="20"/>
                <w:color w:val="auto"/>
              </w:rPr>
            </w:pPr>
            <w:r>
              <w:rPr>
                <w:rFonts w:ascii="Arial" w:cs="Arial" w:eastAsia="Arial" w:hAnsi="Arial"/>
                <w:sz w:val="14"/>
                <w:szCs w:val="14"/>
                <w:color w:val="auto"/>
              </w:rPr>
              <w:t>2013</w:t>
            </w:r>
          </w:p>
        </w:tc>
      </w:tr>
      <w:tr>
        <w:trPr>
          <w:trHeight w:val="210"/>
        </w:trPr>
        <w:tc>
          <w:tcPr>
            <w:tcW w:w="380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5560" w:type="dxa"/>
            <w:vAlign w:val="bottom"/>
            <w:shd w:val="clear" w:color="auto" w:fill="E5E5E5"/>
          </w:tcPr>
          <w:p>
            <w:pPr>
              <w:ind w:left="54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11</w:t>
            </w:r>
          </w:p>
        </w:tc>
        <w:tc>
          <w:tcPr>
            <w:tcW w:w="5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Equity Method:</w:t>
            </w:r>
          </w:p>
        </w:tc>
        <w:tc>
          <w:tcPr>
            <w:tcW w:w="5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5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331</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Hulu</w:t>
            </w:r>
          </w:p>
        </w:tc>
        <w:tc>
          <w:tcPr>
            <w:tcW w:w="5560" w:type="dxa"/>
            <w:vAlign w:val="bottom"/>
          </w:tcPr>
          <w:p>
            <w:pPr>
              <w:spacing w:after="0"/>
              <w:rPr>
                <w:sz w:val="18"/>
                <w:szCs w:val="18"/>
                <w:color w:val="auto"/>
              </w:rPr>
            </w:pPr>
          </w:p>
        </w:tc>
        <w:tc>
          <w:tcPr>
            <w:tcW w:w="840" w:type="dxa"/>
            <w:vAlign w:val="bottom"/>
          </w:tcPr>
          <w:p>
            <w:pPr>
              <w:jc w:val="right"/>
              <w:ind w:right="315"/>
              <w:spacing w:after="0"/>
              <w:rPr>
                <w:sz w:val="20"/>
                <w:szCs w:val="20"/>
                <w:color w:val="auto"/>
              </w:rPr>
            </w:pPr>
            <w:r>
              <w:rPr>
                <w:rFonts w:ascii="Arial" w:cs="Arial" w:eastAsia="Arial" w:hAnsi="Arial"/>
                <w:sz w:val="18"/>
                <w:szCs w:val="18"/>
                <w:color w:val="auto"/>
              </w:rPr>
              <w:t>191</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38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5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343</w:t>
            </w:r>
          </w:p>
        </w:tc>
        <w:tc>
          <w:tcPr>
            <w:tcW w:w="5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332</w:t>
            </w:r>
          </w:p>
        </w:tc>
      </w:tr>
      <w:tr>
        <w:trPr>
          <w:trHeight w:val="210"/>
        </w:trPr>
        <w:tc>
          <w:tcPr>
            <w:tcW w:w="38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840" w:type="dxa"/>
            <w:vAlign w:val="bottom"/>
          </w:tcPr>
          <w:p>
            <w:pPr>
              <w:jc w:val="right"/>
              <w:ind w:right="315"/>
              <w:spacing w:after="0"/>
              <w:rPr>
                <w:sz w:val="20"/>
                <w:szCs w:val="20"/>
                <w:color w:val="auto"/>
              </w:rPr>
            </w:pPr>
            <w:r>
              <w:rPr>
                <w:rFonts w:ascii="Arial" w:cs="Arial" w:eastAsia="Arial" w:hAnsi="Arial"/>
                <w:sz w:val="18"/>
                <w:szCs w:val="18"/>
                <w:color w:val="auto"/>
              </w:rPr>
              <w:t>865</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16"/>
        </w:trPr>
        <w:tc>
          <w:tcPr>
            <w:tcW w:w="3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w:t>
            </w:r>
          </w:p>
        </w:tc>
        <w:tc>
          <w:tcPr>
            <w:tcW w:w="55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22</w:t>
            </w:r>
          </w:p>
        </w:tc>
        <w:tc>
          <w:tcPr>
            <w:tcW w:w="5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21</w:t>
            </w:r>
          </w:p>
        </w:tc>
      </w:tr>
      <w:tr>
        <w:trPr>
          <w:trHeight w:val="217"/>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investments</w:t>
            </w:r>
          </w:p>
        </w:tc>
        <w:tc>
          <w:tcPr>
            <w:tcW w:w="556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b w:val="1"/>
                <w:bCs w:val="1"/>
                <w:color w:val="auto"/>
              </w:rPr>
              <w:t>898</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884</w:t>
            </w:r>
          </w:p>
        </w:tc>
      </w:tr>
      <w:tr>
        <w:trPr>
          <w:trHeight w:val="363"/>
        </w:trPr>
        <w:tc>
          <w:tcPr>
            <w:tcW w:w="3800" w:type="dxa"/>
            <w:vAlign w:val="bottom"/>
          </w:tcPr>
          <w:p>
            <w:pPr>
              <w:spacing w:after="0"/>
              <w:rPr>
                <w:sz w:val="24"/>
                <w:szCs w:val="24"/>
                <w:color w:val="auto"/>
              </w:rPr>
            </w:pPr>
          </w:p>
        </w:tc>
        <w:tc>
          <w:tcPr>
            <w:tcW w:w="5560" w:type="dxa"/>
            <w:vAlign w:val="bottom"/>
          </w:tcPr>
          <w:p>
            <w:pPr>
              <w:jc w:val="right"/>
              <w:ind w:right="3457"/>
              <w:spacing w:after="0"/>
              <w:rPr>
                <w:sz w:val="20"/>
                <w:szCs w:val="20"/>
                <w:color w:val="auto"/>
              </w:rPr>
            </w:pPr>
            <w:r>
              <w:rPr>
                <w:rFonts w:ascii="Arial" w:cs="Arial" w:eastAsia="Arial" w:hAnsi="Arial"/>
                <w:sz w:val="18"/>
                <w:szCs w:val="18"/>
                <w:color w:val="auto"/>
              </w:rPr>
              <w:t>46</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Other Debt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2014, our debt had a carrying value of $11.2 billion and an estimated fair value of $12.1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2013, we, Comcast and certain of Comcast’s 100%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March 31, 2014, we guaranteed $30.7 billion of outstanding debt securities of Comcast and the cable guarantors. We also fully and unconditionally guarantee the $6.25 billion Comcast revolving credit facility due 2017 of which no amounts were outstanding as of March 31, 2014.</w:t>
      </w:r>
    </w:p>
    <w:p>
      <w:pPr>
        <w:spacing w:after="0" w:line="2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do not, however, guarantee the obligations of NBCUniversal Enterprise with respect to its $4 billion aggregate principal amount of senior notes, $1.35 billion credit facility and associated commercial paper program, or $725 million liquidation preference of Series A cumulative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Fair Value Measurements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Our assessment of the significance of a particular input to the fair value measurement requires judgment and may affect the valuation of financial instruments and their classification within the fair value hierarchy.</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financial instruments that are accounted for at fair value on a recurring basis were not material for all periods presented, except for the liability associated with our contractual obligation. The fair value of the contractual obligation is primarily based on certain expected future discounted cash flows, the determination of which involves the use of significant unobservable inputs. As the inputs used are not quoted market prices or observable inputs, we classify the contractual obligation as a Level 3 financial instrument.</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most significant unobservable inputs we use are our estimates of the future revenue we expect to generate from certain of our businesses. The discount rates used in the measurement of fair value were between 12% and 13% and are based on the underlying risk associated with our estimate of future revenue and the terms of the respective contract. The fair value adjustments to the contractual obligation is sensitive to the assumptions related to future revenue, as well as to current interest rates, and therefore, the adjustments are recorded to other income (expense), net in our condensed consolidated statement of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60" w:type="dxa"/>
            <w:vAlign w:val="bottom"/>
          </w:tcPr>
          <w:p>
            <w:pPr>
              <w:spacing w:after="0"/>
              <w:rPr>
                <w:sz w:val="20"/>
                <w:szCs w:val="20"/>
                <w:color w:val="auto"/>
              </w:rPr>
            </w:pPr>
          </w:p>
        </w:tc>
        <w:tc>
          <w:tcPr>
            <w:tcW w:w="7740" w:type="dxa"/>
            <w:vAlign w:val="bottom"/>
          </w:tcPr>
          <w:p>
            <w:pPr>
              <w:jc w:val="center"/>
              <w:ind w:right="2539"/>
              <w:spacing w:after="0"/>
              <w:rPr>
                <w:sz w:val="20"/>
                <w:szCs w:val="20"/>
                <w:color w:val="auto"/>
              </w:rPr>
            </w:pPr>
            <w:r>
              <w:rPr>
                <w:rFonts w:ascii="Arial" w:cs="Arial" w:eastAsia="Arial" w:hAnsi="Arial"/>
                <w:sz w:val="18"/>
                <w:szCs w:val="18"/>
                <w:b w:val="1"/>
                <w:bCs w:val="1"/>
                <w:color w:val="auto"/>
                <w:w w:val="97"/>
              </w:rPr>
              <w:t>Changes in Contractual Obligation</w:t>
            </w:r>
          </w:p>
        </w:tc>
        <w:tc>
          <w:tcPr>
            <w:tcW w:w="520" w:type="dxa"/>
            <w:vAlign w:val="bottom"/>
          </w:tcPr>
          <w:p>
            <w:pPr>
              <w:spacing w:after="0"/>
              <w:rPr>
                <w:sz w:val="20"/>
                <w:szCs w:val="20"/>
                <w:color w:val="auto"/>
              </w:rPr>
            </w:pPr>
          </w:p>
        </w:tc>
      </w:tr>
      <w:tr>
        <w:trPr>
          <w:trHeight w:val="261"/>
        </w:trPr>
        <w:tc>
          <w:tcPr>
            <w:tcW w:w="3160" w:type="dxa"/>
            <w:vAlign w:val="bottom"/>
          </w:tcPr>
          <w:p>
            <w:pPr>
              <w:spacing w:after="0"/>
              <w:rPr>
                <w:sz w:val="22"/>
                <w:szCs w:val="22"/>
                <w:color w:val="auto"/>
              </w:rPr>
            </w:pPr>
          </w:p>
        </w:tc>
        <w:tc>
          <w:tcPr>
            <w:tcW w:w="8260" w:type="dxa"/>
            <w:vAlign w:val="bottom"/>
            <w:gridSpan w:val="2"/>
          </w:tcPr>
          <w:p>
            <w:pPr>
              <w:ind w:left="7520"/>
              <w:spacing w:after="0"/>
              <w:rPr>
                <w:sz w:val="20"/>
                <w:szCs w:val="20"/>
                <w:color w:val="auto"/>
              </w:rPr>
            </w:pPr>
            <w:r>
              <w:rPr>
                <w:rFonts w:ascii="Arial" w:cs="Arial" w:eastAsia="Arial" w:hAnsi="Arial"/>
                <w:sz w:val="14"/>
                <w:szCs w:val="14"/>
                <w:color w:val="auto"/>
              </w:rPr>
              <w:t>Contractual</w:t>
            </w:r>
          </w:p>
        </w:tc>
      </w:tr>
      <w:tr>
        <w:trPr>
          <w:trHeight w:val="159"/>
        </w:trPr>
        <w:tc>
          <w:tcPr>
            <w:tcW w:w="31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260" w:type="dxa"/>
            <w:vAlign w:val="bottom"/>
            <w:tcBorders>
              <w:bottom w:val="single" w:sz="8" w:color="auto"/>
            </w:tcBorders>
            <w:gridSpan w:val="2"/>
          </w:tcPr>
          <w:p>
            <w:pPr>
              <w:jc w:val="right"/>
              <w:ind w:right="52"/>
              <w:spacing w:after="0" w:line="159" w:lineRule="exact"/>
              <w:rPr>
                <w:sz w:val="20"/>
                <w:szCs w:val="20"/>
                <w:color w:val="auto"/>
              </w:rPr>
            </w:pPr>
            <w:r>
              <w:rPr>
                <w:rFonts w:ascii="Arial" w:cs="Arial" w:eastAsia="Arial" w:hAnsi="Arial"/>
                <w:sz w:val="14"/>
                <w:szCs w:val="14"/>
                <w:color w:val="auto"/>
              </w:rPr>
              <w:t>Obligation</w:t>
            </w:r>
          </w:p>
        </w:tc>
      </w:tr>
      <w:tr>
        <w:trPr>
          <w:trHeight w:val="210"/>
        </w:trPr>
        <w:tc>
          <w:tcPr>
            <w:tcW w:w="316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2013</w:t>
            </w:r>
          </w:p>
        </w:tc>
        <w:tc>
          <w:tcPr>
            <w:tcW w:w="7740" w:type="dxa"/>
            <w:vAlign w:val="bottom"/>
            <w:shd w:val="clear" w:color="auto" w:fill="E5E5E5"/>
          </w:tcPr>
          <w:p>
            <w:pPr>
              <w:ind w:left="7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747</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Fair value adjustments</w:t>
            </w:r>
          </w:p>
        </w:tc>
        <w:tc>
          <w:tcPr>
            <w:tcW w:w="774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16"/>
        </w:trPr>
        <w:tc>
          <w:tcPr>
            <w:tcW w:w="3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77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w:t>
            </w:r>
          </w:p>
        </w:tc>
      </w:tr>
      <w:tr>
        <w:trPr>
          <w:trHeight w:val="217"/>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2014</w:t>
            </w:r>
          </w:p>
        </w:tc>
        <w:tc>
          <w:tcPr>
            <w:tcW w:w="7740" w:type="dxa"/>
            <w:vAlign w:val="bottom"/>
            <w:tcBorders>
              <w:bottom w:val="single" w:sz="8" w:color="auto"/>
            </w:tcBorders>
          </w:tcPr>
          <w:p>
            <w:pPr>
              <w:ind w:left="75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761</w:t>
            </w:r>
          </w:p>
        </w:tc>
      </w:tr>
      <w:tr>
        <w:trPr>
          <w:trHeight w:val="363"/>
        </w:trPr>
        <w:tc>
          <w:tcPr>
            <w:tcW w:w="3160" w:type="dxa"/>
            <w:vAlign w:val="bottom"/>
          </w:tcPr>
          <w:p>
            <w:pPr>
              <w:spacing w:after="0"/>
              <w:rPr>
                <w:sz w:val="24"/>
                <w:szCs w:val="24"/>
                <w:color w:val="auto"/>
              </w:rPr>
            </w:pPr>
          </w:p>
        </w:tc>
        <w:tc>
          <w:tcPr>
            <w:tcW w:w="7740" w:type="dxa"/>
            <w:vAlign w:val="bottom"/>
          </w:tcPr>
          <w:p>
            <w:pPr>
              <w:jc w:val="right"/>
              <w:ind w:right="4999"/>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Share-Based Compensation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restricted share units (“RSUs”) to certain employees and directors as part of its approach to long-term incentive compensation. Additionally, through Comcast’s employee stock purchase plans, employees are able to purchase shares of its Class A common stock at a discount through payroll deductions. Certain of our employees participate in these plans and the expense associated with their participation is settled in cash with Comcast.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gridSpan w:val="3"/>
          </w:tcPr>
          <w:p>
            <w:pPr>
              <w:jc w:val="right"/>
              <w:ind w:right="236"/>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0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95"/>
              </w:rPr>
              <w:t>March 31</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w w:val="83"/>
              </w:rPr>
              <w:t>2014</w:t>
            </w:r>
          </w:p>
        </w:tc>
        <w:tc>
          <w:tcPr>
            <w:tcW w:w="7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w w:val="83"/>
              </w:rPr>
              <w:t>2013</w:t>
            </w:r>
          </w:p>
        </w:tc>
        <w:tc>
          <w:tcPr>
            <w:tcW w:w="0" w:type="dxa"/>
            <w:vAlign w:val="bottom"/>
          </w:tcPr>
          <w:p>
            <w:pPr>
              <w:spacing w:after="0"/>
              <w:rPr>
                <w:sz w:val="1"/>
                <w:szCs w:val="1"/>
                <w:color w:val="auto"/>
              </w:rPr>
            </w:pPr>
          </w:p>
        </w:tc>
      </w:tr>
      <w:tr>
        <w:trPr>
          <w:trHeight w:val="210"/>
        </w:trPr>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7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760" w:type="dxa"/>
            <w:vAlign w:val="bottom"/>
            <w:gridSpan w:val="2"/>
          </w:tcPr>
          <w:p>
            <w:pPr>
              <w:jc w:val="right"/>
              <w:ind w:right="375"/>
              <w:spacing w:after="0"/>
              <w:rPr>
                <w:sz w:val="20"/>
                <w:szCs w:val="20"/>
                <w:color w:val="auto"/>
              </w:rPr>
            </w:pPr>
            <w:r>
              <w:rPr>
                <w:rFonts w:ascii="Arial" w:cs="Arial" w:eastAsia="Arial" w:hAnsi="Arial"/>
                <w:sz w:val="14"/>
                <w:szCs w:val="14"/>
                <w:color w:val="auto"/>
              </w:rPr>
              <w:t>March 31,</w:t>
            </w:r>
          </w:p>
        </w:tc>
        <w:tc>
          <w:tcPr>
            <w:tcW w:w="1080" w:type="dxa"/>
            <w:vAlign w:val="bottom"/>
            <w:gridSpan w:val="2"/>
          </w:tcPr>
          <w:p>
            <w:pPr>
              <w:ind w:left="260"/>
              <w:spacing w:after="0"/>
              <w:rPr>
                <w:sz w:val="20"/>
                <w:szCs w:val="20"/>
                <w:color w:val="auto"/>
              </w:rPr>
            </w:pPr>
            <w:r>
              <w:rPr>
                <w:rFonts w:ascii="Arial" w:cs="Arial" w:eastAsia="Arial" w:hAnsi="Arial"/>
                <w:sz w:val="14"/>
                <w:szCs w:val="14"/>
                <w:color w:val="auto"/>
                <w:w w:val="90"/>
              </w:rPr>
              <w:t>December 31,</w:t>
            </w:r>
          </w:p>
        </w:tc>
      </w:tr>
      <w:tr>
        <w:trPr>
          <w:trHeight w:val="159"/>
        </w:trPr>
        <w:tc>
          <w:tcPr>
            <w:tcW w:w="85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760" w:type="dxa"/>
            <w:vAlign w:val="bottom"/>
            <w:tcBorders>
              <w:bottom w:val="single" w:sz="8" w:color="auto"/>
            </w:tcBorders>
            <w:gridSpan w:val="2"/>
          </w:tcPr>
          <w:p>
            <w:pPr>
              <w:ind w:left="900"/>
              <w:spacing w:after="0" w:line="159" w:lineRule="exact"/>
              <w:rPr>
                <w:sz w:val="20"/>
                <w:szCs w:val="20"/>
                <w:color w:val="auto"/>
              </w:rPr>
            </w:pPr>
            <w:r>
              <w:rPr>
                <w:rFonts w:ascii="Arial" w:cs="Arial" w:eastAsia="Arial" w:hAnsi="Arial"/>
                <w:sz w:val="14"/>
                <w:szCs w:val="14"/>
                <w:color w:val="auto"/>
              </w:rPr>
              <w:t>2014</w:t>
            </w: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16"/>
              <w:spacing w:after="0" w:line="159" w:lineRule="exact"/>
              <w:rPr>
                <w:sz w:val="20"/>
                <w:szCs w:val="20"/>
                <w:color w:val="auto"/>
              </w:rPr>
            </w:pPr>
            <w:r>
              <w:rPr>
                <w:rFonts w:ascii="Arial" w:cs="Arial" w:eastAsia="Arial" w:hAnsi="Arial"/>
                <w:sz w:val="14"/>
                <w:szCs w:val="14"/>
                <w:color w:val="auto"/>
                <w:w w:val="83"/>
              </w:rPr>
              <w:t>2013</w:t>
            </w:r>
          </w:p>
        </w:tc>
      </w:tr>
      <w:tr>
        <w:trPr>
          <w:trHeight w:val="210"/>
        </w:trPr>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760" w:type="dxa"/>
            <w:vAlign w:val="bottom"/>
            <w:gridSpan w:val="2"/>
            <w:shd w:val="clear" w:color="auto" w:fill="E5E5E5"/>
          </w:tcPr>
          <w:p>
            <w:pPr>
              <w:jc w:val="right"/>
              <w:ind w:right="355"/>
              <w:spacing w:after="0"/>
              <w:rPr>
                <w:sz w:val="20"/>
                <w:szCs w:val="20"/>
                <w:color w:val="auto"/>
              </w:rPr>
            </w:pPr>
            <w:r>
              <w:rPr>
                <w:rFonts w:ascii="Arial" w:cs="Arial" w:eastAsia="Arial" w:hAnsi="Arial"/>
                <w:sz w:val="18"/>
                <w:szCs w:val="18"/>
                <w:color w:val="auto"/>
              </w:rPr>
              <w:t>$ 5,172</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5,348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980" w:type="dxa"/>
            <w:vAlign w:val="bottom"/>
          </w:tcPr>
          <w:p>
            <w:pPr>
              <w:spacing w:after="0"/>
              <w:rPr>
                <w:sz w:val="18"/>
                <w:szCs w:val="18"/>
                <w:color w:val="auto"/>
              </w:rPr>
            </w:pPr>
          </w:p>
        </w:tc>
        <w:tc>
          <w:tcPr>
            <w:tcW w:w="780" w:type="dxa"/>
            <w:vAlign w:val="bottom"/>
          </w:tcPr>
          <w:p>
            <w:pPr>
              <w:jc w:val="right"/>
              <w:ind w:right="355"/>
              <w:spacing w:after="0"/>
              <w:rPr>
                <w:sz w:val="20"/>
                <w:szCs w:val="20"/>
                <w:color w:val="auto"/>
              </w:rPr>
            </w:pPr>
            <w:r>
              <w:rPr>
                <w:rFonts w:ascii="Arial" w:cs="Arial" w:eastAsia="Arial" w:hAnsi="Arial"/>
                <w:sz w:val="18"/>
                <w:szCs w:val="18"/>
                <w:color w:val="auto"/>
              </w:rPr>
              <w:t>282</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8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9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color w:val="auto"/>
              </w:rPr>
              <w:t>64</w:t>
            </w:r>
          </w:p>
        </w:tc>
        <w:tc>
          <w:tcPr>
            <w:tcW w:w="5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65</w:t>
            </w:r>
          </w:p>
        </w:tc>
      </w:tr>
      <w:tr>
        <w:trPr>
          <w:trHeight w:val="217"/>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176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8"/>
                <w:szCs w:val="18"/>
                <w:b w:val="1"/>
                <w:bCs w:val="1"/>
                <w:color w:val="auto"/>
              </w:rPr>
              <w:t>$ 4,826</w:t>
            </w: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4,911</w:t>
            </w:r>
          </w:p>
        </w:tc>
      </w:tr>
      <w:tr>
        <w:trPr>
          <w:trHeight w:val="403"/>
        </w:trPr>
        <w:tc>
          <w:tcPr>
            <w:tcW w:w="8580" w:type="dxa"/>
            <w:vAlign w:val="bottom"/>
          </w:tcPr>
          <w:p>
            <w:pPr>
              <w:ind w:left="3600"/>
              <w:spacing w:after="0"/>
              <w:rPr>
                <w:sz w:val="20"/>
                <w:szCs w:val="20"/>
                <w:color w:val="auto"/>
              </w:rPr>
            </w:pPr>
            <w:r>
              <w:rPr>
                <w:rFonts w:ascii="Arial" w:cs="Arial" w:eastAsia="Arial" w:hAnsi="Arial"/>
                <w:sz w:val="18"/>
                <w:szCs w:val="18"/>
                <w:b w:val="1"/>
                <w:bCs w:val="1"/>
                <w:color w:val="auto"/>
              </w:rPr>
              <w:t>Accumulated Other Comprehensive Income (Loss)</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1"/>
        </w:trPr>
        <w:tc>
          <w:tcPr>
            <w:tcW w:w="8580" w:type="dxa"/>
            <w:vAlign w:val="bottom"/>
          </w:tcPr>
          <w:p>
            <w:pPr>
              <w:spacing w:after="0"/>
              <w:rPr>
                <w:sz w:val="22"/>
                <w:szCs w:val="22"/>
                <w:color w:val="auto"/>
              </w:rPr>
            </w:pPr>
          </w:p>
        </w:tc>
        <w:tc>
          <w:tcPr>
            <w:tcW w:w="1760" w:type="dxa"/>
            <w:vAlign w:val="bottom"/>
            <w:gridSpan w:val="2"/>
          </w:tcPr>
          <w:p>
            <w:pPr>
              <w:ind w:left="880"/>
              <w:spacing w:after="0"/>
              <w:rPr>
                <w:sz w:val="20"/>
                <w:szCs w:val="20"/>
                <w:color w:val="auto"/>
              </w:rPr>
            </w:pPr>
            <w:r>
              <w:rPr>
                <w:rFonts w:ascii="Arial" w:cs="Arial" w:eastAsia="Arial" w:hAnsi="Arial"/>
                <w:sz w:val="14"/>
                <w:szCs w:val="14"/>
                <w:color w:val="auto"/>
              </w:rPr>
              <w:t>March 31,</w:t>
            </w: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March 31,</w:t>
            </w:r>
          </w:p>
        </w:tc>
      </w:tr>
      <w:tr>
        <w:trPr>
          <w:trHeight w:val="159"/>
        </w:trPr>
        <w:tc>
          <w:tcPr>
            <w:tcW w:w="85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5"/>
              <w:spacing w:after="0" w:line="159" w:lineRule="exact"/>
              <w:rPr>
                <w:sz w:val="20"/>
                <w:szCs w:val="20"/>
                <w:color w:val="auto"/>
              </w:rPr>
            </w:pPr>
            <w:r>
              <w:rPr>
                <w:rFonts w:ascii="Arial" w:cs="Arial" w:eastAsia="Arial" w:hAnsi="Arial"/>
                <w:sz w:val="14"/>
                <w:szCs w:val="14"/>
                <w:color w:val="auto"/>
                <w:w w:val="89"/>
              </w:rPr>
              <w:t>2014</w:t>
            </w: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w w:val="96"/>
              </w:rPr>
              <w:t>2013</w:t>
            </w:r>
          </w:p>
        </w:tc>
      </w:tr>
      <w:tr>
        <w:trPr>
          <w:trHeight w:val="210"/>
        </w:trPr>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w:t>
            </w:r>
          </w:p>
        </w:tc>
        <w:tc>
          <w:tcPr>
            <w:tcW w:w="980" w:type="dxa"/>
            <w:vAlign w:val="bottom"/>
            <w:shd w:val="clear" w:color="auto" w:fill="E5E5E5"/>
          </w:tcPr>
          <w:p>
            <w:pPr>
              <w:ind w:left="8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(6)</w:t>
            </w:r>
          </w:p>
        </w:tc>
        <w:tc>
          <w:tcPr>
            <w:tcW w:w="500" w:type="dxa"/>
            <w:vAlign w:val="bottom"/>
            <w:shd w:val="clear" w:color="auto" w:fill="E5E5E5"/>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980" w:type="dxa"/>
            <w:vAlign w:val="bottom"/>
          </w:tcPr>
          <w:p>
            <w:pPr>
              <w:spacing w:after="0"/>
              <w:rPr>
                <w:sz w:val="18"/>
                <w:szCs w:val="18"/>
                <w:color w:val="auto"/>
              </w:rPr>
            </w:pPr>
          </w:p>
        </w:tc>
        <w:tc>
          <w:tcPr>
            <w:tcW w:w="780" w:type="dxa"/>
            <w:vAlign w:val="bottom"/>
          </w:tcPr>
          <w:p>
            <w:pPr>
              <w:jc w:val="right"/>
              <w:ind w:right="235"/>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9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(53)</w:t>
            </w:r>
          </w:p>
        </w:tc>
        <w:tc>
          <w:tcPr>
            <w:tcW w:w="5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r>
      <w:tr>
        <w:trPr>
          <w:trHeight w:val="217"/>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9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(13)</w:t>
            </w: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r>
      <w:tr>
        <w:trPr>
          <w:trHeight w:val="363"/>
        </w:trPr>
        <w:tc>
          <w:tcPr>
            <w:tcW w:w="8580" w:type="dxa"/>
            <w:vAlign w:val="bottom"/>
          </w:tcPr>
          <w:p>
            <w:pPr>
              <w:ind w:left="5620"/>
              <w:spacing w:after="0"/>
              <w:rPr>
                <w:sz w:val="20"/>
                <w:szCs w:val="20"/>
                <w:color w:val="auto"/>
              </w:rPr>
            </w:pPr>
            <w:r>
              <w:rPr>
                <w:rFonts w:ascii="Arial" w:cs="Arial" w:eastAsia="Arial" w:hAnsi="Arial"/>
                <w:sz w:val="18"/>
                <w:szCs w:val="18"/>
                <w:color w:val="auto"/>
              </w:rPr>
              <w:t>48</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gridSpan w:val="3"/>
          </w:tcPr>
          <w:p>
            <w:pPr>
              <w:jc w:val="right"/>
              <w:ind w:right="334"/>
              <w:spacing w:after="0"/>
              <w:rPr>
                <w:sz w:val="20"/>
                <w:szCs w:val="20"/>
                <w:color w:val="auto"/>
              </w:rPr>
            </w:pPr>
            <w:r>
              <w:rPr>
                <w:rFonts w:ascii="Arial" w:cs="Arial" w:eastAsia="Arial" w:hAnsi="Arial"/>
                <w:sz w:val="14"/>
                <w:szCs w:val="14"/>
                <w:color w:val="auto"/>
                <w:w w:val="97"/>
              </w:rPr>
              <w:t>Three Months Ended</w:t>
            </w:r>
          </w:p>
        </w:tc>
        <w:tc>
          <w:tcPr>
            <w:tcW w:w="0" w:type="dxa"/>
            <w:vAlign w:val="bottom"/>
          </w:tcPr>
          <w:p>
            <w:pPr>
              <w:spacing w:after="0"/>
              <w:rPr>
                <w:sz w:val="1"/>
                <w:szCs w:val="1"/>
                <w:color w:val="auto"/>
              </w:rPr>
            </w:pPr>
          </w:p>
        </w:tc>
      </w:tr>
      <w:tr>
        <w:trPr>
          <w:trHeight w:val="159"/>
        </w:trPr>
        <w:tc>
          <w:tcPr>
            <w:tcW w:w="90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0"/>
              <w:spacing w:after="0" w:line="159" w:lineRule="exact"/>
              <w:rPr>
                <w:sz w:val="20"/>
                <w:szCs w:val="20"/>
                <w:color w:val="auto"/>
              </w:rPr>
            </w:pPr>
            <w:r>
              <w:rPr>
                <w:rFonts w:ascii="Arial" w:cs="Arial" w:eastAsia="Arial" w:hAnsi="Arial"/>
                <w:sz w:val="14"/>
                <w:szCs w:val="14"/>
                <w:color w:val="auto"/>
                <w:w w:val="85"/>
              </w:rPr>
              <w:t>March 31</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20" w:type="dxa"/>
            <w:vAlign w:val="bottom"/>
            <w:tcBorders>
              <w:bottom w:val="single" w:sz="8" w:color="auto"/>
            </w:tcBorders>
            <w:gridSpan w:val="2"/>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w w:val="76"/>
              </w:rPr>
              <w:t>2014</w:t>
            </w:r>
          </w:p>
        </w:tc>
        <w:tc>
          <w:tcPr>
            <w:tcW w:w="1240" w:type="dxa"/>
            <w:vAlign w:val="bottom"/>
            <w:tcBorders>
              <w:bottom w:val="single" w:sz="8" w:color="auto"/>
            </w:tcBorders>
            <w:gridSpan w:val="2"/>
          </w:tcPr>
          <w:p>
            <w:pPr>
              <w:jc w:val="right"/>
              <w:ind w:right="154"/>
              <w:spacing w:after="0" w:line="142"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0"/>
        </w:trPr>
        <w:tc>
          <w:tcPr>
            <w:tcW w:w="90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741</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365</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9020" w:type="dxa"/>
            <w:vAlign w:val="bottom"/>
            <w:gridSpan w:val="2"/>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2,862</w:t>
            </w:r>
          </w:p>
        </w:tc>
        <w:tc>
          <w:tcPr>
            <w:tcW w:w="7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1,956</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Share-based compensation</w:t>
            </w: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020" w:type="dxa"/>
            <w:vAlign w:val="bottom"/>
            <w:gridSpan w:val="2"/>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02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current and noncurrent receivables, net</w:t>
            </w: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9020" w:type="dxa"/>
            <w:vAlign w:val="bottom"/>
            <w:gridSpan w:val="2"/>
          </w:tcPr>
          <w:p>
            <w:pPr>
              <w:ind w:left="440"/>
              <w:spacing w:after="0"/>
              <w:rPr>
                <w:sz w:val="20"/>
                <w:szCs w:val="20"/>
                <w:color w:val="auto"/>
              </w:rPr>
            </w:pPr>
            <w:r>
              <w:rPr>
                <w:rFonts w:ascii="Arial" w:cs="Arial" w:eastAsia="Arial" w:hAnsi="Arial"/>
                <w:sz w:val="18"/>
                <w:szCs w:val="18"/>
                <w:color w:val="auto"/>
              </w:rPr>
              <w:t>Change in film and television costs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90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902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756</w:t>
            </w:r>
          </w:p>
        </w:tc>
        <w:tc>
          <w:tcPr>
            <w:tcW w:w="1240" w:type="dxa"/>
            <w:vAlign w:val="bottom"/>
            <w:tcBorders>
              <w:bottom w:val="single" w:sz="8" w:color="auto"/>
            </w:tcBorders>
            <w:gridSpan w:val="2"/>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$ 1,105</w:t>
            </w:r>
          </w:p>
        </w:tc>
        <w:tc>
          <w:tcPr>
            <w:tcW w:w="0" w:type="dxa"/>
            <w:vAlign w:val="bottom"/>
          </w:tcPr>
          <w:p>
            <w:pPr>
              <w:spacing w:after="0"/>
              <w:rPr>
                <w:sz w:val="1"/>
                <w:szCs w:val="1"/>
                <w:color w:val="auto"/>
              </w:rPr>
            </w:pPr>
          </w:p>
        </w:tc>
      </w:tr>
      <w:tr>
        <w:trPr>
          <w:trHeight w:val="403"/>
        </w:trPr>
        <w:tc>
          <w:tcPr>
            <w:tcW w:w="9020" w:type="dxa"/>
            <w:vAlign w:val="bottom"/>
            <w:gridSpan w:val="2"/>
          </w:tcPr>
          <w:p>
            <w:pPr>
              <w:ind w:left="3800"/>
              <w:spacing w:after="0"/>
              <w:rPr>
                <w:sz w:val="20"/>
                <w:szCs w:val="20"/>
                <w:color w:val="auto"/>
              </w:rPr>
            </w:pPr>
            <w:r>
              <w:rPr>
                <w:rFonts w:ascii="Arial" w:cs="Arial" w:eastAsia="Arial" w:hAnsi="Arial"/>
                <w:sz w:val="18"/>
                <w:szCs w:val="18"/>
                <w:b w:val="1"/>
                <w:bCs w:val="1"/>
                <w:color w:val="auto"/>
              </w:rPr>
              <w:t>Cash Payments for Interest and Income Taxes</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20" w:type="dxa"/>
            <w:vAlign w:val="bottom"/>
            <w:gridSpan w:val="3"/>
          </w:tcPr>
          <w:p>
            <w:pPr>
              <w:jc w:val="right"/>
              <w:ind w:right="27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9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0"/>
              <w:spacing w:after="0" w:line="159" w:lineRule="exact"/>
              <w:rPr>
                <w:sz w:val="20"/>
                <w:szCs w:val="20"/>
                <w:color w:val="auto"/>
              </w:rPr>
            </w:pPr>
            <w:r>
              <w:rPr>
                <w:rFonts w:ascii="Arial" w:cs="Arial" w:eastAsia="Arial" w:hAnsi="Arial"/>
                <w:sz w:val="14"/>
                <w:szCs w:val="14"/>
                <w:color w:val="auto"/>
                <w:w w:val="92"/>
              </w:rPr>
              <w:t>March 31</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9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w w:val="89"/>
              </w:rPr>
              <w:t>2014</w:t>
            </w:r>
          </w:p>
        </w:tc>
        <w:tc>
          <w:tcPr>
            <w:tcW w:w="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210"/>
        </w:trPr>
        <w:tc>
          <w:tcPr>
            <w:tcW w:w="90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2014:</w:t>
      </w:r>
    </w:p>
    <w:p>
      <w:pPr>
        <w:spacing w:after="0" w:line="77"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we acquired $204 million of property and equipment and intangible assets that were accrued but unpaid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60" w:hanging="215"/>
        <w:spacing w:after="0" w:line="27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our cable television production operations.</w:t>
      </w:r>
    </w:p>
    <w:p>
      <w:pPr>
        <w:spacing w:after="0" w:line="25" w:lineRule="exact"/>
        <w:rPr>
          <w:rFonts w:ascii="Arial" w:cs="Arial" w:eastAsia="Arial" w:hAnsi="Arial"/>
          <w:sz w:val="18"/>
          <w:szCs w:val="18"/>
          <w:color w:val="auto"/>
        </w:rPr>
      </w:pPr>
    </w:p>
    <w:p>
      <w:pPr>
        <w:ind w:left="1020" w:right="1260" w:hanging="215"/>
        <w:spacing w:after="0" w:line="27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production operations.</w:t>
      </w:r>
    </w:p>
    <w:p>
      <w:pPr>
        <w:spacing w:after="0" w:line="25"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color w:val="auto"/>
              </w:rPr>
              <w:t>Three Months Ended March 31, 2014</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2"/>
          </w:tcPr>
          <w:p>
            <w:pPr>
              <w:ind w:left="340"/>
              <w:spacing w:after="0" w:line="131" w:lineRule="exact"/>
              <w:rPr>
                <w:sz w:val="20"/>
                <w:szCs w:val="20"/>
                <w:color w:val="auto"/>
              </w:rPr>
            </w:pPr>
            <w:r>
              <w:rPr>
                <w:rFonts w:ascii="Arial" w:cs="Arial" w:eastAsia="Arial" w:hAnsi="Arial"/>
                <w:sz w:val="14"/>
                <w:szCs w:val="14"/>
                <w:color w:val="auto"/>
                <w:w w:val="93"/>
              </w:rPr>
              <w:t>Operating Income (Loss)</w:t>
            </w:r>
          </w:p>
        </w:tc>
        <w:tc>
          <w:tcPr>
            <w:tcW w:w="8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restart"/>
          </w:tcPr>
          <w:p>
            <w:pPr>
              <w:ind w:left="60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1800" w:type="dxa"/>
            <w:vAlign w:val="bottom"/>
            <w:gridSpan w:val="2"/>
          </w:tcPr>
          <w:p>
            <w:pPr>
              <w:ind w:left="360"/>
              <w:spacing w:after="0" w:line="133" w:lineRule="exact"/>
              <w:rPr>
                <w:sz w:val="20"/>
                <w:szCs w:val="20"/>
                <w:color w:val="auto"/>
              </w:rPr>
            </w:pPr>
            <w:r>
              <w:rPr>
                <w:rFonts w:ascii="Arial" w:cs="Arial" w:eastAsia="Arial" w:hAnsi="Arial"/>
                <w:sz w:val="14"/>
                <w:szCs w:val="14"/>
                <w:color w:val="auto"/>
                <w:w w:val="94"/>
              </w:rPr>
              <w:t>Before Depreciation and</w:t>
            </w:r>
          </w:p>
        </w:tc>
        <w:tc>
          <w:tcPr>
            <w:tcW w:w="2200" w:type="dxa"/>
            <w:vAlign w:val="bottom"/>
            <w:gridSpan w:val="2"/>
          </w:tcPr>
          <w:p>
            <w:pPr>
              <w:ind w:left="680"/>
              <w:spacing w:after="0" w:line="133" w:lineRule="exact"/>
              <w:rPr>
                <w:sz w:val="20"/>
                <w:szCs w:val="20"/>
                <w:color w:val="auto"/>
              </w:rPr>
            </w:pPr>
            <w:r>
              <w:rPr>
                <w:rFonts w:ascii="Arial" w:cs="Arial" w:eastAsia="Arial" w:hAnsi="Arial"/>
                <w:sz w:val="14"/>
                <w:szCs w:val="14"/>
                <w:color w:val="auto"/>
              </w:rPr>
              <w:t>Depreciation and</w:t>
            </w:r>
          </w:p>
        </w:tc>
        <w:tc>
          <w:tcPr>
            <w:tcW w:w="158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40" w:type="dxa"/>
            <w:vAlign w:val="bottom"/>
          </w:tcPr>
          <w:p>
            <w:pPr>
              <w:jc w:val="right"/>
              <w:ind w:right="13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76"/>
              <w:spacing w:after="0" w:line="176" w:lineRule="exact"/>
              <w:rPr>
                <w:sz w:val="20"/>
                <w:szCs w:val="20"/>
                <w:color w:val="auto"/>
              </w:rPr>
            </w:pPr>
            <w:r>
              <w:rPr>
                <w:rFonts w:ascii="Arial" w:cs="Arial" w:eastAsia="Arial" w:hAnsi="Arial"/>
                <w:sz w:val="13"/>
                <w:szCs w:val="13"/>
                <w:color w:val="auto"/>
                <w:w w:val="99"/>
              </w:rPr>
              <w:t>Amortization</w:t>
            </w:r>
            <w:r>
              <w:rPr>
                <w:rFonts w:ascii="Arial" w:cs="Arial" w:eastAsia="Arial" w:hAnsi="Arial"/>
                <w:sz w:val="20"/>
                <w:szCs w:val="20"/>
                <w:color w:val="auto"/>
                <w:w w:val="99"/>
                <w:vertAlign w:val="superscript"/>
              </w:rPr>
              <w:t>(e)</w:t>
            </w:r>
          </w:p>
        </w:tc>
        <w:tc>
          <w:tcPr>
            <w:tcW w:w="220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color w:val="auto"/>
              </w:rPr>
              <w:t>Amortization</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rPr>
              <w:t>(Loss)</w:t>
            </w:r>
          </w:p>
        </w:tc>
        <w:tc>
          <w:tcPr>
            <w:tcW w:w="11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0"/>
              </w:rPr>
              <w:t>Expenditures</w:t>
            </w:r>
          </w:p>
        </w:tc>
        <w:tc>
          <w:tcPr>
            <w:tcW w:w="0" w:type="dxa"/>
            <w:vAlign w:val="bottom"/>
          </w:tcPr>
          <w:p>
            <w:pPr>
              <w:spacing w:after="0"/>
              <w:rPr>
                <w:sz w:val="1"/>
                <w:szCs w:val="1"/>
                <w:color w:val="auto"/>
              </w:rPr>
            </w:pPr>
          </w:p>
        </w:tc>
      </w:tr>
      <w:tr>
        <w:trPr>
          <w:trHeight w:val="210"/>
        </w:trPr>
        <w:tc>
          <w:tcPr>
            <w:tcW w:w="3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840" w:type="dxa"/>
            <w:vAlign w:val="bottom"/>
            <w:gridSpan w:val="2"/>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93"/>
              </w:rPr>
              <w:t>2,505</w:t>
            </w:r>
          </w:p>
        </w:tc>
        <w:tc>
          <w:tcPr>
            <w:tcW w:w="5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895</w:t>
            </w:r>
          </w:p>
        </w:tc>
        <w:tc>
          <w:tcPr>
            <w:tcW w:w="820" w:type="dxa"/>
            <w:vAlign w:val="bottom"/>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706</w:t>
            </w:r>
          </w:p>
        </w:tc>
        <w:tc>
          <w:tcPr>
            <w:tcW w:w="480" w:type="dxa"/>
            <w:vAlign w:val="bottom"/>
            <w:shd w:val="clear" w:color="auto" w:fill="E5E5E5"/>
          </w:tcPr>
          <w:p>
            <w:pPr>
              <w:ind w:left="3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color w:val="auto"/>
                <w:w w:val="93"/>
              </w:rPr>
              <w:t>2,621</w:t>
            </w:r>
          </w:p>
        </w:tc>
        <w:tc>
          <w:tcPr>
            <w:tcW w:w="54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122</w:t>
            </w:r>
          </w:p>
        </w:tc>
        <w:tc>
          <w:tcPr>
            <w:tcW w:w="82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93"/>
              </w:rPr>
              <w:t>1,351</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288</w:t>
            </w:r>
          </w:p>
        </w:tc>
        <w:tc>
          <w:tcPr>
            <w:tcW w:w="8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5</w:t>
            </w:r>
          </w:p>
        </w:tc>
        <w:tc>
          <w:tcPr>
            <w:tcW w:w="38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283</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487</w:t>
            </w:r>
          </w:p>
        </w:tc>
        <w:tc>
          <w:tcPr>
            <w:tcW w:w="54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170</w:t>
            </w:r>
          </w:p>
        </w:tc>
        <w:tc>
          <w:tcPr>
            <w:tcW w:w="82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3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2</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(163)</w:t>
            </w:r>
          </w:p>
        </w:tc>
        <w:tc>
          <w:tcPr>
            <w:tcW w:w="8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75</w:t>
            </w:r>
          </w:p>
        </w:tc>
        <w:tc>
          <w:tcPr>
            <w:tcW w:w="38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(238)</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(90)</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gridSpan w:val="2"/>
            <w:shd w:val="clear" w:color="auto" w:fill="E5E5E5"/>
          </w:tcPr>
          <w:p>
            <w:pPr>
              <w:ind w:left="6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b w:val="1"/>
                <w:bCs w:val="1"/>
                <w:color w:val="auto"/>
                <w:w w:val="93"/>
              </w:rPr>
              <w:t>6,876</w:t>
            </w:r>
          </w:p>
        </w:tc>
        <w:tc>
          <w:tcPr>
            <w:tcW w:w="54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1,311</w:t>
            </w:r>
          </w:p>
        </w:tc>
        <w:tc>
          <w:tcPr>
            <w:tcW w:w="82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b w:val="1"/>
                <w:bCs w:val="1"/>
                <w:color w:val="auto"/>
              </w:rPr>
              <w:t>365</w:t>
            </w:r>
          </w:p>
        </w:tc>
        <w:tc>
          <w:tcPr>
            <w:tcW w:w="3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b w:val="1"/>
                <w:bCs w:val="1"/>
                <w:color w:val="auto"/>
              </w:rPr>
              <w:t>946</w:t>
            </w:r>
          </w:p>
        </w:tc>
        <w:tc>
          <w:tcPr>
            <w:tcW w:w="48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291</w:t>
            </w:r>
          </w:p>
        </w:tc>
        <w:tc>
          <w:tcPr>
            <w:tcW w:w="0" w:type="dxa"/>
            <w:vAlign w:val="bottom"/>
          </w:tcPr>
          <w:p>
            <w:pPr>
              <w:spacing w:after="0"/>
              <w:rPr>
                <w:sz w:val="1"/>
                <w:szCs w:val="1"/>
                <w:color w:val="auto"/>
              </w:rPr>
            </w:pPr>
          </w:p>
        </w:tc>
      </w:tr>
      <w:tr>
        <w:trPr>
          <w:trHeight w:val="284"/>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color w:val="auto"/>
                <w:w w:val="87"/>
              </w:rPr>
              <w:t>Three Months Ended March 31, 2013</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2"/>
          </w:tcPr>
          <w:p>
            <w:pPr>
              <w:ind w:left="380"/>
              <w:spacing w:after="0" w:line="131" w:lineRule="exact"/>
              <w:rPr>
                <w:sz w:val="20"/>
                <w:szCs w:val="20"/>
                <w:color w:val="auto"/>
              </w:rPr>
            </w:pPr>
            <w:r>
              <w:rPr>
                <w:rFonts w:ascii="Arial" w:cs="Arial" w:eastAsia="Arial" w:hAnsi="Arial"/>
                <w:sz w:val="14"/>
                <w:szCs w:val="14"/>
                <w:color w:val="auto"/>
                <w:w w:val="90"/>
              </w:rPr>
              <w:t>Operating Income (Loss)</w:t>
            </w:r>
          </w:p>
        </w:tc>
        <w:tc>
          <w:tcPr>
            <w:tcW w:w="8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restart"/>
          </w:tcPr>
          <w:p>
            <w:pPr>
              <w:ind w:left="64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1800" w:type="dxa"/>
            <w:vAlign w:val="bottom"/>
            <w:gridSpan w:val="2"/>
          </w:tcPr>
          <w:p>
            <w:pPr>
              <w:ind w:left="400"/>
              <w:spacing w:after="0" w:line="133" w:lineRule="exact"/>
              <w:rPr>
                <w:sz w:val="20"/>
                <w:szCs w:val="20"/>
                <w:color w:val="auto"/>
              </w:rPr>
            </w:pPr>
            <w:r>
              <w:rPr>
                <w:rFonts w:ascii="Arial" w:cs="Arial" w:eastAsia="Arial" w:hAnsi="Arial"/>
                <w:sz w:val="14"/>
                <w:szCs w:val="14"/>
                <w:color w:val="auto"/>
                <w:w w:val="91"/>
              </w:rPr>
              <w:t>Before Depreciation and</w:t>
            </w:r>
          </w:p>
        </w:tc>
        <w:tc>
          <w:tcPr>
            <w:tcW w:w="2200" w:type="dxa"/>
            <w:vAlign w:val="bottom"/>
            <w:gridSpan w:val="2"/>
          </w:tcPr>
          <w:p>
            <w:pPr>
              <w:ind w:left="720"/>
              <w:spacing w:after="0" w:line="133" w:lineRule="exact"/>
              <w:rPr>
                <w:sz w:val="20"/>
                <w:szCs w:val="20"/>
                <w:color w:val="auto"/>
              </w:rPr>
            </w:pPr>
            <w:r>
              <w:rPr>
                <w:rFonts w:ascii="Arial" w:cs="Arial" w:eastAsia="Arial" w:hAnsi="Arial"/>
                <w:sz w:val="14"/>
                <w:szCs w:val="14"/>
                <w:color w:val="auto"/>
              </w:rPr>
              <w:t>Depreciation and</w:t>
            </w:r>
          </w:p>
        </w:tc>
        <w:tc>
          <w:tcPr>
            <w:tcW w:w="1580" w:type="dxa"/>
            <w:vAlign w:val="bottom"/>
            <w:gridSpan w:val="2"/>
          </w:tcPr>
          <w:p>
            <w:pPr>
              <w:ind w:left="18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40" w:type="dxa"/>
            <w:vAlign w:val="bottom"/>
          </w:tcPr>
          <w:p>
            <w:pPr>
              <w:jc w:val="right"/>
              <w:ind w:right="13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8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89"/>
              </w:rPr>
              <w:t>Amortization</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(Loss)</w:t>
            </w:r>
          </w:p>
        </w:tc>
        <w:tc>
          <w:tcPr>
            <w:tcW w:w="11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0"/>
              </w:rPr>
              <w:t>Expenditures</w:t>
            </w:r>
          </w:p>
        </w:tc>
        <w:tc>
          <w:tcPr>
            <w:tcW w:w="0" w:type="dxa"/>
            <w:vAlign w:val="bottom"/>
          </w:tcPr>
          <w:p>
            <w:pPr>
              <w:spacing w:after="0"/>
              <w:rPr>
                <w:sz w:val="1"/>
                <w:szCs w:val="1"/>
                <w:color w:val="auto"/>
              </w:rPr>
            </w:pPr>
          </w:p>
        </w:tc>
      </w:tr>
      <w:tr>
        <w:trPr>
          <w:trHeight w:val="210"/>
        </w:trPr>
        <w:tc>
          <w:tcPr>
            <w:tcW w:w="3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84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2,225</w:t>
            </w:r>
          </w:p>
        </w:tc>
        <w:tc>
          <w:tcPr>
            <w:tcW w:w="54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859</w:t>
            </w:r>
          </w:p>
        </w:tc>
        <w:tc>
          <w:tcPr>
            <w:tcW w:w="820" w:type="dxa"/>
            <w:vAlign w:val="bottom"/>
            <w:shd w:val="clear" w:color="auto" w:fill="E5E5E5"/>
          </w:tcPr>
          <w:p>
            <w:pPr>
              <w:ind w:left="72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E5E5E5"/>
          </w:tcPr>
          <w:p>
            <w:pPr>
              <w:jc w:val="right"/>
              <w:ind w:right="474"/>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675</w:t>
            </w:r>
          </w:p>
        </w:tc>
        <w:tc>
          <w:tcPr>
            <w:tcW w:w="480" w:type="dxa"/>
            <w:vAlign w:val="bottom"/>
            <w:shd w:val="clear" w:color="auto" w:fill="E5E5E5"/>
          </w:tcPr>
          <w:p>
            <w:pPr>
              <w:ind w:left="3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color w:val="auto"/>
              </w:rPr>
              <w:t>1,517</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18"/>
                <w:szCs w:val="18"/>
                <w:color w:val="auto"/>
              </w:rPr>
            </w:pPr>
          </w:p>
        </w:tc>
        <w:tc>
          <w:tcPr>
            <w:tcW w:w="1380" w:type="dxa"/>
            <w:vAlign w:val="bottom"/>
          </w:tcPr>
          <w:p>
            <w:pPr>
              <w:jc w:val="right"/>
              <w:ind w:right="474"/>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200" w:type="dxa"/>
            <w:vAlign w:val="bottom"/>
          </w:tcPr>
          <w:p>
            <w:pPr>
              <w:jc w:val="right"/>
              <w:ind w:right="275"/>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1,216</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w:t>
            </w:r>
          </w:p>
        </w:tc>
        <w:tc>
          <w:tcPr>
            <w:tcW w:w="8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74"/>
              <w:spacing w:after="0"/>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65</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color w:val="auto"/>
              </w:rPr>
              <w:t>462</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w:t>
            </w:r>
          </w:p>
        </w:tc>
        <w:tc>
          <w:tcPr>
            <w:tcW w:w="820" w:type="dxa"/>
            <w:vAlign w:val="bottom"/>
          </w:tcPr>
          <w:p>
            <w:pPr>
              <w:spacing w:after="0"/>
              <w:rPr>
                <w:sz w:val="18"/>
                <w:szCs w:val="18"/>
                <w:color w:val="auto"/>
              </w:rPr>
            </w:pPr>
          </w:p>
        </w:tc>
        <w:tc>
          <w:tcPr>
            <w:tcW w:w="1380" w:type="dxa"/>
            <w:vAlign w:val="bottom"/>
          </w:tcPr>
          <w:p>
            <w:pPr>
              <w:jc w:val="right"/>
              <w:ind w:right="474"/>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9</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(112)</w:t>
            </w:r>
          </w:p>
        </w:tc>
        <w:tc>
          <w:tcPr>
            <w:tcW w:w="8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74"/>
              <w:spacing w:after="0"/>
              <w:rPr>
                <w:sz w:val="20"/>
                <w:szCs w:val="20"/>
                <w:color w:val="auto"/>
              </w:rPr>
            </w:pPr>
            <w:r>
              <w:rPr>
                <w:rFonts w:ascii="Arial" w:cs="Arial" w:eastAsia="Arial" w:hAnsi="Arial"/>
                <w:sz w:val="18"/>
                <w:szCs w:val="18"/>
                <w:color w:val="auto"/>
              </w:rPr>
              <w:t>59</w:t>
            </w:r>
          </w:p>
        </w:tc>
        <w:tc>
          <w:tcPr>
            <w:tcW w:w="38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(171)</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(89)</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gridSpan w:val="2"/>
            <w:shd w:val="clear" w:color="auto" w:fill="E5E5E5"/>
          </w:tcPr>
          <w:p>
            <w:pPr>
              <w:ind w:left="72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b w:val="1"/>
                <w:bCs w:val="1"/>
                <w:color w:val="auto"/>
              </w:rPr>
              <w:t>5,340</w:t>
            </w:r>
          </w:p>
        </w:tc>
        <w:tc>
          <w:tcPr>
            <w:tcW w:w="54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953</w:t>
            </w:r>
          </w:p>
        </w:tc>
        <w:tc>
          <w:tcPr>
            <w:tcW w:w="820" w:type="dxa"/>
            <w:vAlign w:val="bottom"/>
            <w:tcBorders>
              <w:bottom w:val="single" w:sz="8" w:color="auto"/>
            </w:tcBorders>
            <w:shd w:val="clear" w:color="auto" w:fill="E5E5E5"/>
          </w:tcPr>
          <w:p>
            <w:pPr>
              <w:ind w:left="72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E5E5E5"/>
          </w:tcPr>
          <w:p>
            <w:pPr>
              <w:jc w:val="right"/>
              <w:ind w:right="474"/>
              <w:spacing w:after="0"/>
              <w:rPr>
                <w:sz w:val="20"/>
                <w:szCs w:val="20"/>
                <w:color w:val="auto"/>
              </w:rPr>
            </w:pPr>
            <w:r>
              <w:rPr>
                <w:rFonts w:ascii="Arial" w:cs="Arial" w:eastAsia="Arial" w:hAnsi="Arial"/>
                <w:sz w:val="18"/>
                <w:szCs w:val="18"/>
                <w:b w:val="1"/>
                <w:bCs w:val="1"/>
                <w:color w:val="auto"/>
              </w:rPr>
              <w:t>344</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609</w:t>
            </w:r>
          </w:p>
        </w:tc>
        <w:tc>
          <w:tcPr>
            <w:tcW w:w="48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263</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3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Beginning in 2014, Fandango, our movie ticketing and entertainment business that was previously presented in our Cable Networks segment, is now presented in the Filmed Entertainment segment to reflect the change in our current management reporting presentation. Due to immateriality, prior period amounts have not been adjusted. The change in presentation resulted in the reclassification of $195 million of goodwill from our Cable Networks segment to our Filmed Entertainment segment.</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25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121" w:lineRule="exact"/>
        <w:rPr>
          <w:rFonts w:ascii="Arial" w:cs="Arial" w:eastAsia="Arial" w:hAnsi="Arial"/>
          <w:sz w:val="18"/>
          <w:szCs w:val="18"/>
          <w:b w:val="1"/>
          <w:bCs w:val="1"/>
          <w:color w:val="auto"/>
        </w:rPr>
      </w:pPr>
    </w:p>
    <w:p>
      <w:pPr>
        <w:ind w:left="700" w:hanging="236"/>
        <w:spacing w:after="0"/>
        <w:tabs>
          <w:tab w:leader="none" w:pos="700"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Amendment and Restatement of Plan</w:t>
      </w:r>
      <w:r>
        <w:rPr>
          <w:rFonts w:ascii="Arial" w:cs="Arial" w:eastAsia="Arial" w:hAnsi="Arial"/>
          <w:sz w:val="17"/>
          <w:szCs w:val="17"/>
          <w:color w:val="auto"/>
        </w:rPr>
        <w:t>. COMCAST CORPORATION, a Pennsylvania corporation, hereby amends and restates the Comcast</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Corporation 2002 Restricted Stock Plan (the “Plan”).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90" w:lineRule="exact"/>
        <w:rPr>
          <w:rFonts w:ascii="Arial" w:cs="Arial" w:eastAsia="Arial" w:hAnsi="Arial"/>
          <w:sz w:val="17"/>
          <w:szCs w:val="17"/>
          <w:color w:val="auto"/>
        </w:rPr>
      </w:pPr>
    </w:p>
    <w:p>
      <w:pPr>
        <w:ind w:right="20" w:firstLine="464"/>
        <w:spacing w:after="0" w:line="291" w:lineRule="auto"/>
        <w:tabs>
          <w:tab w:leader="none" w:pos="711"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67" w:lineRule="exact"/>
        <w:rPr>
          <w:rFonts w:ascii="Arial" w:cs="Arial" w:eastAsia="Arial" w:hAnsi="Arial"/>
          <w:sz w:val="16"/>
          <w:szCs w:val="16"/>
          <w:color w:val="auto"/>
        </w:rPr>
      </w:pPr>
    </w:p>
    <w:p>
      <w:pPr>
        <w:ind w:left="700" w:hanging="236"/>
        <w:spacing w:after="0"/>
        <w:tabs>
          <w:tab w:leader="none" w:pos="70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Reservation of Right to Amend to Comply with Section 409A</w:t>
      </w:r>
      <w:r>
        <w:rPr>
          <w:rFonts w:ascii="Arial" w:cs="Arial" w:eastAsia="Arial" w:hAnsi="Arial"/>
          <w:sz w:val="16"/>
          <w:szCs w:val="16"/>
          <w:color w:val="auto"/>
        </w:rPr>
        <w:t>. In addition to the powers reserved to the Board and the Committee under Paragraph</w:t>
      </w:r>
    </w:p>
    <w:p>
      <w:pPr>
        <w:spacing w:after="0" w:line="46" w:lineRule="exact"/>
        <w:rPr>
          <w:rFonts w:ascii="Arial" w:cs="Arial" w:eastAsia="Arial" w:hAnsi="Arial"/>
          <w:sz w:val="16"/>
          <w:szCs w:val="16"/>
          <w:color w:val="auto"/>
        </w:rPr>
      </w:pPr>
    </w:p>
    <w:p>
      <w:pPr>
        <w:ind w:right="500" w:firstLine="8"/>
        <w:spacing w:after="0" w:line="261" w:lineRule="auto"/>
        <w:tabs>
          <w:tab w:leader="none" w:pos="2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the Plan, the Board and the Committee reserve the right to amend the Plan, either retroactively or prospectively, in whatever respect is required to achieve and maintain compliance with the requirements of the Section 409A.</w:t>
      </w:r>
    </w:p>
    <w:p>
      <w:pPr>
        <w:spacing w:after="0" w:line="179" w:lineRule="exact"/>
        <w:rPr>
          <w:rFonts w:ascii="Arial" w:cs="Arial" w:eastAsia="Arial" w:hAnsi="Arial"/>
          <w:sz w:val="18"/>
          <w:szCs w:val="18"/>
          <w:color w:val="auto"/>
        </w:rPr>
      </w:pPr>
    </w:p>
    <w:p>
      <w:pPr>
        <w:ind w:right="20" w:firstLine="464"/>
        <w:spacing w:after="0" w:line="277" w:lineRule="auto"/>
        <w:tabs>
          <w:tab w:leader="none" w:pos="711"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Deferral Provisions of Plan Unfunded and Limited to Select Group of Management or Highly Compensated Employees</w:t>
      </w:r>
      <w:r>
        <w:rPr>
          <w:rFonts w:ascii="Arial" w:cs="Arial" w:eastAsia="Arial" w:hAnsi="Arial"/>
          <w:sz w:val="17"/>
          <w:szCs w:val="17"/>
          <w:b w:val="1"/>
          <w:bCs w:val="1"/>
          <w:color w:val="auto"/>
        </w:rPr>
        <w:t>.</w:t>
      </w:r>
      <w:r>
        <w:rPr>
          <w:rFonts w:ascii="Arial" w:cs="Arial" w:eastAsia="Arial" w:hAnsi="Arial"/>
          <w:sz w:val="17"/>
          <w:szCs w:val="17"/>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172" w:lineRule="exact"/>
        <w:rPr>
          <w:rFonts w:ascii="Arial" w:cs="Arial" w:eastAsia="Arial" w:hAnsi="Arial"/>
          <w:sz w:val="17"/>
          <w:szCs w:val="17"/>
          <w:color w:val="auto"/>
        </w:rPr>
      </w:pPr>
    </w:p>
    <w:p>
      <w:pPr>
        <w:ind w:right="100" w:firstLine="464"/>
        <w:spacing w:after="0" w:line="277" w:lineRule="auto"/>
        <w:tabs>
          <w:tab w:leader="none" w:pos="70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Committee.</w:t>
      </w:r>
    </w:p>
    <w:p>
      <w:pPr>
        <w:sectPr>
          <w:pgSz w:w="11900" w:h="16838" w:orient="portrait"/>
          <w:cols w:equalWidth="0" w:num="1">
            <w:col w:w="11420"/>
          </w:cols>
          <w:pgMar w:left="240" w:top="121" w:right="239" w:bottom="1440" w:gutter="0" w:footer="0" w:header="0"/>
        </w:sectPr>
      </w:pPr>
    </w:p>
    <w:bookmarkStart w:id="53" w:name="page54"/>
    <w:bookmarkEnd w:id="53"/>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p>
    <w:p>
      <w:pPr>
        <w:spacing w:after="0" w:line="121" w:lineRule="exact"/>
        <w:rPr>
          <w:rFonts w:ascii="Arial" w:cs="Arial" w:eastAsia="Arial" w:hAnsi="Arial"/>
          <w:sz w:val="18"/>
          <w:szCs w:val="18"/>
          <w:b w:val="1"/>
          <w:bCs w:val="1"/>
          <w:color w:val="auto"/>
        </w:rPr>
      </w:pPr>
    </w:p>
    <w:p>
      <w:pPr>
        <w:ind w:left="692" w:hanging="236"/>
        <w:spacing w:after="0"/>
        <w:tabs>
          <w:tab w:leader="none" w:pos="6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 w:right="60" w:firstLine="464"/>
        <w:spacing w:after="0" w:line="302" w:lineRule="auto"/>
        <w:tabs>
          <w:tab w:leader="none" w:pos="703" w:val="left"/>
        </w:tabs>
        <w:numPr>
          <w:ilvl w:val="1"/>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154" w:lineRule="exact"/>
        <w:rPr>
          <w:rFonts w:ascii="Arial" w:cs="Arial" w:eastAsia="Arial" w:hAnsi="Arial"/>
          <w:sz w:val="16"/>
          <w:szCs w:val="16"/>
          <w:color w:val="auto"/>
        </w:rPr>
      </w:pPr>
    </w:p>
    <w:p>
      <w:pPr>
        <w:ind w:left="692" w:hanging="236"/>
        <w:spacing w:after="0"/>
        <w:tabs>
          <w:tab w:leader="none" w:pos="6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225" w:lineRule="exact"/>
        <w:rPr>
          <w:rFonts w:ascii="Arial" w:cs="Arial" w:eastAsia="Arial" w:hAnsi="Arial"/>
          <w:sz w:val="18"/>
          <w:szCs w:val="18"/>
          <w:color w:val="auto"/>
        </w:rPr>
      </w:pPr>
    </w:p>
    <w:p>
      <w:pPr>
        <w:jc w:val="both"/>
        <w:ind w:left="-8" w:right="80" w:firstLine="464"/>
        <w:spacing w:after="0" w:line="259" w:lineRule="auto"/>
        <w:tabs>
          <w:tab w:leader="none" w:pos="7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ind w:left="-8" w:right="320" w:firstLine="464"/>
        <w:spacing w:after="0" w:line="277" w:lineRule="auto"/>
        <w:tabs>
          <w:tab w:leader="none" w:pos="6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70" w:lineRule="exact"/>
        <w:rPr>
          <w:rFonts w:ascii="Arial" w:cs="Arial" w:eastAsia="Arial" w:hAnsi="Arial"/>
          <w:sz w:val="18"/>
          <w:szCs w:val="18"/>
          <w:color w:val="auto"/>
        </w:rPr>
      </w:pPr>
    </w:p>
    <w:p>
      <w:pPr>
        <w:ind w:left="672" w:hanging="216"/>
        <w:spacing w:after="0"/>
        <w:tabs>
          <w:tab w:leader="none" w:pos="672"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2"/>
          <w:numId w:val="15"/>
        </w:numPr>
        <w:rPr>
          <w:rFonts w:ascii="Arial" w:cs="Arial" w:eastAsia="Arial" w:hAnsi="Arial"/>
          <w:sz w:val="18"/>
          <w:szCs w:val="18"/>
          <w:color w:val="auto"/>
        </w:rPr>
      </w:pPr>
      <w:r>
        <w:rPr>
          <w:rFonts w:ascii="Arial" w:cs="Arial" w:eastAsia="Arial" w:hAnsi="Arial"/>
          <w:sz w:val="18"/>
          <w:szCs w:val="18"/>
          <w:color w:val="auto"/>
        </w:rPr>
        <w:t>Except as otherwise provided in Paragraph 2(f)(ii):</w:t>
      </w:r>
    </w:p>
    <w:p>
      <w:pPr>
        <w:spacing w:after="0" w:line="130" w:lineRule="exact"/>
        <w:rPr>
          <w:rFonts w:ascii="Arial" w:cs="Arial" w:eastAsia="Arial" w:hAnsi="Arial"/>
          <w:sz w:val="18"/>
          <w:szCs w:val="18"/>
          <w:color w:val="auto"/>
        </w:rPr>
      </w:pPr>
    </w:p>
    <w:p>
      <w:pPr>
        <w:ind w:left="1912" w:hanging="440"/>
        <w:spacing w:after="0" w:line="276" w:lineRule="auto"/>
        <w:tabs>
          <w:tab w:leader="none" w:pos="1912" w:val="left"/>
        </w:tabs>
        <w:numPr>
          <w:ilvl w:val="3"/>
          <w:numId w:val="15"/>
        </w:numPr>
        <w:rPr>
          <w:rFonts w:ascii="Arial" w:cs="Arial" w:eastAsia="Arial" w:hAnsi="Arial"/>
          <w:sz w:val="17"/>
          <w:szCs w:val="17"/>
          <w:color w:val="auto"/>
        </w:rPr>
      </w:pPr>
      <w:r>
        <w:rPr>
          <w:rFonts w:ascii="Arial" w:cs="Arial" w:eastAsia="Arial" w:hAnsi="Arial"/>
          <w:sz w:val="17"/>
          <w:szCs w:val="17"/>
          <w:color w:val="auto"/>
        </w:rPr>
        <w:t>The Applicable Interest Rate with respect to amounts credited to the Income Fund that are attributable to (1) dividends and other distributions credited with respect to Deferred Stock Units that are deferred pursuant to Initial Elections made before January 1, 2010 and (2) Diversification Elections and Special Diversification Elections made before January 1, 2010 shall be the interest rate that, when compounded annually pursuant to rules established by the Committee from time to time, is mathematically equivalent to 8% (0.08) per annum, or such other interest rate established by the Committee from time to time.</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0" w:right="259" w:bottom="1440" w:gutter="0" w:footer="0" w:header="0"/>
        </w:sectPr>
      </w:pPr>
    </w:p>
    <w:bookmarkStart w:id="54" w:name="page55"/>
    <w:bookmarkEnd w:id="54"/>
    <w:p>
      <w:pPr>
        <w:ind w:left="1007" w:hanging="440"/>
        <w:spacing w:after="0" w:line="255" w:lineRule="auto"/>
        <w:tabs>
          <w:tab w:leader="none" w:pos="1007"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Applicable Interest Rate with respect to amounts credited to the Income Fund that are attributable to (1) dividends and other distributions credited with respect to Deferred Stock Units that are deferred pursuant to Initial Elections made on or after January 1, 2010 and before January 1, 2014 and (2) Diversification Elections and Special Diversification Elections made on or after January 1, 2010 and before January 1, 2014, shall be the interest rate that, when compounded annually pursuant to rules established by the Committee from time to time, is mathematically equivalent to 12% per annum, or such other interest rate established by the Committee from time to time.</w:t>
      </w:r>
    </w:p>
    <w:p>
      <w:pPr>
        <w:spacing w:after="0" w:line="98" w:lineRule="exact"/>
        <w:rPr>
          <w:rFonts w:ascii="Arial" w:cs="Arial" w:eastAsia="Arial" w:hAnsi="Arial"/>
          <w:sz w:val="18"/>
          <w:szCs w:val="18"/>
          <w:color w:val="auto"/>
        </w:rPr>
      </w:pPr>
    </w:p>
    <w:p>
      <w:pPr>
        <w:ind w:left="1007" w:right="80" w:hanging="440"/>
        <w:spacing w:after="0" w:line="291" w:lineRule="auto"/>
        <w:tabs>
          <w:tab w:leader="none" w:pos="100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Effective with respect to amounts credited to the Income Fund that are attributable to (1) dividends and other distributions credited with respect to Deferred Stock Units that are deferred pursuant to Initial Elections made on or after January 1, 2014, and</w:t>
      </w:r>
    </w:p>
    <w:p>
      <w:pPr>
        <w:ind w:left="1007" w:right="40"/>
        <w:spacing w:after="0" w:line="287" w:lineRule="auto"/>
        <w:rPr>
          <w:rFonts w:ascii="Arial" w:cs="Arial" w:eastAsia="Arial" w:hAnsi="Arial"/>
          <w:sz w:val="16"/>
          <w:szCs w:val="16"/>
          <w:color w:val="auto"/>
        </w:rPr>
      </w:pPr>
      <w:r>
        <w:rPr>
          <w:rFonts w:ascii="Arial" w:cs="Arial" w:eastAsia="Arial" w:hAnsi="Arial"/>
          <w:sz w:val="16"/>
          <w:szCs w:val="16"/>
          <w:color w:val="auto"/>
        </w:rPr>
        <w:t>(2) Diversification Elections and Special Diversification Elections made on or after January 1, 2014, the “Applicable Interest Rate” shall be the Applicable Interest Rate that applies to “Protected Benefits” under the Comcast Corporation 2005 Deferred Compensation Plan (the “2005 Deferred Compensation Plan”) if, as of the September 30</w:t>
      </w:r>
      <w:r>
        <w:rPr>
          <w:rFonts w:ascii="Arial" w:cs="Arial" w:eastAsia="Arial" w:hAnsi="Arial"/>
          <w:sz w:val="13"/>
          <w:szCs w:val="13"/>
          <w:color w:val="auto"/>
        </w:rPr>
        <w:t>th</w:t>
      </w:r>
      <w:r>
        <w:rPr>
          <w:rFonts w:ascii="Arial" w:cs="Arial" w:eastAsia="Arial" w:hAnsi="Arial"/>
          <w:sz w:val="16"/>
          <w:szCs w:val="16"/>
          <w:color w:val="auto"/>
        </w:rPr>
        <w:t xml:space="preserve"> immediately preceding the Plan Year to which the Initial Election or Diversification Election applies, the sum of (x) the Grantee’s Account under the 2005 Deferred Compensation Plan, plus (y) the Grantee’s Account under the Comcast Corporation 2002 Deferred Compensation Plan (the “2002 Deferred Compensation Plan”), plus (z) the portion of the Grantee’s Account under this Plan credited to the Income Fund, is less than the High Water Mark. If the conditions described in the preceding sentence do not apply, the “Applicable Interest Rate” shall be the Applicable Interest Rate that applies under the 2005 Deferred Compensation Plan to amounts credited pursuant to Initial Elections with respect to compensation earned after December 31, 2013, that are not Protected Benefits.</w:t>
      </w:r>
    </w:p>
    <w:p>
      <w:pPr>
        <w:spacing w:after="0" w:line="71" w:lineRule="exact"/>
        <w:rPr>
          <w:rFonts w:ascii="Arial" w:cs="Arial" w:eastAsia="Arial" w:hAnsi="Arial"/>
          <w:sz w:val="16"/>
          <w:szCs w:val="16"/>
          <w:color w:val="auto"/>
        </w:rPr>
      </w:pPr>
    </w:p>
    <w:p>
      <w:pPr>
        <w:ind w:left="567" w:right="100" w:hanging="567"/>
        <w:spacing w:after="0" w:line="259" w:lineRule="auto"/>
        <w:tabs>
          <w:tab w:leader="none" w:pos="5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w:t>
      </w:r>
    </w:p>
    <w:p>
      <w:pPr>
        <w:spacing w:after="0" w:line="119" w:lineRule="exact"/>
        <w:rPr>
          <w:sz w:val="20"/>
          <w:szCs w:val="20"/>
          <w:color w:val="auto"/>
        </w:rPr>
      </w:pPr>
    </w:p>
    <w:p>
      <w:pPr>
        <w:ind w:left="468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7"/>
          </w:cols>
          <w:pgMar w:left="1153" w:top="274" w:right="239" w:bottom="1440" w:gutter="0" w:footer="0" w:header="0"/>
        </w:sectPr>
      </w:pPr>
    </w:p>
    <w:bookmarkStart w:id="55" w:name="page56"/>
    <w:bookmarkEnd w:id="55"/>
    <w:p>
      <w:pPr>
        <w:ind w:left="1440"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 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spacing w:after="0" w:line="178" w:lineRule="exact"/>
        <w:rPr>
          <w:sz w:val="20"/>
          <w:szCs w:val="20"/>
          <w:color w:val="auto"/>
        </w:rPr>
      </w:pPr>
    </w:p>
    <w:p>
      <w:pPr>
        <w:ind w:left="-40" w:right="180" w:firstLine="464"/>
        <w:spacing w:after="0" w:line="277" w:lineRule="auto"/>
        <w:tabs>
          <w:tab w:leader="none" w:pos="6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LLC) by the Company.</w:t>
      </w:r>
    </w:p>
    <w:p>
      <w:pPr>
        <w:spacing w:after="0" w:line="170" w:lineRule="exact"/>
        <w:rPr>
          <w:rFonts w:ascii="Arial" w:cs="Arial" w:eastAsia="Arial" w:hAnsi="Arial"/>
          <w:sz w:val="18"/>
          <w:szCs w:val="18"/>
          <w:color w:val="auto"/>
        </w:rPr>
      </w:pPr>
    </w:p>
    <w:p>
      <w:pPr>
        <w:ind w:left="680" w:hanging="256"/>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225" w:lineRule="exact"/>
        <w:rPr>
          <w:rFonts w:ascii="Arial" w:cs="Arial" w:eastAsia="Arial" w:hAnsi="Arial"/>
          <w:sz w:val="18"/>
          <w:szCs w:val="18"/>
          <w:color w:val="auto"/>
        </w:rPr>
      </w:pPr>
    </w:p>
    <w:p>
      <w:pPr>
        <w:ind w:left="640" w:hanging="2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640" w:hanging="2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1440" w:hanging="567"/>
        <w:spacing w:after="0" w:line="257" w:lineRule="auto"/>
        <w:tabs>
          <w:tab w:leader="none" w:pos="1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93" w:lineRule="exact"/>
        <w:rPr>
          <w:rFonts w:ascii="Arial" w:cs="Arial" w:eastAsia="Arial" w:hAnsi="Arial"/>
          <w:sz w:val="18"/>
          <w:szCs w:val="18"/>
          <w:color w:val="auto"/>
        </w:rPr>
      </w:pPr>
    </w:p>
    <w:p>
      <w:pPr>
        <w:ind w:left="1440" w:right="140" w:hanging="567"/>
        <w:spacing w:after="0" w:line="308" w:lineRule="auto"/>
        <w:tabs>
          <w:tab w:leader="none" w:pos="14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146" w:lineRule="exact"/>
        <w:rPr>
          <w:rFonts w:ascii="Arial" w:cs="Arial" w:eastAsia="Arial" w:hAnsi="Arial"/>
          <w:sz w:val="17"/>
          <w:szCs w:val="17"/>
          <w:color w:val="auto"/>
        </w:rPr>
      </w:pPr>
    </w:p>
    <w:p>
      <w:pPr>
        <w:ind w:left="680" w:hanging="256"/>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40" w:right="320" w:firstLine="464"/>
        <w:spacing w:after="0" w:line="259" w:lineRule="auto"/>
        <w:tabs>
          <w:tab w:leader="none" w:pos="6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74" w:right="279" w:bottom="1440" w:gutter="0" w:footer="0" w:header="0"/>
        </w:sectPr>
      </w:pPr>
    </w:p>
    <w:bookmarkStart w:id="56" w:name="page57"/>
    <w:bookmarkEnd w:id="56"/>
    <w:p>
      <w:pPr>
        <w:ind w:right="140" w:firstLine="464"/>
        <w:spacing w:after="0" w:line="308" w:lineRule="auto"/>
        <w:tabs>
          <w:tab w:leader="none" w:pos="761"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225"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70" w:lineRule="exact"/>
        <w:rPr>
          <w:rFonts w:ascii="Arial" w:cs="Arial" w:eastAsia="Arial" w:hAnsi="Arial"/>
          <w:sz w:val="18"/>
          <w:szCs w:val="18"/>
          <w:color w:val="auto"/>
        </w:rPr>
      </w:pPr>
    </w:p>
    <w:p>
      <w:pPr>
        <w:ind w:firstLine="464"/>
        <w:spacing w:after="0" w:line="289" w:lineRule="auto"/>
        <w:tabs>
          <w:tab w:leader="none" w:pos="7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or Special Common Stock after December 31, 2011 shall be credited with interest at the Applicable Interest Rate commencing as of the date on which dividends or other distributions are paid.</w:t>
      </w:r>
    </w:p>
    <w:p>
      <w:pPr>
        <w:spacing w:after="0" w:line="166" w:lineRule="exact"/>
        <w:rPr>
          <w:rFonts w:ascii="Arial" w:cs="Arial" w:eastAsia="Arial" w:hAnsi="Arial"/>
          <w:sz w:val="16"/>
          <w:szCs w:val="16"/>
          <w:color w:val="auto"/>
        </w:rPr>
      </w:pP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130" w:lineRule="exact"/>
        <w:rPr>
          <w:rFonts w:ascii="Arial" w:cs="Arial" w:eastAsia="Arial" w:hAnsi="Arial"/>
          <w:sz w:val="18"/>
          <w:szCs w:val="18"/>
          <w:color w:val="auto"/>
        </w:rPr>
      </w:pPr>
    </w:p>
    <w:p>
      <w:pPr>
        <w:ind w:left="1920" w:right="180" w:hanging="440"/>
        <w:spacing w:after="0" w:line="277" w:lineRule="auto"/>
        <w:tabs>
          <w:tab w:leader="none" w:pos="19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(x) the date on which an Initial Election is filed with the Committee; and (y) the first day of the calendar year in which such Initial Election filed.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7" w:name="page58"/>
    <w:bookmarkEnd w:id="57"/>
    <w:p>
      <w:pPr>
        <w:ind w:left="1920" w:right="220" w:hanging="440"/>
        <w:spacing w:after="0" w:line="308" w:lineRule="auto"/>
        <w:tabs>
          <w:tab w:leader="none" w:pos="1920" w:val="left"/>
        </w:tabs>
        <w:numPr>
          <w:ilvl w:val="1"/>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Eligible Employee whose Annual Rate of Pay is $125,000 as of each of: (x) June 30, 2002; (y) the date on which an Initial Election is filed with the Committee; and (z) the first day of each calendar year beginning after December 31, 2002.</w:t>
      </w:r>
    </w:p>
    <w:p>
      <w:pPr>
        <w:spacing w:after="0" w:line="51" w:lineRule="exact"/>
        <w:rPr>
          <w:rFonts w:ascii="Arial" w:cs="Arial" w:eastAsia="Arial" w:hAnsi="Arial"/>
          <w:sz w:val="17"/>
          <w:szCs w:val="17"/>
          <w:color w:val="auto"/>
        </w:rPr>
      </w:pPr>
    </w:p>
    <w:p>
      <w:pPr>
        <w:ind w:left="1920" w:hanging="440"/>
        <w:spacing w:after="0"/>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130" w:lineRule="exact"/>
        <w:rPr>
          <w:rFonts w:ascii="Arial" w:cs="Arial" w:eastAsia="Arial" w:hAnsi="Arial"/>
          <w:sz w:val="18"/>
          <w:szCs w:val="18"/>
          <w:color w:val="auto"/>
        </w:rPr>
      </w:pPr>
    </w:p>
    <w:p>
      <w:pPr>
        <w:ind w:left="1920" w:right="240" w:hanging="440"/>
        <w:spacing w:after="0" w:line="277" w:lineRule="auto"/>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on and after January 1, 2014:</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$250,000 or more as of both: (x) the date on which an Initial Election is filed with the Committee; and (y) the first day of the calendar year in which such Initial Election filed.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130" w:lineRule="exact"/>
        <w:rPr>
          <w:rFonts w:ascii="Arial" w:cs="Arial" w:eastAsia="Arial" w:hAnsi="Arial"/>
          <w:sz w:val="18"/>
          <w:szCs w:val="18"/>
          <w:color w:val="auto"/>
        </w:rPr>
      </w:pPr>
    </w:p>
    <w:p>
      <w:pPr>
        <w:ind w:left="1920" w:right="240" w:hanging="440"/>
        <w:spacing w:after="0" w:line="277"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81" w:lineRule="exact"/>
        <w:rPr>
          <w:sz w:val="20"/>
          <w:szCs w:val="20"/>
          <w:color w:val="auto"/>
        </w:rPr>
      </w:pPr>
    </w:p>
    <w:p>
      <w:pPr>
        <w:ind w:left="680" w:hanging="216"/>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1480" w:right="20" w:hanging="567"/>
        <w:spacing w:after="0" w:line="264"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 calendar year period; or</w:t>
      </w:r>
    </w:p>
    <w:p>
      <w:pPr>
        <w:spacing w:after="0" w:line="86" w:lineRule="exact"/>
        <w:rPr>
          <w:rFonts w:ascii="Arial" w:cs="Arial" w:eastAsia="Arial" w:hAnsi="Arial"/>
          <w:sz w:val="18"/>
          <w:szCs w:val="18"/>
          <w:color w:val="auto"/>
        </w:rPr>
      </w:pPr>
    </w:p>
    <w:p>
      <w:pPr>
        <w:ind w:left="1480" w:right="140" w:hanging="567"/>
        <w:spacing w:after="0" w:line="277"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different from the definition in Paragraph 2(u)(i) above, “Disability” as it may be defined in such Grantee’s employment agreement between the Grantee and the Company or an Affiliate, if any.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74" w:right="419" w:bottom="1440" w:gutter="0" w:footer="0" w:header="0"/>
        </w:sectPr>
      </w:pPr>
    </w:p>
    <w:bookmarkStart w:id="58" w:name="page59"/>
    <w:bookmarkEnd w:id="58"/>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225" w:lineRule="exact"/>
        <w:rPr>
          <w:rFonts w:ascii="Arial" w:cs="Arial" w:eastAsia="Arial" w:hAnsi="Arial"/>
          <w:sz w:val="18"/>
          <w:szCs w:val="18"/>
          <w:color w:val="auto"/>
        </w:rPr>
      </w:pPr>
    </w:p>
    <w:p>
      <w:pPr>
        <w:ind w:right="100" w:firstLine="464"/>
        <w:spacing w:after="0" w:line="264" w:lineRule="auto"/>
        <w:tabs>
          <w:tab w:leader="none" w:pos="7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or a Subsequent Election.</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1480" w:right="320" w:hanging="567"/>
        <w:spacing w:after="0" w:line="342" w:lineRule="auto"/>
        <w:tabs>
          <w:tab w:leader="none" w:pos="14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29" w:lineRule="exact"/>
        <w:rPr>
          <w:rFonts w:ascii="Arial" w:cs="Arial" w:eastAsia="Arial" w:hAnsi="Arial"/>
          <w:sz w:val="16"/>
          <w:szCs w:val="16"/>
          <w:color w:val="auto"/>
        </w:rPr>
      </w:pPr>
    </w:p>
    <w:p>
      <w:pPr>
        <w:ind w:left="1480" w:right="40" w:hanging="567"/>
        <w:spacing w:after="0" w:line="264"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Shares are not so listed nor trades of Shares so reported, Fair Market Value shall be determined by the Committee in good faith.</w:t>
      </w:r>
    </w:p>
    <w:p>
      <w:pPr>
        <w:spacing w:after="0" w:line="237" w:lineRule="exact"/>
        <w:rPr>
          <w:sz w:val="20"/>
          <w:szCs w:val="20"/>
          <w:color w:val="auto"/>
        </w:rPr>
      </w:pPr>
    </w:p>
    <w:p>
      <w:pPr>
        <w:ind w:firstLine="464"/>
        <w:spacing w:after="0" w:line="308" w:lineRule="auto"/>
        <w:tabs>
          <w:tab w:leader="none" w:pos="781"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Family Member</w:t>
      </w:r>
      <w:r>
        <w:rPr>
          <w:rFonts w:ascii="Arial" w:cs="Arial" w:eastAsia="Arial" w:hAnsi="Arial"/>
          <w:sz w:val="17"/>
          <w:szCs w:val="17"/>
          <w:color w:val="auto"/>
        </w:rPr>
        <w:t>” has the meaning given to such term in General Instructions A.1(a)(5) to Form S-8 under the Securities Act of 1933, as amended, and any successor thereto.</w:t>
      </w:r>
    </w:p>
    <w:p>
      <w:pPr>
        <w:spacing w:after="0" w:line="146" w:lineRule="exact"/>
        <w:rPr>
          <w:rFonts w:ascii="Arial" w:cs="Arial" w:eastAsia="Arial" w:hAnsi="Arial"/>
          <w:sz w:val="17"/>
          <w:szCs w:val="17"/>
          <w:color w:val="auto"/>
        </w:rPr>
      </w:pPr>
    </w:p>
    <w:p>
      <w:pPr>
        <w:ind w:right="240" w:firstLine="464"/>
        <w:spacing w:after="0" w:line="277" w:lineRule="auto"/>
        <w:tabs>
          <w:tab w:leader="none" w:pos="8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1(b) that were deferred under the Plan and that were earned and vested before January 1, 2005.</w:t>
      </w:r>
    </w:p>
    <w:p>
      <w:pPr>
        <w:spacing w:after="0" w:line="170" w:lineRule="exact"/>
        <w:rPr>
          <w:rFonts w:ascii="Arial" w:cs="Arial" w:eastAsia="Arial" w:hAnsi="Arial"/>
          <w:sz w:val="18"/>
          <w:szCs w:val="18"/>
          <w:color w:val="auto"/>
        </w:rPr>
      </w:pPr>
    </w:p>
    <w:p>
      <w:pPr>
        <w:ind w:left="780" w:hanging="31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Grantee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9" w:name="page60"/>
    <w:bookmarkEnd w:id="59"/>
    <w:p>
      <w:pPr>
        <w:ind w:right="2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73" w:lineRule="exact"/>
        <w:rPr>
          <w:sz w:val="20"/>
          <w:szCs w:val="20"/>
          <w:color w:val="auto"/>
        </w:rPr>
      </w:pPr>
    </w:p>
    <w:p>
      <w:pPr>
        <w:ind w:left="780" w:hanging="316"/>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High Water Mark</w:t>
      </w:r>
      <w:r>
        <w:rPr>
          <w:rFonts w:ascii="Arial" w:cs="Arial" w:eastAsia="Arial" w:hAnsi="Arial"/>
          <w:sz w:val="17"/>
          <w:szCs w:val="17"/>
          <w:color w:val="auto"/>
        </w:rPr>
        <w:t>” means:</w:t>
      </w:r>
    </w:p>
    <w:p>
      <w:pPr>
        <w:spacing w:after="0" w:line="142" w:lineRule="exact"/>
        <w:rPr>
          <w:rFonts w:ascii="Arial" w:cs="Arial" w:eastAsia="Arial" w:hAnsi="Arial"/>
          <w:sz w:val="17"/>
          <w:szCs w:val="17"/>
          <w:color w:val="auto"/>
        </w:rPr>
      </w:pPr>
    </w:p>
    <w:p>
      <w:pPr>
        <w:ind w:left="1480" w:right="60" w:hanging="567"/>
        <w:spacing w:after="0" w:line="264"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With respect to amounts credited to the Income Fund on account of Diversification Elections made in 2014, the highest of the sum of the amounts described in (A), (B) and (C) below as of the last day of any calendar quarter beginning after December 31, 2008 and before October 1, 2013:</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Grantee’s Account under the 2005 Deferred Compensation Plan; plus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Grantee’s Account under the 2002 Deferred Compensation Plan; plus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portion of the Grantee’s Account under this Plan credited to the Income Fund.</w:t>
      </w:r>
    </w:p>
    <w:p>
      <w:pPr>
        <w:spacing w:after="0" w:line="130" w:lineRule="exact"/>
        <w:rPr>
          <w:rFonts w:ascii="Arial" w:cs="Arial" w:eastAsia="Arial" w:hAnsi="Arial"/>
          <w:sz w:val="18"/>
          <w:szCs w:val="18"/>
          <w:color w:val="auto"/>
        </w:rPr>
      </w:pPr>
    </w:p>
    <w:p>
      <w:pPr>
        <w:jc w:val="both"/>
        <w:ind w:left="1480" w:right="40" w:hanging="567"/>
        <w:spacing w:after="0" w:line="312" w:lineRule="auto"/>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With respect to amounts credited to the Income Fund on account of Diversification Elections and Special Diversification Elections made after 2014, the sum of (x) plus (y) where (x) equals the highest of the sum of the amounts described in Section 2(ee)(i)(A), (B) and (C) as of the last day of any calendar quarter beginning after December 31, 2008 and before January 1, 2014, and (y) equals the sum of:</w:t>
      </w:r>
    </w:p>
    <w:p>
      <w:pPr>
        <w:spacing w:after="0" w:line="52" w:lineRule="exact"/>
        <w:rPr>
          <w:rFonts w:ascii="Arial" w:cs="Arial" w:eastAsia="Arial" w:hAnsi="Arial"/>
          <w:sz w:val="16"/>
          <w:szCs w:val="16"/>
          <w:color w:val="auto"/>
        </w:rPr>
      </w:pPr>
    </w:p>
    <w:p>
      <w:pPr>
        <w:ind w:left="1920" w:right="140" w:hanging="440"/>
        <w:spacing w:after="0" w:line="264"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amount credited to a 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86" w:lineRule="exact"/>
        <w:rPr>
          <w:rFonts w:ascii="Arial" w:cs="Arial" w:eastAsia="Arial" w:hAnsi="Arial"/>
          <w:sz w:val="18"/>
          <w:szCs w:val="18"/>
          <w:color w:val="auto"/>
        </w:rPr>
      </w:pPr>
    </w:p>
    <w:p>
      <w:pPr>
        <w:ind w:left="1920" w:hanging="440"/>
        <w:spacing w:after="0" w:line="308" w:lineRule="auto"/>
        <w:tabs>
          <w:tab w:leader="none" w:pos="1920" w:val="left"/>
        </w:tabs>
        <w:numPr>
          <w:ilvl w:val="2"/>
          <w:numId w:val="25"/>
        </w:numPr>
        <w:rPr>
          <w:rFonts w:ascii="Arial" w:cs="Arial" w:eastAsia="Arial" w:hAnsi="Arial"/>
          <w:sz w:val="17"/>
          <w:szCs w:val="17"/>
          <w:color w:val="auto"/>
        </w:rPr>
      </w:pPr>
      <w:r>
        <w:rPr>
          <w:rFonts w:ascii="Arial" w:cs="Arial" w:eastAsia="Arial" w:hAnsi="Arial"/>
          <w:sz w:val="17"/>
          <w:szCs w:val="17"/>
          <w:color w:val="auto"/>
        </w:rPr>
        <w:t>The deferred portion of a Grantee’s cash bonus award earned for 2013 and payable, but for the Grantee’s deferral election under the 2005 Deferred Compensation Plan after December 31, 2013 and on or before September 30, 2014; plus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60" w:name="page61"/>
    <w:bookmarkEnd w:id="60"/>
    <w:p>
      <w:pPr>
        <w:ind w:left="1900" w:right="460" w:hanging="440"/>
        <w:spacing w:after="0" w:line="264" w:lineRule="auto"/>
        <w:tabs>
          <w:tab w:leader="none" w:pos="1900" w:val="left"/>
        </w:tabs>
        <w:numPr>
          <w:ilvl w:val="2"/>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credited to the Income Fund pursuant to a Diversification Election or Special Diversification Election made by a Grantee before January 1, 2014 with respect to Restricted Stock Units that vest after December 31, 2013 and on or before September 30, 2014.</w:t>
      </w:r>
    </w:p>
    <w:p>
      <w:pPr>
        <w:spacing w:after="0" w:line="181" w:lineRule="exact"/>
        <w:rPr>
          <w:rFonts w:ascii="Arial" w:cs="Arial" w:eastAsia="Arial" w:hAnsi="Arial"/>
          <w:sz w:val="18"/>
          <w:szCs w:val="18"/>
          <w:color w:val="auto"/>
        </w:rPr>
      </w:pPr>
    </w:p>
    <w:p>
      <w:pPr>
        <w:ind w:left="-20" w:firstLine="464"/>
        <w:spacing w:after="0" w:line="293" w:lineRule="auto"/>
        <w:tabs>
          <w:tab w:leader="none" w:pos="718"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participant’s account under such 2005 Deferred Compensation Plan.</w:t>
      </w:r>
    </w:p>
    <w:p>
      <w:pPr>
        <w:spacing w:after="0" w:line="164" w:lineRule="exact"/>
        <w:rPr>
          <w:rFonts w:ascii="Arial" w:cs="Arial" w:eastAsia="Arial" w:hAnsi="Arial"/>
          <w:sz w:val="16"/>
          <w:szCs w:val="16"/>
          <w:color w:val="auto"/>
        </w:rPr>
      </w:pPr>
    </w:p>
    <w:p>
      <w:pPr>
        <w:ind w:left="-20" w:right="140" w:firstLine="464"/>
        <w:spacing w:after="0" w:line="264" w:lineRule="auto"/>
        <w:tabs>
          <w:tab w:leader="none" w:pos="7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(ii) designates the distribution date of such Shares; or (iii) makes a tax withholding election as described in Paragraph 9(c)(iii).</w:t>
      </w:r>
    </w:p>
    <w:p>
      <w:pPr>
        <w:spacing w:after="0" w:line="181" w:lineRule="exact"/>
        <w:rPr>
          <w:rFonts w:ascii="Arial" w:cs="Arial" w:eastAsia="Arial" w:hAnsi="Arial"/>
          <w:sz w:val="18"/>
          <w:szCs w:val="18"/>
          <w:color w:val="auto"/>
        </w:rPr>
      </w:pPr>
    </w:p>
    <w:p>
      <w:pPr>
        <w:ind w:left="780" w:hanging="33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1460" w:hanging="567"/>
        <w:spacing w:after="0"/>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Effective before January 1, 2014, each employee of a Participating Company who:</w:t>
      </w:r>
    </w:p>
    <w:p>
      <w:pPr>
        <w:spacing w:after="0" w:line="130" w:lineRule="exact"/>
        <w:rPr>
          <w:rFonts w:ascii="Arial" w:cs="Arial" w:eastAsia="Arial" w:hAnsi="Arial"/>
          <w:sz w:val="18"/>
          <w:szCs w:val="18"/>
          <w:color w:val="auto"/>
        </w:rPr>
      </w:pPr>
    </w:p>
    <w:p>
      <w:pPr>
        <w:ind w:left="1900" w:right="480" w:hanging="440"/>
        <w:spacing w:after="0" w:line="277" w:lineRule="auto"/>
        <w:tabs>
          <w:tab w:leader="none" w:pos="19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$200,000 or more as of his employment commencement date; or</w:t>
      </w:r>
    </w:p>
    <w:p>
      <w:pPr>
        <w:spacing w:after="0" w:line="75" w:lineRule="exact"/>
        <w:rPr>
          <w:rFonts w:ascii="Arial" w:cs="Arial" w:eastAsia="Arial" w:hAnsi="Arial"/>
          <w:sz w:val="18"/>
          <w:szCs w:val="18"/>
          <w:color w:val="auto"/>
        </w:rPr>
      </w:pPr>
    </w:p>
    <w:p>
      <w:pPr>
        <w:ind w:left="1900" w:right="20" w:hanging="440"/>
        <w:spacing w:after="0" w:line="277" w:lineRule="auto"/>
        <w:tabs>
          <w:tab w:leader="none" w:pos="19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has an Annual Rate of Pay that is increased to $200,000 or more and who, immediately preceding such increase, was not a Deferral Eligible Employee.</w:t>
      </w:r>
    </w:p>
    <w:p>
      <w:pPr>
        <w:spacing w:after="0" w:line="75" w:lineRule="exact"/>
        <w:rPr>
          <w:rFonts w:ascii="Arial" w:cs="Arial" w:eastAsia="Arial" w:hAnsi="Arial"/>
          <w:sz w:val="18"/>
          <w:szCs w:val="18"/>
          <w:color w:val="auto"/>
        </w:rPr>
      </w:pPr>
    </w:p>
    <w:p>
      <w:pPr>
        <w:ind w:left="1460" w:hanging="567"/>
        <w:spacing w:after="0"/>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Effective on and after January 1, 2014, each employee of a Participating Company who:</w:t>
      </w:r>
    </w:p>
    <w:p>
      <w:pPr>
        <w:spacing w:after="0" w:line="130" w:lineRule="exact"/>
        <w:rPr>
          <w:rFonts w:ascii="Arial" w:cs="Arial" w:eastAsia="Arial" w:hAnsi="Arial"/>
          <w:sz w:val="18"/>
          <w:szCs w:val="18"/>
          <w:color w:val="auto"/>
        </w:rPr>
      </w:pPr>
    </w:p>
    <w:p>
      <w:pPr>
        <w:ind w:left="1900" w:right="480" w:hanging="440"/>
        <w:spacing w:after="0" w:line="277" w:lineRule="auto"/>
        <w:tabs>
          <w:tab w:leader="none" w:pos="19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$250,000 or more as of his employment commencement date; or</w:t>
      </w:r>
    </w:p>
    <w:p>
      <w:pPr>
        <w:spacing w:after="0" w:line="75" w:lineRule="exact"/>
        <w:rPr>
          <w:rFonts w:ascii="Arial" w:cs="Arial" w:eastAsia="Arial" w:hAnsi="Arial"/>
          <w:sz w:val="18"/>
          <w:szCs w:val="18"/>
          <w:color w:val="auto"/>
        </w:rPr>
      </w:pPr>
    </w:p>
    <w:p>
      <w:pPr>
        <w:ind w:left="1900" w:right="20" w:hanging="440"/>
        <w:spacing w:after="0" w:line="277" w:lineRule="auto"/>
        <w:tabs>
          <w:tab w:leader="none" w:pos="19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has an Annual Rate of Pay that is increased to $250,000 or more and who, immediately preceding such increase, was not a Deferral Eligible Employee.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61" w:name="page62"/>
    <w:bookmarkEnd w:id="61"/>
    <w:p>
      <w:pPr>
        <w:ind w:left="-20" w:right="20" w:firstLine="464"/>
        <w:spacing w:after="0" w:line="277"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70" w:lineRule="exact"/>
        <w:rPr>
          <w:rFonts w:ascii="Arial" w:cs="Arial" w:eastAsia="Arial" w:hAnsi="Arial"/>
          <w:sz w:val="18"/>
          <w:szCs w:val="18"/>
          <w:color w:val="auto"/>
        </w:rPr>
      </w:pPr>
    </w:p>
    <w:p>
      <w:pPr>
        <w:ind w:left="-20" w:right="760" w:firstLine="464"/>
        <w:spacing w:after="0" w:line="277"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70" w:lineRule="exact"/>
        <w:rPr>
          <w:rFonts w:ascii="Arial" w:cs="Arial" w:eastAsia="Arial" w:hAnsi="Arial"/>
          <w:sz w:val="18"/>
          <w:szCs w:val="18"/>
          <w:color w:val="auto"/>
        </w:rPr>
      </w:pPr>
    </w:p>
    <w:p>
      <w:pPr>
        <w:ind w:left="780" w:hanging="33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130" w:lineRule="exact"/>
        <w:rPr>
          <w:rFonts w:ascii="Arial" w:cs="Arial" w:eastAsia="Arial" w:hAnsi="Arial"/>
          <w:sz w:val="18"/>
          <w:szCs w:val="18"/>
          <w:color w:val="auto"/>
        </w:rPr>
      </w:pPr>
    </w:p>
    <w:p>
      <w:pPr>
        <w:ind w:left="1460" w:right="60" w:hanging="567"/>
        <w:spacing w:after="0" w:line="264"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86" w:lineRule="exact"/>
        <w:rPr>
          <w:rFonts w:ascii="Arial" w:cs="Arial" w:eastAsia="Arial" w:hAnsi="Arial"/>
          <w:sz w:val="18"/>
          <w:szCs w:val="18"/>
          <w:color w:val="auto"/>
        </w:rPr>
      </w:pPr>
    </w:p>
    <w:p>
      <w:pPr>
        <w:ind w:left="1460" w:hanging="567"/>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130" w:lineRule="exact"/>
        <w:rPr>
          <w:rFonts w:ascii="Arial" w:cs="Arial" w:eastAsia="Arial" w:hAnsi="Arial"/>
          <w:sz w:val="18"/>
          <w:szCs w:val="18"/>
          <w:color w:val="auto"/>
        </w:rPr>
      </w:pPr>
    </w:p>
    <w:p>
      <w:pPr>
        <w:ind w:left="1900" w:right="280" w:hanging="440"/>
        <w:spacing w:after="0" w:line="277" w:lineRule="auto"/>
        <w:tabs>
          <w:tab w:leader="none" w:pos="19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2(kk)(i); over</w:t>
      </w:r>
    </w:p>
    <w:p>
      <w:pPr>
        <w:spacing w:after="0" w:line="75" w:lineRule="exact"/>
        <w:rPr>
          <w:rFonts w:ascii="Arial" w:cs="Arial" w:eastAsia="Arial" w:hAnsi="Arial"/>
          <w:sz w:val="18"/>
          <w:szCs w:val="18"/>
          <w:color w:val="auto"/>
        </w:rPr>
      </w:pPr>
    </w:p>
    <w:p>
      <w:pPr>
        <w:ind w:left="1900" w:hanging="440"/>
        <w:spacing w:after="0"/>
        <w:tabs>
          <w:tab w:leader="none" w:pos="19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2120" w:hanging="251"/>
        <w:spacing w:after="0"/>
        <w:tabs>
          <w:tab w:leader="none" w:pos="2120" w:val="left"/>
        </w:tabs>
        <w:numPr>
          <w:ilvl w:val="3"/>
          <w:numId w:val="28"/>
        </w:numPr>
        <w:rPr>
          <w:rFonts w:ascii="Arial" w:cs="Arial" w:eastAsia="Arial" w:hAnsi="Arial"/>
          <w:sz w:val="17"/>
          <w:szCs w:val="17"/>
          <w:color w:val="auto"/>
        </w:rPr>
      </w:pPr>
      <w:r>
        <w:rPr>
          <w:rFonts w:ascii="Arial" w:cs="Arial" w:eastAsia="Arial" w:hAnsi="Arial"/>
          <w:sz w:val="17"/>
          <w:szCs w:val="17"/>
          <w:color w:val="auto"/>
        </w:rPr>
        <w:t>The number of such Shares owned by such Grantee or such Grantee’s Family Member for less than six months; plus</w:t>
      </w:r>
    </w:p>
    <w:p>
      <w:pPr>
        <w:spacing w:after="0" w:line="128" w:lineRule="exact"/>
        <w:rPr>
          <w:rFonts w:ascii="Arial" w:cs="Arial" w:eastAsia="Arial" w:hAnsi="Arial"/>
          <w:sz w:val="17"/>
          <w:szCs w:val="17"/>
          <w:color w:val="auto"/>
        </w:rPr>
      </w:pPr>
    </w:p>
    <w:p>
      <w:pPr>
        <w:ind w:left="1480" w:firstLine="389"/>
        <w:spacing w:after="0" w:line="264" w:lineRule="auto"/>
        <w:tabs>
          <w:tab w:leader="none" w:pos="2132"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withholding certification pursuant to Paragraph 9(c)(ii) or any similar withholding certification under any other Comcast Plan; plus</w:t>
      </w:r>
    </w:p>
    <w:p>
      <w:pPr>
        <w:spacing w:after="0" w:line="73" w:lineRule="exact"/>
        <w:rPr>
          <w:rFonts w:ascii="Arial" w:cs="Arial" w:eastAsia="Arial" w:hAnsi="Arial"/>
          <w:sz w:val="18"/>
          <w:szCs w:val="18"/>
          <w:color w:val="auto"/>
        </w:rPr>
      </w:pPr>
    </w:p>
    <w:p>
      <w:pPr>
        <w:ind w:left="1480" w:firstLine="389"/>
        <w:spacing w:after="0" w:line="279" w:lineRule="auto"/>
        <w:tabs>
          <w:tab w:leader="none" w:pos="2132" w:val="left"/>
        </w:tabs>
        <w:numPr>
          <w:ilvl w:val="3"/>
          <w:numId w:val="28"/>
        </w:numPr>
        <w:rPr>
          <w:rFonts w:ascii="Arial" w:cs="Arial" w:eastAsia="Arial" w:hAnsi="Arial"/>
          <w:sz w:val="17"/>
          <w:szCs w:val="17"/>
          <w:color w:val="auto"/>
        </w:rPr>
      </w:pPr>
      <w:r>
        <w:rPr>
          <w:rFonts w:ascii="Arial" w:cs="Arial" w:eastAsia="Arial" w:hAnsi="Arial"/>
          <w:sz w:val="17"/>
          <w:szCs w:val="17"/>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63" w:lineRule="exact"/>
        <w:rPr>
          <w:rFonts w:ascii="Arial" w:cs="Arial" w:eastAsia="Arial" w:hAnsi="Arial"/>
          <w:sz w:val="17"/>
          <w:szCs w:val="17"/>
          <w:color w:val="auto"/>
        </w:rPr>
      </w:pPr>
    </w:p>
    <w:p>
      <w:pPr>
        <w:ind w:left="1480" w:right="180" w:firstLine="389"/>
        <w:spacing w:after="0" w:line="312" w:lineRule="auto"/>
        <w:tabs>
          <w:tab w:leader="none" w:pos="2132" w:val="left"/>
        </w:tabs>
        <w:numPr>
          <w:ilvl w:val="3"/>
          <w:numId w:val="28"/>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4" w:right="239" w:bottom="1440" w:gutter="0" w:footer="0" w:header="0"/>
        </w:sectPr>
      </w:pPr>
    </w:p>
    <w:bookmarkStart w:id="62" w:name="page63"/>
    <w:bookmarkEnd w:id="62"/>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Paragraph 2(kk),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provided that Shares of Common Stock or Special Common Stock that otherwise qualify as “Other Available Shares” under this Paragraph 2(kk),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 Grantee or such Grantee’s Family Member immediately before the consummation of the AT&amp;T Broadband Transaction that became Shares as a result of the AT&amp;T Broadband Transaction.</w:t>
      </w:r>
    </w:p>
    <w:p>
      <w:pPr>
        <w:spacing w:after="0" w:line="167" w:lineRule="exact"/>
        <w:rPr>
          <w:sz w:val="20"/>
          <w:szCs w:val="20"/>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225" w:lineRule="exact"/>
        <w:rPr>
          <w:rFonts w:ascii="Arial" w:cs="Arial" w:eastAsia="Arial" w:hAnsi="Arial"/>
          <w:sz w:val="18"/>
          <w:szCs w:val="18"/>
          <w:color w:val="auto"/>
        </w:rPr>
      </w:pPr>
    </w:p>
    <w:p>
      <w:pPr>
        <w:ind w:left="900" w:hanging="43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225" w:lineRule="exact"/>
        <w:rPr>
          <w:rFonts w:ascii="Arial" w:cs="Arial" w:eastAsia="Arial" w:hAnsi="Arial"/>
          <w:sz w:val="18"/>
          <w:szCs w:val="18"/>
          <w:color w:val="auto"/>
        </w:rPr>
      </w:pPr>
    </w:p>
    <w:p>
      <w:pPr>
        <w:ind w:firstLine="464"/>
        <w:spacing w:after="0" w:line="259" w:lineRule="auto"/>
        <w:tabs>
          <w:tab w:leader="none" w:pos="8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86" w:lineRule="exact"/>
        <w:rPr>
          <w:rFonts w:ascii="Arial" w:cs="Arial" w:eastAsia="Arial" w:hAnsi="Arial"/>
          <w:sz w:val="18"/>
          <w:szCs w:val="18"/>
          <w:color w:val="auto"/>
        </w:rPr>
      </w:pPr>
    </w:p>
    <w:p>
      <w:pPr>
        <w:ind w:left="740" w:hanging="27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unit that entitles the Grantee, upon the Vesting Date set forth in an Award, to receive one Share.</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a Grantee who has terminated employment pursuant to a Normal Retirement.</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274" w:right="379" w:bottom="1440" w:gutter="0" w:footer="0" w:header="0"/>
        </w:sectPr>
      </w:pPr>
    </w:p>
    <w:bookmarkStart w:id="63" w:name="page64"/>
    <w:bookmarkEnd w:id="63"/>
    <w:p>
      <w:pPr>
        <w:ind w:left="760" w:hanging="336"/>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248" w:lineRule="exact"/>
        <w:rPr>
          <w:rFonts w:ascii="Arial" w:cs="Arial" w:eastAsia="Arial" w:hAnsi="Arial"/>
          <w:sz w:val="16"/>
          <w:szCs w:val="16"/>
          <w:color w:val="auto"/>
        </w:rPr>
      </w:pPr>
    </w:p>
    <w:p>
      <w:pPr>
        <w:ind w:left="840" w:hanging="416"/>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1440" w:hanging="567"/>
        <w:spacing w:after="0"/>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except as provided in Paragraph 2(ww)(ii), a share or shares of Common Stock.</w:t>
      </w:r>
    </w:p>
    <w:p>
      <w:pPr>
        <w:spacing w:after="0" w:line="130" w:lineRule="exact"/>
        <w:rPr>
          <w:rFonts w:ascii="Arial" w:cs="Arial" w:eastAsia="Arial" w:hAnsi="Arial"/>
          <w:sz w:val="18"/>
          <w:szCs w:val="18"/>
          <w:color w:val="auto"/>
        </w:rPr>
      </w:pPr>
    </w:p>
    <w:p>
      <w:pPr>
        <w:ind w:left="1440" w:right="140" w:hanging="567"/>
        <w:spacing w:after="0" w:line="264"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with respect to Awards granted before the consummation of the AT&amp;T Broadband Transaction as to which a Vesting Date has not occurred, and for purposes of Paragraphs 2(kk) and 9(c), the term “Share” or “Shares” also means a share or shares of Special Common Stock.</w:t>
      </w:r>
    </w:p>
    <w:p>
      <w:pPr>
        <w:spacing w:after="0" w:line="181" w:lineRule="exact"/>
        <w:rPr>
          <w:rFonts w:ascii="Arial" w:cs="Arial" w:eastAsia="Arial" w:hAnsi="Arial"/>
          <w:sz w:val="18"/>
          <w:szCs w:val="18"/>
          <w:color w:val="auto"/>
        </w:rPr>
      </w:pPr>
    </w:p>
    <w:p>
      <w:pPr>
        <w:ind w:left="760" w:hanging="336"/>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225" w:lineRule="exact"/>
        <w:rPr>
          <w:rFonts w:ascii="Arial" w:cs="Arial" w:eastAsia="Arial" w:hAnsi="Arial"/>
          <w:sz w:val="18"/>
          <w:szCs w:val="18"/>
          <w:color w:val="auto"/>
        </w:rPr>
      </w:pPr>
    </w:p>
    <w:p>
      <w:pPr>
        <w:ind w:left="-40" w:firstLine="464"/>
        <w:spacing w:after="0" w:line="259" w:lineRule="auto"/>
        <w:tabs>
          <w:tab w:leader="none" w:pos="7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186" w:lineRule="exact"/>
        <w:rPr>
          <w:rFonts w:ascii="Arial" w:cs="Arial" w:eastAsia="Arial" w:hAnsi="Arial"/>
          <w:sz w:val="18"/>
          <w:szCs w:val="18"/>
          <w:color w:val="auto"/>
        </w:rPr>
      </w:pPr>
    </w:p>
    <w:p>
      <w:pPr>
        <w:ind w:left="-40" w:right="80" w:firstLine="464"/>
        <w:spacing w:after="0" w:line="264" w:lineRule="auto"/>
        <w:tabs>
          <w:tab w:leader="none" w:pos="7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81" w:lineRule="exact"/>
        <w:rPr>
          <w:sz w:val="20"/>
          <w:szCs w:val="20"/>
          <w:color w:val="auto"/>
        </w:rPr>
      </w:pPr>
    </w:p>
    <w:p>
      <w:pPr>
        <w:ind w:left="-40" w:right="160" w:firstLine="464"/>
        <w:spacing w:after="0" w:line="342" w:lineRule="auto"/>
        <w:tabs>
          <w:tab w:leader="none" w:pos="821"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Companies</w:t>
      </w:r>
      <w:r>
        <w:rPr>
          <w:rFonts w:ascii="Arial" w:cs="Arial" w:eastAsia="Arial" w:hAnsi="Arial"/>
          <w:sz w:val="16"/>
          <w:szCs w:val="16"/>
          <w:color w:val="auto"/>
        </w:rPr>
        <w:t>” means all business entities that, at the time in question, are subsidiaries of the Company, within the meaning of section 424(f) of the Code.</w:t>
      </w:r>
    </w:p>
    <w:p>
      <w:pPr>
        <w:spacing w:after="0" w:line="123" w:lineRule="exact"/>
        <w:rPr>
          <w:rFonts w:ascii="Arial" w:cs="Arial" w:eastAsia="Arial" w:hAnsi="Arial"/>
          <w:sz w:val="16"/>
          <w:szCs w:val="16"/>
          <w:color w:val="auto"/>
        </w:rPr>
      </w:pPr>
    </w:p>
    <w:p>
      <w:pPr>
        <w:ind w:left="-40" w:right="420" w:firstLine="464"/>
        <w:spacing w:after="0" w:line="277" w:lineRule="auto"/>
        <w:tabs>
          <w:tab w:leader="none" w:pos="8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170" w:lineRule="exact"/>
        <w:rPr>
          <w:rFonts w:ascii="Arial" w:cs="Arial" w:eastAsia="Arial" w:hAnsi="Arial"/>
          <w:sz w:val="18"/>
          <w:szCs w:val="18"/>
          <w:color w:val="auto"/>
        </w:rPr>
      </w:pPr>
    </w:p>
    <w:p>
      <w:pPr>
        <w:ind w:left="820" w:hanging="39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130" w:lineRule="exact"/>
        <w:rPr>
          <w:rFonts w:ascii="Arial" w:cs="Arial" w:eastAsia="Arial" w:hAnsi="Arial"/>
          <w:sz w:val="18"/>
          <w:szCs w:val="18"/>
          <w:color w:val="auto"/>
        </w:rPr>
      </w:pPr>
    </w:p>
    <w:p>
      <w:pPr>
        <w:ind w:left="1440" w:hanging="567"/>
        <w:spacing w:after="0"/>
        <w:tabs>
          <w:tab w:leader="none" w:pos="14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30" w:lineRule="exact"/>
        <w:rPr>
          <w:rFonts w:ascii="Arial" w:cs="Arial" w:eastAsia="Arial" w:hAnsi="Arial"/>
          <w:sz w:val="18"/>
          <w:szCs w:val="18"/>
          <w:color w:val="auto"/>
        </w:rPr>
      </w:pPr>
    </w:p>
    <w:p>
      <w:pPr>
        <w:ind w:left="1440" w:hanging="567"/>
        <w:spacing w:after="0"/>
        <w:tabs>
          <w:tab w:leader="none" w:pos="14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rFonts w:ascii="Arial" w:cs="Arial" w:eastAsia="Arial" w:hAnsi="Arial"/>
          <w:sz w:val="18"/>
          <w:szCs w:val="18"/>
          <w:color w:val="auto"/>
        </w:rPr>
      </w:pPr>
    </w:p>
    <w:p>
      <w:pPr>
        <w:ind w:left="-40" w:firstLine="464"/>
        <w:spacing w:after="0" w:line="277" w:lineRule="auto"/>
        <w:tabs>
          <w:tab w:leader="none" w:pos="8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80" w:top="274" w:right="259" w:bottom="1440" w:gutter="0" w:footer="0" w:header="0"/>
        </w:sectPr>
      </w:pPr>
    </w:p>
    <w:bookmarkStart w:id="64" w:name="page65"/>
    <w:bookmarkEnd w:id="64"/>
    <w:p>
      <w:pPr>
        <w:ind w:left="-8" w:right="80" w:firstLine="464"/>
        <w:spacing w:after="0" w:line="342" w:lineRule="auto"/>
        <w:tabs>
          <w:tab w:leader="none" w:pos="853"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123" w:lineRule="exact"/>
        <w:rPr>
          <w:rFonts w:ascii="Arial" w:cs="Arial" w:eastAsia="Arial" w:hAnsi="Arial"/>
          <w:sz w:val="16"/>
          <w:szCs w:val="16"/>
          <w:color w:val="auto"/>
        </w:rPr>
      </w:pPr>
    </w:p>
    <w:p>
      <w:pPr>
        <w:ind w:left="792" w:hanging="336"/>
        <w:spacing w:after="0"/>
        <w:tabs>
          <w:tab w:leader="none" w:pos="7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892" w:hanging="436"/>
        <w:spacing w:after="0"/>
        <w:tabs>
          <w:tab w:leader="none" w:pos="8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36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Rights that may be granted under the Plan are:</w:t>
      </w:r>
    </w:p>
    <w:p>
      <w:pPr>
        <w:spacing w:after="0" w:line="225" w:lineRule="exact"/>
        <w:rPr>
          <w:rFonts w:ascii="Arial" w:cs="Arial" w:eastAsia="Arial" w:hAnsi="Arial"/>
          <w:sz w:val="18"/>
          <w:szCs w:val="18"/>
          <w:b w:val="1"/>
          <w:bCs w:val="1"/>
          <w:color w:val="auto"/>
        </w:rPr>
      </w:pPr>
    </w:p>
    <w:p>
      <w:pPr>
        <w:ind w:left="-8" w:firstLine="464"/>
        <w:spacing w:after="0" w:line="277" w:lineRule="auto"/>
        <w:tabs>
          <w:tab w:leader="none" w:pos="693" w:val="left"/>
        </w:tabs>
        <w:numPr>
          <w:ilvl w:val="1"/>
          <w:numId w:val="33"/>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70" w:lineRule="exact"/>
        <w:rPr>
          <w:rFonts w:ascii="Arial" w:cs="Arial" w:eastAsia="Arial" w:hAnsi="Arial"/>
          <w:sz w:val="18"/>
          <w:szCs w:val="18"/>
          <w:color w:val="auto"/>
        </w:rPr>
      </w:pPr>
    </w:p>
    <w:p>
      <w:pPr>
        <w:ind w:left="-8" w:firstLine="464"/>
        <w:spacing w:after="0" w:line="264" w:lineRule="auto"/>
        <w:tabs>
          <w:tab w:leader="none" w:pos="703" w:val="left"/>
        </w:tabs>
        <w:numPr>
          <w:ilvl w:val="1"/>
          <w:numId w:val="33"/>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325"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21" w:lineRule="exact"/>
        <w:rPr>
          <w:rFonts w:ascii="Arial" w:cs="Arial" w:eastAsia="Arial" w:hAnsi="Arial"/>
          <w:sz w:val="18"/>
          <w:szCs w:val="18"/>
          <w:b w:val="1"/>
          <w:bCs w:val="1"/>
          <w:color w:val="auto"/>
        </w:rPr>
      </w:pPr>
    </w:p>
    <w:p>
      <w:pPr>
        <w:ind w:left="-8" w:firstLine="464"/>
        <w:spacing w:after="0" w:line="264" w:lineRule="auto"/>
        <w:tabs>
          <w:tab w:leader="none" w:pos="693"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Subject to adjustment as provided in Paragraph 10, not more than 96.5 million Shares in the aggregate may be issued under the Plan pursuant to the grant of Awards. The Shares issued under the Plan may, at the Company’s option, be either Shares held in treasury or Shares originally issued for such purpose.</w:t>
      </w:r>
    </w:p>
    <w:p>
      <w:pPr>
        <w:spacing w:after="0" w:line="181" w:lineRule="exact"/>
        <w:rPr>
          <w:rFonts w:ascii="Arial" w:cs="Arial" w:eastAsia="Arial" w:hAnsi="Arial"/>
          <w:sz w:val="18"/>
          <w:szCs w:val="18"/>
          <w:color w:val="auto"/>
        </w:rPr>
      </w:pPr>
    </w:p>
    <w:p>
      <w:pPr>
        <w:jc w:val="both"/>
        <w:ind w:left="-8" w:right="220" w:firstLine="464"/>
        <w:spacing w:after="0" w:line="312" w:lineRule="auto"/>
        <w:tabs>
          <w:tab w:leader="none" w:pos="703"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291" w:lineRule="exact"/>
        <w:rPr>
          <w:rFonts w:ascii="Arial" w:cs="Arial" w:eastAsia="Arial" w:hAnsi="Arial"/>
          <w:sz w:val="16"/>
          <w:szCs w:val="16"/>
          <w:color w:val="auto"/>
        </w:rPr>
      </w:pPr>
    </w:p>
    <w:p>
      <w:pPr>
        <w:ind w:left="452" w:hanging="452"/>
        <w:spacing w:after="0"/>
        <w:tabs>
          <w:tab w:leader="none" w:pos="4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21" w:lineRule="exact"/>
        <w:rPr>
          <w:rFonts w:ascii="Arial" w:cs="Arial" w:eastAsia="Arial" w:hAnsi="Arial"/>
          <w:sz w:val="18"/>
          <w:szCs w:val="18"/>
          <w:b w:val="1"/>
          <w:bCs w:val="1"/>
          <w:color w:val="auto"/>
        </w:rPr>
      </w:pPr>
    </w:p>
    <w:p>
      <w:pPr>
        <w:ind w:left="-8" w:right="220" w:firstLine="464"/>
        <w:spacing w:after="0" w:line="264" w:lineRule="auto"/>
        <w:tabs>
          <w:tab w:leader="none" w:pos="693"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181" w:lineRule="exact"/>
        <w:rPr>
          <w:rFonts w:ascii="Arial" w:cs="Arial" w:eastAsia="Arial" w:hAnsi="Arial"/>
          <w:sz w:val="18"/>
          <w:szCs w:val="18"/>
          <w:color w:val="auto"/>
        </w:rPr>
      </w:pPr>
    </w:p>
    <w:p>
      <w:pPr>
        <w:ind w:left="712" w:hanging="256"/>
        <w:spacing w:after="0"/>
        <w:tabs>
          <w:tab w:leader="none" w:pos="71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2"/>
          <w:numId w:val="33"/>
        </w:numPr>
        <w:rPr>
          <w:rFonts w:ascii="Arial" w:cs="Arial" w:eastAsia="Arial" w:hAnsi="Arial"/>
          <w:sz w:val="17"/>
          <w:szCs w:val="17"/>
          <w:color w:val="auto"/>
        </w:rPr>
      </w:pPr>
      <w:r>
        <w:rPr>
          <w:rFonts w:ascii="Arial" w:cs="Arial" w:eastAsia="Arial" w:hAnsi="Arial"/>
          <w:sz w:val="17"/>
          <w:szCs w:val="17"/>
          <w:color w:val="auto"/>
        </w:rPr>
        <w:t>select those Employees and Non-Employee Directors to whom Awards shall be granted under the Plan, to determine the number</w:t>
      </w:r>
    </w:p>
    <w:p>
      <w:pPr>
        <w:spacing w:after="0" w:line="16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32"/>
          </w:cols>
          <w:pgMar w:left="248" w:top="274" w:right="319" w:bottom="1440" w:gutter="0" w:footer="0" w:header="0"/>
        </w:sectPr>
      </w:pPr>
    </w:p>
    <w:bookmarkStart w:id="65" w:name="page66"/>
    <w:bookmarkEnd w:id="65"/>
    <w:p>
      <w:pPr>
        <w:ind w:left="1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87" w:lineRule="exact"/>
        <w:rPr>
          <w:sz w:val="20"/>
          <w:szCs w:val="20"/>
          <w:color w:val="auto"/>
        </w:rPr>
      </w:pPr>
    </w:p>
    <w:p>
      <w:pPr>
        <w:ind w:left="1480" w:right="620" w:hanging="567"/>
        <w:spacing w:after="0" w:line="277"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225" w:lineRule="exact"/>
        <w:rPr>
          <w:sz w:val="20"/>
          <w:szCs w:val="20"/>
          <w:color w:val="auto"/>
        </w:rPr>
      </w:pPr>
    </w:p>
    <w:p>
      <w:pPr>
        <w:ind w:right="120" w:firstLine="464"/>
        <w:spacing w:after="0" w:line="342" w:lineRule="auto"/>
        <w:tabs>
          <w:tab w:leader="none" w:pos="70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23" w:lineRule="exact"/>
        <w:rPr>
          <w:rFonts w:ascii="Arial" w:cs="Arial" w:eastAsia="Arial" w:hAnsi="Arial"/>
          <w:sz w:val="16"/>
          <w:szCs w:val="16"/>
          <w:color w:val="auto"/>
        </w:rPr>
      </w:pPr>
    </w:p>
    <w:p>
      <w:pPr>
        <w:ind w:right="20" w:firstLine="464"/>
        <w:spacing w:after="0" w:line="302" w:lineRule="auto"/>
        <w:tabs>
          <w:tab w:leader="none" w:pos="71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54" w:lineRule="exact"/>
        <w:rPr>
          <w:rFonts w:ascii="Arial" w:cs="Arial" w:eastAsia="Arial" w:hAnsi="Arial"/>
          <w:sz w:val="16"/>
          <w:szCs w:val="16"/>
          <w:color w:val="auto"/>
        </w:rPr>
      </w:pPr>
    </w:p>
    <w:p>
      <w:pPr>
        <w:ind w:firstLine="464"/>
        <w:spacing w:after="0" w:line="257" w:lineRule="auto"/>
        <w:tabs>
          <w:tab w:leader="none" w:pos="70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88" w:lineRule="exact"/>
        <w:rPr>
          <w:rFonts w:ascii="Arial" w:cs="Arial" w:eastAsia="Arial" w:hAnsi="Arial"/>
          <w:sz w:val="18"/>
          <w:szCs w:val="18"/>
          <w:color w:val="auto"/>
        </w:rPr>
      </w:pPr>
    </w:p>
    <w:p>
      <w:pPr>
        <w:ind w:right="40" w:firstLine="464"/>
        <w:spacing w:after="0" w:line="259" w:lineRule="auto"/>
        <w:tabs>
          <w:tab w:leader="none" w:pos="68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in the case of delegation to a person that is conditioned on such person’s continued service as an employee of the Company or as 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6" w:name="page67"/>
    <w:bookmarkEnd w:id="66"/>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 of the Board, the date such delegate shall cease to serve in such capacity for any reason; or</w:t>
      </w:r>
    </w:p>
    <w:p>
      <w:pPr>
        <w:spacing w:after="0" w:line="131" w:lineRule="exact"/>
        <w:rPr>
          <w:sz w:val="20"/>
          <w:szCs w:val="20"/>
          <w:color w:val="auto"/>
        </w:rPr>
      </w:pPr>
    </w:p>
    <w:p>
      <w:pPr>
        <w:ind w:left="1480" w:hanging="567"/>
        <w:spacing w:after="0"/>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Awards may be granted only to Eligible Employees and Non-Employee Directors.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Committee may grant Awards in accordance with the Plan, provided that the Board or the Committee may grant Awards to Non-Employee</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9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170" w:lineRule="exact"/>
        <w:rPr>
          <w:sz w:val="20"/>
          <w:szCs w:val="20"/>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11, 2021.</w:t>
      </w:r>
    </w:p>
    <w:p>
      <w:pPr>
        <w:spacing w:after="0" w:line="225"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70" w:lineRule="exact"/>
        <w:rPr>
          <w:rFonts w:ascii="Arial" w:cs="Arial" w:eastAsia="Arial" w:hAnsi="Arial"/>
          <w:sz w:val="18"/>
          <w:szCs w:val="18"/>
          <w:color w:val="auto"/>
        </w:rPr>
      </w:pPr>
    </w:p>
    <w:p>
      <w:pPr>
        <w:jc w:val="both"/>
        <w:ind w:firstLine="464"/>
        <w:spacing w:after="0" w:line="279" w:lineRule="auto"/>
        <w:tabs>
          <w:tab w:leader="none" w:pos="70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Awards and Agreements</w:t>
      </w:r>
      <w:r>
        <w:rPr>
          <w:rFonts w:ascii="Arial" w:cs="Arial" w:eastAsia="Arial" w:hAnsi="Arial"/>
          <w:sz w:val="17"/>
          <w:szCs w:val="17"/>
          <w:color w:val="auto"/>
        </w:rPr>
        <w:t>. Each Grantee shall be provided with an agreement specifying the terms of an Award. In addition, a certificate shall be issued to each Grantee in respect of Restricted Stock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71" w:lineRule="exact"/>
        <w:rPr>
          <w:rFonts w:ascii="Arial" w:cs="Arial" w:eastAsia="Arial" w:hAnsi="Arial"/>
          <w:sz w:val="17"/>
          <w:szCs w:val="17"/>
          <w:color w:val="auto"/>
        </w:rPr>
      </w:pPr>
    </w:p>
    <w:p>
      <w:pPr>
        <w:ind w:right="20" w:firstLine="464"/>
        <w:spacing w:after="0" w:line="308" w:lineRule="auto"/>
        <w:tabs>
          <w:tab w:leader="none" w:pos="71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146" w:lineRule="exact"/>
        <w:rPr>
          <w:rFonts w:ascii="Arial" w:cs="Arial" w:eastAsia="Arial" w:hAnsi="Arial"/>
          <w:sz w:val="17"/>
          <w:szCs w:val="17"/>
          <w:color w:val="auto"/>
        </w:rPr>
      </w:pPr>
    </w:p>
    <w:p>
      <w:pPr>
        <w:jc w:val="both"/>
        <w:ind w:right="260" w:firstLine="464"/>
        <w:spacing w:after="0" w:line="302" w:lineRule="auto"/>
        <w:tabs>
          <w:tab w:leader="none" w:pos="70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67" w:name="page68"/>
    <w:bookmarkEnd w:id="67"/>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 All references to Shares in Awards granted before the consummation of the AT&amp;T Broadband Transaction as to which a Vesting Date has not occurred shall be deemed to be references to Special Common Stock.</w:t>
      </w:r>
    </w:p>
    <w:p>
      <w:pPr>
        <w:spacing w:after="0" w:line="173" w:lineRule="exact"/>
        <w:rPr>
          <w:sz w:val="20"/>
          <w:szCs w:val="20"/>
          <w:color w:val="auto"/>
        </w:rPr>
      </w:pPr>
    </w:p>
    <w:p>
      <w:pPr>
        <w:ind w:right="280" w:firstLine="464"/>
        <w:spacing w:after="0" w:line="312" w:lineRule="auto"/>
        <w:tabs>
          <w:tab w:leader="none" w:pos="681"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146" w:lineRule="exact"/>
        <w:rPr>
          <w:rFonts w:ascii="Arial" w:cs="Arial" w:eastAsia="Arial" w:hAnsi="Arial"/>
          <w:sz w:val="16"/>
          <w:szCs w:val="16"/>
          <w:color w:val="auto"/>
        </w:rPr>
      </w:pPr>
    </w:p>
    <w:p>
      <w:pPr>
        <w:jc w:val="both"/>
        <w:ind w:firstLine="464"/>
        <w:spacing w:after="0" w:line="312" w:lineRule="auto"/>
        <w:tabs>
          <w:tab w:leader="none" w:pos="711"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146" w:lineRule="exact"/>
        <w:rPr>
          <w:rFonts w:ascii="Arial" w:cs="Arial" w:eastAsia="Arial" w:hAnsi="Arial"/>
          <w:sz w:val="16"/>
          <w:szCs w:val="16"/>
          <w:color w:val="auto"/>
        </w:rPr>
      </w:pPr>
    </w:p>
    <w:p>
      <w:pPr>
        <w:ind w:right="100" w:firstLine="464"/>
        <w:spacing w:after="0" w:line="290" w:lineRule="auto"/>
        <w:tabs>
          <w:tab w:leader="none" w:pos="711"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310"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DEFERRAL ELECTIONS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8" w:name="page69"/>
    <w:bookmarkEnd w:id="68"/>
    <w:p>
      <w:pPr>
        <w:ind w:left="660" w:hanging="23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Initial Election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40" w:hanging="567"/>
        <w:spacing w:after="0" w:line="286" w:lineRule="auto"/>
        <w:tabs>
          <w:tab w:leader="none" w:pos="144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Election</w:t>
      </w:r>
      <w:r>
        <w:rPr>
          <w:rFonts w:ascii="Arial" w:cs="Arial" w:eastAsia="Arial" w:hAnsi="Arial"/>
          <w:sz w:val="17"/>
          <w:szCs w:val="17"/>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Election to defer the receipt of such Shares on a form provided by the Committee for this purpose.</w:t>
      </w:r>
    </w:p>
    <w:p>
      <w:pPr>
        <w:spacing w:after="0" w:line="70" w:lineRule="exact"/>
        <w:rPr>
          <w:rFonts w:ascii="Arial" w:cs="Arial" w:eastAsia="Arial" w:hAnsi="Arial"/>
          <w:sz w:val="17"/>
          <w:szCs w:val="17"/>
          <w:color w:val="auto"/>
        </w:rPr>
      </w:pPr>
    </w:p>
    <w:p>
      <w:pPr>
        <w:ind w:left="1440" w:right="40" w:hanging="567"/>
        <w:spacing w:after="0" w:line="297" w:lineRule="auto"/>
        <w:tabs>
          <w:tab w:leader="none" w:pos="144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Grant and 12 or more months in advance of the applicable Vesting Date. No Initial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158" w:lineRule="exact"/>
        <w:rPr>
          <w:rFonts w:ascii="Arial" w:cs="Arial" w:eastAsia="Arial" w:hAnsi="Arial"/>
          <w:sz w:val="16"/>
          <w:szCs w:val="16"/>
          <w:color w:val="auto"/>
        </w:rPr>
      </w:pPr>
    </w:p>
    <w:p>
      <w:pPr>
        <w:ind w:left="-40" w:right="160" w:firstLine="464"/>
        <w:spacing w:after="0" w:line="277" w:lineRule="auto"/>
        <w:tabs>
          <w:tab w:leader="none" w:pos="67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70" w:lineRule="exact"/>
        <w:rPr>
          <w:rFonts w:ascii="Arial" w:cs="Arial" w:eastAsia="Arial" w:hAnsi="Arial"/>
          <w:sz w:val="18"/>
          <w:szCs w:val="18"/>
          <w:color w:val="auto"/>
        </w:rPr>
      </w:pPr>
    </w:p>
    <w:p>
      <w:pPr>
        <w:ind w:left="-40" w:firstLine="464"/>
        <w:spacing w:after="0" w:line="255" w:lineRule="auto"/>
        <w:tabs>
          <w:tab w:leader="none" w:pos="66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Except as otherwise specifically provided by the Plan,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193" w:lineRule="exact"/>
        <w:rPr>
          <w:rFonts w:ascii="Arial" w:cs="Arial" w:eastAsia="Arial" w:hAnsi="Arial"/>
          <w:sz w:val="18"/>
          <w:szCs w:val="18"/>
          <w:color w:val="auto"/>
        </w:rPr>
      </w:pPr>
    </w:p>
    <w:p>
      <w:pPr>
        <w:ind w:left="-40" w:right="280" w:firstLine="464"/>
        <w:spacing w:after="0" w:line="277" w:lineRule="auto"/>
        <w:tabs>
          <w:tab w:leader="none" w:pos="67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75" w:lineRule="exact"/>
        <w:rPr>
          <w:rFonts w:ascii="Arial" w:cs="Arial" w:eastAsia="Arial" w:hAnsi="Arial"/>
          <w:sz w:val="18"/>
          <w:szCs w:val="18"/>
          <w:color w:val="auto"/>
        </w:rPr>
      </w:pPr>
    </w:p>
    <w:p>
      <w:pPr>
        <w:ind w:left="1440" w:right="220" w:hanging="567"/>
        <w:spacing w:after="0" w:line="312" w:lineRule="auto"/>
        <w:tabs>
          <w:tab w:leader="none" w:pos="14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Units for an additional period from the originally-elected distribution date, may elect to defer the distribution date for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80" w:top="274" w:right="279" w:bottom="1440" w:gutter="0" w:footer="0" w:header="0"/>
        </w:sectPr>
      </w:pPr>
    </w:p>
    <w:bookmarkStart w:id="69" w:name="page70"/>
    <w:bookmarkEnd w:id="69"/>
    <w:p>
      <w:pPr>
        <w:ind w:left="1380"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minimum of five and a maximum of ten additional years from the previously-elected distribution date, by filing a Subsequent Election with the Committee on or before the close of business at least one year before the date on which the distribution would otherwise be made. Notwithstanding the foregoing, except as otherwise provided by the Committee, an Active Grantee who is re-employed by a Participating Company following an employment termination date may not make a Subsequent Election with respect to amounts subject to an Initial Election or a Subsequent Election that was filed with the Committee before such employment termination date.</w:t>
      </w:r>
    </w:p>
    <w:p>
      <w:pPr>
        <w:spacing w:after="0" w:line="64" w:lineRule="exact"/>
        <w:rPr>
          <w:sz w:val="20"/>
          <w:szCs w:val="20"/>
          <w:color w:val="auto"/>
        </w:rPr>
      </w:pPr>
    </w:p>
    <w:p>
      <w:pPr>
        <w:ind w:left="1380" w:right="360" w:hanging="567"/>
        <w:spacing w:after="0" w:line="259" w:lineRule="auto"/>
        <w:tabs>
          <w:tab w:leader="none" w:pos="13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Deceased Grantee’s Successor-in-Interest may elect to file a Subsequent Election to defer the distribution date for the Deceased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Deceased Grantee’s last Election.</w:t>
      </w:r>
    </w:p>
    <w:p>
      <w:pPr>
        <w:spacing w:after="0" w:line="92" w:lineRule="exact"/>
        <w:rPr>
          <w:rFonts w:ascii="Arial" w:cs="Arial" w:eastAsia="Arial" w:hAnsi="Arial"/>
          <w:sz w:val="18"/>
          <w:szCs w:val="18"/>
          <w:color w:val="auto"/>
        </w:rPr>
      </w:pPr>
    </w:p>
    <w:p>
      <w:pPr>
        <w:ind w:left="1380" w:right="20" w:hanging="567"/>
        <w:spacing w:after="0" w:line="312" w:lineRule="auto"/>
        <w:tabs>
          <w:tab w:leader="none" w:pos="13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Retired Grantee may elect to defer the distribution date of the Retired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146" w:lineRule="exact"/>
        <w:rPr>
          <w:rFonts w:ascii="Arial" w:cs="Arial" w:eastAsia="Arial" w:hAnsi="Arial"/>
          <w:sz w:val="16"/>
          <w:szCs w:val="16"/>
          <w:color w:val="auto"/>
        </w:rPr>
      </w:pPr>
    </w:p>
    <w:p>
      <w:pPr>
        <w:ind w:left="-100" w:firstLine="464"/>
        <w:spacing w:after="0" w:line="279" w:lineRule="auto"/>
        <w:tabs>
          <w:tab w:leader="none" w:pos="601"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Discretion to Provide for Distribution in Full Upon or Following a Change of Control</w:t>
      </w:r>
      <w:r>
        <w:rPr>
          <w:rFonts w:ascii="Arial" w:cs="Arial" w:eastAsia="Arial" w:hAnsi="Arial"/>
          <w:sz w:val="17"/>
          <w:szCs w:val="17"/>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171" w:lineRule="exact"/>
        <w:rPr>
          <w:rFonts w:ascii="Arial" w:cs="Arial" w:eastAsia="Arial" w:hAnsi="Arial"/>
          <w:sz w:val="17"/>
          <w:szCs w:val="17"/>
          <w:color w:val="auto"/>
        </w:rPr>
      </w:pPr>
    </w:p>
    <w:p>
      <w:pPr>
        <w:jc w:val="both"/>
        <w:ind w:left="-100" w:right="200" w:firstLine="464"/>
        <w:spacing w:after="0" w:line="342" w:lineRule="auto"/>
        <w:tabs>
          <w:tab w:leader="none" w:pos="581"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123" w:lineRule="exact"/>
        <w:rPr>
          <w:rFonts w:ascii="Arial" w:cs="Arial" w:eastAsia="Arial" w:hAnsi="Arial"/>
          <w:sz w:val="16"/>
          <w:szCs w:val="16"/>
          <w:color w:val="auto"/>
        </w:rPr>
      </w:pPr>
    </w:p>
    <w:p>
      <w:pPr>
        <w:ind w:left="-100" w:right="440" w:firstLine="464"/>
        <w:spacing w:after="0" w:line="277" w:lineRule="auto"/>
        <w:tabs>
          <w:tab w:leader="none" w:pos="61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40" w:top="274" w:right="319" w:bottom="1440" w:gutter="0" w:footer="0" w:header="0"/>
        </w:sectPr>
      </w:pPr>
    </w:p>
    <w:bookmarkStart w:id="70" w:name="page71"/>
    <w:bookmarkEnd w:id="70"/>
    <w:p>
      <w:pPr>
        <w:ind w:left="1420" w:right="360" w:hanging="567"/>
        <w:spacing w:after="0" w:line="277"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fulfill a domestic relations order (as defined in section 414(p)(1)(B) of the Code) to the extent permitted by Treasury Regulations section 1.409A-3(j)(4)(ii) or any successor provision of law).</w:t>
      </w:r>
    </w:p>
    <w:p>
      <w:pPr>
        <w:spacing w:after="0" w:line="75" w:lineRule="exact"/>
        <w:rPr>
          <w:rFonts w:ascii="Arial" w:cs="Arial" w:eastAsia="Arial" w:hAnsi="Arial"/>
          <w:sz w:val="18"/>
          <w:szCs w:val="18"/>
          <w:color w:val="auto"/>
        </w:rPr>
      </w:pPr>
    </w:p>
    <w:p>
      <w:pPr>
        <w:ind w:left="1420" w:right="320" w:hanging="567"/>
        <w:spacing w:after="0" w:line="277"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75" w:lineRule="exact"/>
        <w:rPr>
          <w:rFonts w:ascii="Arial" w:cs="Arial" w:eastAsia="Arial" w:hAnsi="Arial"/>
          <w:sz w:val="18"/>
          <w:szCs w:val="18"/>
          <w:color w:val="auto"/>
        </w:rPr>
      </w:pPr>
    </w:p>
    <w:p>
      <w:pPr>
        <w:ind w:left="1420" w:hanging="567"/>
        <w:spacing w:after="0"/>
        <w:tabs>
          <w:tab w:leader="none" w:pos="14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153" w:lineRule="exact"/>
        <w:rPr>
          <w:rFonts w:ascii="Arial" w:cs="Arial" w:eastAsia="Arial" w:hAnsi="Arial"/>
          <w:sz w:val="16"/>
          <w:szCs w:val="16"/>
          <w:color w:val="auto"/>
        </w:rPr>
      </w:pPr>
    </w:p>
    <w:p>
      <w:pPr>
        <w:ind w:left="1420" w:right="100" w:hanging="567"/>
        <w:spacing w:after="0" w:line="277"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75" w:lineRule="exact"/>
        <w:rPr>
          <w:rFonts w:ascii="Arial" w:cs="Arial" w:eastAsia="Arial" w:hAnsi="Arial"/>
          <w:sz w:val="18"/>
          <w:szCs w:val="18"/>
          <w:color w:val="auto"/>
        </w:rPr>
      </w:pPr>
    </w:p>
    <w:p>
      <w:pPr>
        <w:ind w:left="1420" w:right="40" w:hanging="567"/>
        <w:spacing w:after="0" w:line="277"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75" w:lineRule="exact"/>
        <w:rPr>
          <w:rFonts w:ascii="Arial" w:cs="Arial" w:eastAsia="Arial" w:hAnsi="Arial"/>
          <w:sz w:val="18"/>
          <w:szCs w:val="18"/>
          <w:color w:val="auto"/>
        </w:rPr>
      </w:pPr>
    </w:p>
    <w:p>
      <w:pPr>
        <w:ind w:left="1420" w:right="120" w:hanging="567"/>
        <w:spacing w:after="0" w:line="264"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 (xiii) (or any successor provision of law).</w:t>
      </w:r>
    </w:p>
    <w:p>
      <w:pPr>
        <w:spacing w:after="0" w:line="86" w:lineRule="exact"/>
        <w:rPr>
          <w:rFonts w:ascii="Arial" w:cs="Arial" w:eastAsia="Arial" w:hAnsi="Arial"/>
          <w:sz w:val="18"/>
          <w:szCs w:val="18"/>
          <w:color w:val="auto"/>
        </w:rPr>
      </w:pPr>
    </w:p>
    <w:p>
      <w:pPr>
        <w:ind w:left="1420" w:hanging="567"/>
        <w:spacing w:after="0" w:line="277"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connection with a bona fide dispute as to a Grantee’s right to payment, to the extent permitted by Treasury Regulation section 1.409A-3(j)(4)(xiv) (or any successor provision of law).</w:t>
      </w:r>
    </w:p>
    <w:p>
      <w:pPr>
        <w:spacing w:after="0" w:line="170" w:lineRule="exact"/>
        <w:rPr>
          <w:rFonts w:ascii="Arial" w:cs="Arial" w:eastAsia="Arial" w:hAnsi="Arial"/>
          <w:sz w:val="18"/>
          <w:szCs w:val="18"/>
          <w:color w:val="auto"/>
        </w:rPr>
      </w:pPr>
    </w:p>
    <w:p>
      <w:pPr>
        <w:ind w:left="-60" w:firstLine="464"/>
        <w:spacing w:after="0" w:line="257" w:lineRule="auto"/>
        <w:tabs>
          <w:tab w:leader="none" w:pos="65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188" w:lineRule="exact"/>
        <w:rPr>
          <w:rFonts w:ascii="Arial" w:cs="Arial" w:eastAsia="Arial" w:hAnsi="Arial"/>
          <w:sz w:val="18"/>
          <w:szCs w:val="18"/>
          <w:color w:val="auto"/>
        </w:rPr>
      </w:pPr>
    </w:p>
    <w:p>
      <w:pPr>
        <w:ind w:left="-60" w:right="220" w:firstLine="464"/>
        <w:spacing w:after="0" w:line="277" w:lineRule="auto"/>
        <w:tabs>
          <w:tab w:leader="none" w:pos="61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75" w:lineRule="exact"/>
        <w:rPr>
          <w:rFonts w:ascii="Arial" w:cs="Arial" w:eastAsia="Arial" w:hAnsi="Arial"/>
          <w:sz w:val="18"/>
          <w:szCs w:val="18"/>
          <w:color w:val="auto"/>
        </w:rPr>
      </w:pPr>
    </w:p>
    <w:p>
      <w:pPr>
        <w:ind w:left="1420" w:right="560" w:hanging="567"/>
        <w:spacing w:after="0" w:line="277" w:lineRule="auto"/>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Administrator may, with a Grantee’s consent, make such arrangements as it may deem appropriate to transfer the Company’s obligation to pay benefits with respect to such Grantee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00" w:top="274" w:right="299" w:bottom="1440" w:gutter="0" w:footer="0" w:header="0"/>
        </w:sectPr>
      </w:pPr>
    </w:p>
    <w:bookmarkStart w:id="71" w:name="page72"/>
    <w:bookmarkEnd w:id="71"/>
    <w:p>
      <w:pPr>
        <w:ind w:left="144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92" w:lineRule="exact"/>
        <w:rPr>
          <w:sz w:val="20"/>
          <w:szCs w:val="20"/>
          <w:color w:val="auto"/>
        </w:rPr>
      </w:pPr>
    </w:p>
    <w:p>
      <w:pPr>
        <w:ind w:left="1440" w:right="80" w:hanging="567"/>
        <w:spacing w:after="0" w:line="273" w:lineRule="auto"/>
        <w:tabs>
          <w:tab w:leader="none" w:pos="14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178" w:lineRule="exact"/>
        <w:rPr>
          <w:rFonts w:ascii="Arial" w:cs="Arial" w:eastAsia="Arial" w:hAnsi="Arial"/>
          <w:sz w:val="17"/>
          <w:szCs w:val="17"/>
          <w:color w:val="auto"/>
        </w:rPr>
      </w:pPr>
    </w:p>
    <w:p>
      <w:pPr>
        <w:ind w:left="-40" w:right="300" w:firstLine="464"/>
        <w:spacing w:after="0" w:line="277" w:lineRule="auto"/>
        <w:tabs>
          <w:tab w:leader="none" w:pos="63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170" w:lineRule="exact"/>
        <w:rPr>
          <w:rFonts w:ascii="Arial" w:cs="Arial" w:eastAsia="Arial" w:hAnsi="Arial"/>
          <w:sz w:val="18"/>
          <w:szCs w:val="18"/>
          <w:color w:val="auto"/>
        </w:rPr>
      </w:pPr>
    </w:p>
    <w:p>
      <w:pPr>
        <w:ind w:left="680" w:hanging="256"/>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40" w:hanging="567"/>
        <w:spacing w:after="0"/>
        <w:tabs>
          <w:tab w:leader="none" w:pos="144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Paragraph 8(k)(v):</w:t>
      </w:r>
    </w:p>
    <w:p>
      <w:pPr>
        <w:spacing w:after="0" w:line="130" w:lineRule="exact"/>
        <w:rPr>
          <w:rFonts w:ascii="Arial" w:cs="Arial" w:eastAsia="Arial" w:hAnsi="Arial"/>
          <w:sz w:val="18"/>
          <w:szCs w:val="18"/>
          <w:color w:val="auto"/>
        </w:rPr>
      </w:pPr>
    </w:p>
    <w:p>
      <w:pPr>
        <w:ind w:left="1880" w:hanging="440"/>
        <w:spacing w:after="0" w:line="312" w:lineRule="auto"/>
        <w:tabs>
          <w:tab w:leader="none" w:pos="1880" w:val="left"/>
        </w:tabs>
        <w:numPr>
          <w:ilvl w:val="2"/>
          <w:numId w:val="47"/>
        </w:numPr>
        <w:rPr>
          <w:rFonts w:ascii="Arial" w:cs="Arial" w:eastAsia="Arial" w:hAnsi="Arial"/>
          <w:sz w:val="16"/>
          <w:szCs w:val="16"/>
          <w:color w:val="auto"/>
        </w:rPr>
      </w:pPr>
      <w:r>
        <w:rPr>
          <w:rFonts w:ascii="Arial" w:cs="Arial" w:eastAsia="Arial" w:hAnsi="Arial"/>
          <w:sz w:val="16"/>
          <w:szCs w:val="16"/>
          <w:color w:val="auto"/>
        </w:rPr>
        <w:t>A Diversification Election shall be available: (x) at any time that a Registration Statement filed under the 1933 Act (a “Registration Statement”) is effective with respect to the Plan; and (y) with respect to a Special Diversification Election, if and to the extent that the opportunity to make such a Special Diversification Election has been approved by the Committee or its delegate.</w:t>
      </w:r>
    </w:p>
    <w:p>
      <w:pPr>
        <w:spacing w:after="0" w:line="52" w:lineRule="exact"/>
        <w:rPr>
          <w:rFonts w:ascii="Arial" w:cs="Arial" w:eastAsia="Arial" w:hAnsi="Arial"/>
          <w:sz w:val="16"/>
          <w:szCs w:val="16"/>
          <w:color w:val="auto"/>
        </w:rPr>
      </w:pPr>
    </w:p>
    <w:p>
      <w:pPr>
        <w:ind w:left="1880" w:hanging="440"/>
        <w:spacing w:after="0"/>
        <w:tabs>
          <w:tab w:leader="none" w:pos="18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No approval is required for a Diversification Election other than a Special Diversification Election.</w:t>
      </w:r>
    </w:p>
    <w:p>
      <w:pPr>
        <w:spacing w:after="0" w:line="131" w:lineRule="exact"/>
        <w:rPr>
          <w:sz w:val="20"/>
          <w:szCs w:val="20"/>
          <w:color w:val="auto"/>
        </w:rPr>
      </w:pPr>
    </w:p>
    <w:p>
      <w:pPr>
        <w:ind w:left="1440" w:right="200" w:hanging="567"/>
        <w:spacing w:after="0" w:line="286" w:lineRule="auto"/>
        <w:tabs>
          <w:tab w:leader="none" w:pos="144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Committee Approval of Special Diversification Elections</w:t>
      </w:r>
      <w:r>
        <w:rPr>
          <w:rFonts w:ascii="Arial" w:cs="Arial" w:eastAsia="Arial" w:hAnsi="Arial"/>
          <w:sz w:val="17"/>
          <w:szCs w:val="17"/>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80" w:top="274" w:right="259" w:bottom="1440" w:gutter="0" w:footer="0" w:header="0"/>
        </w:sectPr>
      </w:pPr>
    </w:p>
    <w:bookmarkStart w:id="72" w:name="page73"/>
    <w:bookmarkEnd w:id="72"/>
    <w:p>
      <w:pPr>
        <w:ind w:left="1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if (and to the extent) approved by the Committee or its delegate.</w:t>
      </w:r>
    </w:p>
    <w:p>
      <w:pPr>
        <w:spacing w:after="0" w:line="131" w:lineRule="exact"/>
        <w:rPr>
          <w:sz w:val="20"/>
          <w:szCs w:val="20"/>
          <w:color w:val="auto"/>
        </w:rPr>
      </w:pPr>
    </w:p>
    <w:p>
      <w:pPr>
        <w:ind w:left="1400" w:hanging="567"/>
        <w:spacing w:after="0" w:line="270" w:lineRule="auto"/>
        <w:tabs>
          <w:tab w:leader="none" w:pos="140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Timing and Manner of Making Diversification Elections</w:t>
      </w:r>
      <w:r>
        <w:rPr>
          <w:rFonts w:ascii="Arial" w:cs="Arial" w:eastAsia="Arial" w:hAnsi="Arial"/>
          <w:sz w:val="17"/>
          <w:szCs w:val="17"/>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87" w:lineRule="exact"/>
        <w:rPr>
          <w:rFonts w:ascii="Arial" w:cs="Arial" w:eastAsia="Arial" w:hAnsi="Arial"/>
          <w:sz w:val="17"/>
          <w:szCs w:val="17"/>
          <w:color w:val="auto"/>
        </w:rPr>
      </w:pPr>
    </w:p>
    <w:p>
      <w:pPr>
        <w:ind w:left="1400" w:right="20" w:hanging="567"/>
        <w:spacing w:after="0" w:line="276" w:lineRule="auto"/>
        <w:tabs>
          <w:tab w:leader="none" w:pos="140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Timing of Credits</w:t>
      </w:r>
      <w:r>
        <w:rPr>
          <w:rFonts w:ascii="Arial" w:cs="Arial" w:eastAsia="Arial" w:hAnsi="Arial"/>
          <w:sz w:val="17"/>
          <w:szCs w:val="17"/>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77" w:lineRule="exact"/>
        <w:rPr>
          <w:rFonts w:ascii="Arial" w:cs="Arial" w:eastAsia="Arial" w:hAnsi="Arial"/>
          <w:sz w:val="17"/>
          <w:szCs w:val="17"/>
          <w:color w:val="auto"/>
        </w:rPr>
      </w:pPr>
    </w:p>
    <w:p>
      <w:pPr>
        <w:ind w:left="1400" w:right="220" w:hanging="567"/>
        <w:spacing w:after="0" w:line="255"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Diversification Limit</w:t>
      </w:r>
      <w:r>
        <w:rPr>
          <w:rFonts w:ascii="Arial" w:cs="Arial" w:eastAsia="Arial" w:hAnsi="Arial"/>
          <w:sz w:val="18"/>
          <w:szCs w:val="18"/>
          <w:color w:val="auto"/>
        </w:rPr>
        <w:t>. No Diversification Election or Special Diversification Election during a calendar year by an Eligible Employee shall be effective if the sum of (x) the value of the Eligible Employee’s Account in the 2005 Deferred Compensation Plan, plus (y) the value of the Eligible Employee’s Account in the 2002 Deferred Compensation Plan, plus (z) the value of the Eligible Employee’s Account in this Plan to the extent such Account is credited to the “Income Fund,” exceeds the “Contribution Limit” (as defined in the 2005 Deferred Compensation Plan) with respect to such calendar year, determined as of September 30th immediately preceding such calendar year.</w:t>
      </w:r>
    </w:p>
    <w:p>
      <w:pPr>
        <w:spacing w:after="0" w:line="193" w:lineRule="exact"/>
        <w:rPr>
          <w:sz w:val="20"/>
          <w:szCs w:val="20"/>
          <w:color w:val="auto"/>
        </w:rPr>
      </w:pPr>
    </w:p>
    <w:p>
      <w:pPr>
        <w:ind w:left="-80" w:right="140" w:firstLine="464"/>
        <w:spacing w:after="0" w:line="277" w:lineRule="auto"/>
        <w:tabs>
          <w:tab w:leader="none" w:pos="59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Grantees’ Status as General Creditors</w:t>
      </w:r>
      <w:r>
        <w:rPr>
          <w:rFonts w:ascii="Arial" w:cs="Arial" w:eastAsia="Arial" w:hAnsi="Arial"/>
          <w:sz w:val="18"/>
          <w:szCs w:val="18"/>
          <w:color w:val="auto"/>
        </w:rPr>
        <w:t>. A Grantee’s right to delivery of Shares subject to an Election under this Paragraph 8, or to amounts deemed invested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320" w:top="274" w:right="299" w:bottom="1440" w:gutter="0" w:footer="0" w:header="0"/>
        </w:sectPr>
      </w:pPr>
    </w:p>
    <w:bookmarkStart w:id="73" w:name="page74"/>
    <w:bookmarkEnd w:id="73"/>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54" w:lineRule="exact"/>
        <w:rPr>
          <w:sz w:val="20"/>
          <w:szCs w:val="20"/>
          <w:color w:val="auto"/>
        </w:rPr>
      </w:pPr>
    </w:p>
    <w:p>
      <w:pPr>
        <w:ind w:right="100" w:firstLine="464"/>
        <w:spacing w:after="0" w:line="312" w:lineRule="auto"/>
        <w:tabs>
          <w:tab w:leader="none" w:pos="761"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46" w:lineRule="exact"/>
        <w:rPr>
          <w:rFonts w:ascii="Arial" w:cs="Arial" w:eastAsia="Arial" w:hAnsi="Arial"/>
          <w:sz w:val="16"/>
          <w:szCs w:val="16"/>
          <w:color w:val="auto"/>
        </w:rPr>
      </w:pPr>
    </w:p>
    <w:p>
      <w:pPr>
        <w:ind w:firstLine="464"/>
        <w:spacing w:after="0" w:line="276" w:lineRule="auto"/>
        <w:tabs>
          <w:tab w:leader="none" w:pos="711"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Required Suspension of Payment of Benefits</w:t>
      </w:r>
      <w:r>
        <w:rPr>
          <w:rFonts w:ascii="Arial" w:cs="Arial" w:eastAsia="Arial" w:hAnsi="Arial"/>
          <w:sz w:val="17"/>
          <w:szCs w:val="17"/>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317" w:lineRule="exact"/>
        <w:rPr>
          <w:rFonts w:ascii="Arial" w:cs="Arial" w:eastAsia="Arial" w:hAnsi="Arial"/>
          <w:sz w:val="17"/>
          <w:szCs w:val="17"/>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 TAXES</w:t>
      </w:r>
    </w:p>
    <w:p>
      <w:pPr>
        <w:spacing w:after="0" w:line="121" w:lineRule="exact"/>
        <w:rPr>
          <w:rFonts w:ascii="Arial" w:cs="Arial" w:eastAsia="Arial" w:hAnsi="Arial"/>
          <w:sz w:val="18"/>
          <w:szCs w:val="18"/>
          <w:b w:val="1"/>
          <w:bCs w:val="1"/>
          <w:color w:val="auto"/>
        </w:rPr>
      </w:pPr>
    </w:p>
    <w:p>
      <w:pPr>
        <w:ind w:right="20" w:firstLine="464"/>
        <w:spacing w:after="0" w:line="257" w:lineRule="auto"/>
        <w:tabs>
          <w:tab w:leader="none" w:pos="701"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88" w:lineRule="exact"/>
        <w:rPr>
          <w:rFonts w:ascii="Arial" w:cs="Arial" w:eastAsia="Arial" w:hAnsi="Arial"/>
          <w:sz w:val="18"/>
          <w:szCs w:val="18"/>
          <w:color w:val="auto"/>
        </w:rPr>
      </w:pPr>
    </w:p>
    <w:p>
      <w:pPr>
        <w:ind w:right="120" w:firstLine="464"/>
        <w:spacing w:after="0" w:line="259" w:lineRule="auto"/>
        <w:tabs>
          <w:tab w:leader="none" w:pos="711"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74" w:name="page75"/>
    <w:bookmarkEnd w:id="74"/>
    <w:p>
      <w:pPr>
        <w:ind w:left="240" w:hanging="236"/>
        <w:spacing w:after="0"/>
        <w:tabs>
          <w:tab w:leader="none" w:pos="2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Tax Liabilities; Election to Withhold Shares or Pay Cash to Satisfy Tax Liability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20" w:right="60" w:hanging="567"/>
        <w:spacing w:after="0" w:line="272" w:lineRule="auto"/>
        <w:tabs>
          <w:tab w:leader="none" w:pos="10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 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83" w:lineRule="exact"/>
        <w:rPr>
          <w:rFonts w:ascii="Arial" w:cs="Arial" w:eastAsia="Arial" w:hAnsi="Arial"/>
          <w:sz w:val="17"/>
          <w:szCs w:val="17"/>
          <w:color w:val="auto"/>
        </w:rPr>
      </w:pPr>
    </w:p>
    <w:p>
      <w:pPr>
        <w:ind w:left="1020" w:hanging="567"/>
        <w:spacing w:after="0" w:line="268" w:lineRule="auto"/>
        <w:tabs>
          <w:tab w:leader="none" w:pos="10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Except as otherwise provided in this Paragraph 9(c)(ii), any tax withholding obligations incurred in connection with the grant of any Award, the occurrence of a Vesting Date under any Award under the Plan that is not subject to an Initial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to satisfy tax withholding obligations with respect to any Award under the Plan that is not subject to an Initial Election: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74" w:right="239" w:bottom="1440" w:gutter="0" w:footer="0" w:header="0"/>
        </w:sectPr>
      </w:pPr>
    </w:p>
    <w:bookmarkStart w:id="75" w:name="page76"/>
    <w:bookmarkEnd w:id="75"/>
    <w:p>
      <w:pPr>
        <w:ind w:left="1480"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77" w:lineRule="exact"/>
        <w:rPr>
          <w:sz w:val="20"/>
          <w:szCs w:val="20"/>
          <w:color w:val="auto"/>
        </w:rPr>
      </w:pPr>
    </w:p>
    <w:p>
      <w:pPr>
        <w:ind w:left="1480" w:hanging="567"/>
        <w:spacing w:after="0" w:line="286" w:lineRule="auto"/>
        <w:tabs>
          <w:tab w:leader="none" w:pos="14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part of a Grantee’s Award is subject to an Initial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Election, the Grantee shall be required to remit to the Company an amount sufficient to satisfy any federal, state and/or local withholding tax requirements. As part of the Grantee’s Initial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319"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w:t>
      </w:r>
    </w:p>
    <w:p>
      <w:pPr>
        <w:spacing w:after="0" w:line="46"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76" w:name="page77"/>
    <w:bookmarkEnd w:id="76"/>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326"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31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170" w:lineRule="exact"/>
        <w:rPr>
          <w:sz w:val="20"/>
          <w:szCs w:val="20"/>
          <w:color w:val="auto"/>
        </w:rPr>
      </w:pPr>
    </w:p>
    <w:p>
      <w:pPr>
        <w:ind w:left="700" w:hanging="23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25" w:lineRule="exact"/>
        <w:rPr>
          <w:rFonts w:ascii="Arial" w:cs="Arial" w:eastAsia="Arial" w:hAnsi="Arial"/>
          <w:sz w:val="18"/>
          <w:szCs w:val="18"/>
          <w:color w:val="auto"/>
        </w:rPr>
      </w:pPr>
    </w:p>
    <w:p>
      <w:pPr>
        <w:ind w:right="380" w:firstLine="464"/>
        <w:spacing w:after="0" w:line="277" w:lineRule="auto"/>
        <w:tabs>
          <w:tab w:leader="none" w:pos="7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processing the claim, the Committee may notify the Applicant in writing that an additional period of up to 90 days will be required to process the claim.</w:t>
      </w:r>
    </w:p>
    <w:p>
      <w:pPr>
        <w:spacing w:after="0" w:line="24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 52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35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78" w:name="page79"/>
    <w:bookmarkEnd w:id="78"/>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AND TERMINATION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31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expire on May 11, 2021, unless sooner terminated by the Board.</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460" w:right="840"/>
        <w:spacing w:after="0" w:line="516" w:lineRule="auto"/>
        <w:rPr>
          <w:rFonts w:ascii="Arial" w:cs="Arial" w:eastAsia="Arial" w:hAnsi="Arial"/>
          <w:sz w:val="18"/>
          <w:szCs w:val="18"/>
          <w:b w:val="1"/>
          <w:bCs w:val="1"/>
          <w:color w:val="auto"/>
        </w:rPr>
      </w:pPr>
      <w:r>
        <w:rPr>
          <w:rFonts w:ascii="Arial" w:cs="Arial" w:eastAsia="Arial" w:hAnsi="Arial"/>
          <w:sz w:val="18"/>
          <w:szCs w:val="18"/>
          <w:color w:val="auto"/>
        </w:rPr>
        <w:t>The Plan and all determinations made and actions taken pursuant to the Plan shall be governed in accordance with Pennsylvania law. Executed on the 24th day of February, 2014.</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14605</wp:posOffset>
            </wp:positionV>
            <wp:extent cx="24269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60"/>
          </w:cols>
          <w:pgMar w:left="240" w:top="270" w:right="79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April 22,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April 22,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Principal Executive Officer, and Michael J. Angelakis,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lowerLetter"/>
      <w:start w:val="1"/>
    </w:lvl>
  </w:abstractNum>
  <w:abstractNum w:abstractNumId="6">
    <w:nsid w:val="77465F01"/>
    <w:multiLevelType w:val="hybridMultilevel"/>
    <w:lvl w:ilvl="0">
      <w:lvlJc w:val="left"/>
      <w:lvlText w:val="(%1)"/>
      <w:numFmt w:val="lowerLetter"/>
      <w:start w:val="2"/>
    </w:lvl>
    <w:lvl w:ilvl="1">
      <w:lvlJc w:val="left"/>
      <w:lvlText w:val="•"/>
      <w:numFmt w:val="bullet"/>
      <w:start w:val="1"/>
    </w:lvl>
  </w:abstractNum>
  <w:abstractNum w:abstractNumId="7">
    <w:nsid w:val="7724C67E"/>
    <w:multiLevelType w:val="hybridMultilevel"/>
    <w:lvl w:ilvl="0">
      <w:lvlJc w:val="left"/>
      <w:lvlText w:val="(%1)"/>
      <w:numFmt w:val="lowerLetter"/>
      <w:start w:val="1"/>
    </w:lvl>
  </w:abstractNum>
  <w:abstractNum w:abstractNumId="8">
    <w:nsid w:val="5C482A97"/>
    <w:multiLevelType w:val="hybridMultilevel"/>
    <w:lvl w:ilvl="0">
      <w:lvlJc w:val="left"/>
      <w:lvlText w:val="*"/>
      <w:numFmt w:val="bullet"/>
      <w:start w:val="1"/>
    </w:lvl>
    <w:lvl w:ilvl="1">
      <w:lvlJc w:val="left"/>
      <w:lvlText w:val="%2"/>
      <w:numFmt w:val="decimal"/>
      <w:start w:val="101"/>
    </w:lvl>
  </w:abstractNum>
  <w:abstractNum w:abstractNumId="9">
    <w:nsid w:val="2463B9EA"/>
    <w:multiLevelType w:val="hybridMultilevel"/>
    <w:lvl w:ilvl="0">
      <w:lvlJc w:val="left"/>
      <w:lvlText w:val="%1"/>
      <w:numFmt w:val="decimal"/>
      <w:start w:val="10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1)"/>
      <w:numFmt w:val="lowerLetter"/>
      <w:start w:val="1"/>
    </w:lvl>
  </w:abstractNum>
  <w:abstractNum w:abstractNumId="12">
    <w:nsid w:val="2D517796"/>
    <w:multiLevelType w:val="hybridMultilevel"/>
    <w:lvl w:ilvl="0">
      <w:lvlJc w:val="left"/>
      <w:lvlText w:val="%1."/>
      <w:numFmt w:val="decimal"/>
      <w:start w:val="1"/>
    </w:lvl>
    <w:lvl w:ilvl="1">
      <w:lvlJc w:val="left"/>
      <w:lvlText w:val="(%2)"/>
      <w:numFmt w:val="lowerLetter"/>
      <w:start w:val="1"/>
    </w:lvl>
  </w:abstractNum>
  <w:abstractNum w:abstractNumId="13">
    <w:nsid w:val="580BD78F"/>
    <w:multiLevelType w:val="hybridMultilevel"/>
    <w:lvl w:ilvl="0">
      <w:lvlJc w:val="left"/>
      <w:lvlText w:val="%1"/>
      <w:numFmt w:val="decimal"/>
      <w:start w:val="14"/>
    </w:lvl>
    <w:lvl w:ilvl="1">
      <w:lvlJc w:val="left"/>
      <w:lvlText w:val="(%2)"/>
      <w:numFmt w:val="lowerLetter"/>
      <w:start w:val="4"/>
    </w:lvl>
  </w:abstractNum>
  <w:abstractNum w:abstractNumId="14">
    <w:nsid w:val="153EA43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5">
    <w:nsid w:val="3855585C"/>
    <w:multiLevelType w:val="hybridMultilevel"/>
    <w:lvl w:ilvl="0">
      <w:lvlJc w:val="left"/>
      <w:lvlText w:val="%1"/>
      <w:numFmt w:val="lowerRoman"/>
      <w:start w:val="1"/>
    </w:lvl>
    <w:lvl w:ilvl="1">
      <w:lvlJc w:val="left"/>
      <w:lvlText w:val="(%2)"/>
      <w:numFmt w:val="upperLetter"/>
      <w:start w:val="2"/>
    </w:lvl>
  </w:abstractNum>
  <w:abstractNum w:abstractNumId="16">
    <w:nsid w:val="70A64E2A"/>
    <w:multiLevelType w:val="hybridMultilevel"/>
    <w:lvl w:ilvl="0">
      <w:lvlJc w:val="left"/>
      <w:lvlText w:val="(%1)"/>
      <w:numFmt w:val="lowerRoman"/>
      <w:start w:val="2"/>
    </w:lvl>
    <w:lvl w:ilvl="1">
      <w:lvlJc w:val="left"/>
      <w:lvlText w:val="%2"/>
      <w:numFmt w:val="upperLetter"/>
      <w:start w:val="1"/>
    </w:lvl>
  </w:abstractNum>
  <w:abstractNum w:abstractNumId="17">
    <w:nsid w:val="6A2342EC"/>
    <w:multiLevelType w:val="hybridMultilevel"/>
    <w:lvl w:ilvl="0">
      <w:lvlJc w:val="left"/>
      <w:lvlText w:val="(%1)"/>
      <w:numFmt w:val="lowerLetter"/>
      <w:start w:val="7"/>
    </w:lvl>
    <w:lvl w:ilvl="1">
      <w:lvlJc w:val="left"/>
      <w:lvlText w:val="(%2)"/>
      <w:numFmt w:val="lowerRoman"/>
      <w:start w:val="1"/>
    </w:lvl>
  </w:abstractNum>
  <w:abstractNum w:abstractNumId="18">
    <w:nsid w:val="2A487CB0"/>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1"/>
    </w:lvl>
  </w:abstractNum>
  <w:abstractNum w:abstractNumId="19">
    <w:nsid w:val="1D4ED43B"/>
    <w:multiLevelType w:val="hybridMultilevel"/>
    <w:lvl w:ilvl="0">
      <w:lvlJc w:val="left"/>
      <w:lvlText w:val="%1"/>
      <w:numFmt w:val="lowerRoman"/>
      <w:start w:val="1"/>
    </w:lvl>
    <w:lvl w:ilvl="1">
      <w:lvlJc w:val="left"/>
      <w:lvlText w:val="(%2)"/>
      <w:numFmt w:val="upperLetter"/>
      <w:start w:val="2"/>
    </w:lvl>
  </w:abstractNum>
  <w:abstractNum w:abstractNumId="20">
    <w:nsid w:val="725A06FB"/>
    <w:multiLevelType w:val="hybridMultilevel"/>
    <w:lvl w:ilvl="0">
      <w:lvlJc w:val="left"/>
      <w:lvlText w:val="(%1)"/>
      <w:numFmt w:val="lowerRoman"/>
      <w:start w:val="2"/>
    </w:lvl>
    <w:lvl w:ilvl="1">
      <w:lvlJc w:val="left"/>
      <w:lvlText w:val="(%2)"/>
      <w:numFmt w:val="upperLetter"/>
      <w:start w:val="1"/>
    </w:lvl>
  </w:abstractNum>
  <w:abstractNum w:abstractNumId="21">
    <w:nsid w:val="2CD89A32"/>
    <w:multiLevelType w:val="hybridMultilevel"/>
    <w:lvl w:ilvl="0">
      <w:lvlJc w:val="left"/>
      <w:lvlText w:val="(%1)"/>
      <w:numFmt w:val="lowerLetter"/>
      <w:start w:val="20"/>
    </w:lvl>
    <w:lvl w:ilvl="1">
      <w:lvlJc w:val="left"/>
      <w:lvlText w:val="(%2)"/>
      <w:numFmt w:val="lowerRoman"/>
      <w:start w:val="1"/>
    </w:lvl>
  </w:abstractNum>
  <w:abstractNum w:abstractNumId="22">
    <w:nsid w:val="57E4CCAF"/>
    <w:multiLevelType w:val="hybridMultilevel"/>
    <w:lvl w:ilvl="0">
      <w:lvlJc w:val="left"/>
      <w:lvlText w:val="(%1)"/>
      <w:numFmt w:val="lowerLetter"/>
      <w:start w:val="22"/>
    </w:lvl>
    <w:lvl w:ilvl="1">
      <w:lvlJc w:val="left"/>
      <w:lvlText w:val="(%2)"/>
      <w:numFmt w:val="lowerRoman"/>
      <w:start w:val="1"/>
    </w:lvl>
  </w:abstractNum>
  <w:abstractNum w:abstractNumId="23">
    <w:nsid w:val="7A6D8D3C"/>
    <w:multiLevelType w:val="hybridMultilevel"/>
    <w:lvl w:ilvl="0">
      <w:lvlJc w:val="left"/>
      <w:lvlText w:val="(%1)"/>
      <w:numFmt w:val="lowerLetter"/>
      <w:start w:val="27"/>
    </w:lvl>
  </w:abstractNum>
  <w:abstractNum w:abstractNumId="24">
    <w:nsid w:val="4B588F54"/>
    <w:multiLevelType w:val="hybridMultilevel"/>
    <w:lvl w:ilvl="0">
      <w:lvlJc w:val="left"/>
      <w:lvlText w:val="(%1)"/>
      <w:numFmt w:val="lowerLetter"/>
      <w:start w:val="31"/>
    </w:lvl>
    <w:lvl w:ilvl="1">
      <w:lvlJc w:val="left"/>
      <w:lvlText w:val="(%2)"/>
      <w:numFmt w:val="lowerRoman"/>
      <w:start w:val="1"/>
    </w:lvl>
    <w:lvl w:ilvl="2">
      <w:lvlJc w:val="left"/>
      <w:lvlText w:val="(%3)"/>
      <w:numFmt w:val="upperLetter"/>
      <w:start w:val="1"/>
    </w:lvl>
  </w:abstractNum>
  <w:abstractNum w:abstractNumId="25">
    <w:nsid w:val="542289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6">
    <w:nsid w:val="6DE91B18"/>
    <w:multiLevelType w:val="hybridMultilevel"/>
    <w:lvl w:ilvl="0">
      <w:lvlJc w:val="left"/>
      <w:lvlText w:val="(%1)"/>
      <w:numFmt w:val="lowerLetter"/>
      <w:start w:val="32"/>
    </w:lvl>
    <w:lvl w:ilvl="1">
      <w:lvlJc w:val="left"/>
      <w:lvlText w:val="(%2)"/>
      <w:numFmt w:val="lowerRoman"/>
      <w:start w:val="1"/>
    </w:lvl>
    <w:lvl w:ilvl="2">
      <w:lvlJc w:val="left"/>
      <w:lvlText w:val="(%3)"/>
      <w:numFmt w:val="upperLetter"/>
      <w:start w:val="1"/>
    </w:lvl>
  </w:abstractNum>
  <w:abstractNum w:abstractNumId="27">
    <w:nsid w:val="38437FDB"/>
    <w:multiLevelType w:val="hybridMultilevel"/>
    <w:lvl w:ilvl="0">
      <w:lvlJc w:val="left"/>
      <w:lvlText w:val="(%1)"/>
      <w:numFmt w:val="lowerLetter"/>
      <w:start w:val="3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8">
    <w:nsid w:val="7644A45C"/>
    <w:multiLevelType w:val="hybridMultilevel"/>
    <w:lvl w:ilvl="0">
      <w:lvlJc w:val="left"/>
      <w:lvlText w:val="(%1)"/>
      <w:numFmt w:val="lowerLetter"/>
      <w:start w:val="38"/>
    </w:lvl>
  </w:abstractNum>
  <w:abstractNum w:abstractNumId="29">
    <w:nsid w:val="32FFF902"/>
    <w:multiLevelType w:val="hybridMultilevel"/>
    <w:lvl w:ilvl="0">
      <w:lvlJc w:val="left"/>
      <w:lvlText w:val="(%1)"/>
      <w:numFmt w:val="lowerLetter"/>
      <w:start w:val="48"/>
    </w:lvl>
    <w:lvl w:ilvl="1">
      <w:lvlJc w:val="left"/>
      <w:lvlText w:val="(%2)"/>
      <w:numFmt w:val="lowerRoman"/>
      <w:start w:val="1"/>
    </w:lvl>
  </w:abstractNum>
  <w:abstractNum w:abstractNumId="30">
    <w:nsid w:val="684A481A"/>
    <w:multiLevelType w:val="hybridMultilevel"/>
    <w:lvl w:ilvl="0">
      <w:lvlJc w:val="left"/>
      <w:lvlText w:val="(%1)"/>
      <w:numFmt w:val="lowerLetter"/>
      <w:start w:val="53"/>
    </w:lvl>
    <w:lvl w:ilvl="1">
      <w:lvlJc w:val="left"/>
      <w:lvlText w:val="(%2)"/>
      <w:numFmt w:val="lowerRoman"/>
      <w:start w:val="1"/>
    </w:lvl>
  </w:abstractNum>
  <w:abstractNum w:abstractNumId="31">
    <w:nsid w:val="579478FE"/>
    <w:multiLevelType w:val="hybridMultilevel"/>
    <w:lvl w:ilvl="0">
      <w:lvlJc w:val="left"/>
      <w:lvlText w:val="%1"/>
      <w:numFmt w:val="decimal"/>
      <w:start w:val="1"/>
    </w:lvl>
    <w:lvl w:ilvl="1">
      <w:lvlJc w:val="left"/>
      <w:lvlText w:val="(%2)"/>
      <w:numFmt w:val="lowerLetter"/>
      <w:start w:val="57"/>
    </w:lvl>
    <w:lvl w:ilvl="2">
      <w:lvlJc w:val="left"/>
      <w:lvlText w:val="%3"/>
      <w:numFmt w:val="lowerLetter"/>
      <w:start w:val="1"/>
    </w:lvl>
  </w:abstractNum>
  <w:abstractNum w:abstractNumId="32">
    <w:nsid w:val="749ABB4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3">
    <w:nsid w:val="3DC240FB"/>
    <w:multiLevelType w:val="hybridMultilevel"/>
    <w:lvl w:ilvl="0">
      <w:lvlJc w:val="left"/>
      <w:lvlText w:val="(%1)"/>
      <w:numFmt w:val="lowerRoman"/>
      <w:start w:val="2"/>
    </w:lvl>
  </w:abstractNum>
  <w:abstractNum w:abstractNumId="34">
    <w:nsid w:val="1BA026FA"/>
    <w:multiLevelType w:val="hybridMultilevel"/>
    <w:lvl w:ilvl="0">
      <w:lvlJc w:val="left"/>
      <w:lvlText w:val="(%1)"/>
      <w:numFmt w:val="lowerLetter"/>
      <w:start w:val="3"/>
    </w:lvl>
    <w:lvl w:ilvl="1">
      <w:lvlJc w:val="left"/>
      <w:lvlText w:val="(%2)"/>
      <w:numFmt w:val="lowerRoman"/>
      <w:start w:val="1"/>
    </w:lvl>
  </w:abstractNum>
  <w:abstractNum w:abstractNumId="35">
    <w:nsid w:val="79A1DEAA"/>
    <w:multiLevelType w:val="hybridMultilevel"/>
    <w:lvl w:ilvl="0">
      <w:lvlJc w:val="left"/>
      <w:lvlText w:val="%1"/>
      <w:numFmt w:val="decimal"/>
      <w:start w:val="1"/>
    </w:lvl>
    <w:lvl w:ilvl="1">
      <w:lvlJc w:val="left"/>
      <w:lvlText w:val="(%2)"/>
      <w:numFmt w:val="lowerRoman"/>
      <w:start w:val="3"/>
    </w:lvl>
  </w:abstractNum>
  <w:abstractNum w:abstractNumId="36">
    <w:nsid w:val="75C6C33A"/>
    <w:multiLevelType w:val="hybridMultilevel"/>
    <w:lvl w:ilvl="0">
      <w:lvlJc w:val="left"/>
      <w:lvlText w:val="%1."/>
      <w:numFmt w:val="decimal"/>
      <w:start w:val="6"/>
    </w:lvl>
    <w:lvl w:ilvl="1">
      <w:lvlJc w:val="left"/>
      <w:lvlText w:val="%2"/>
      <w:numFmt w:val="lowerRoman"/>
      <w:start w:val="1"/>
    </w:lvl>
  </w:abstractNum>
  <w:abstractNum w:abstractNumId="37">
    <w:nsid w:val="12E685FB"/>
    <w:multiLevelType w:val="hybridMultilevel"/>
    <w:lvl w:ilvl="0">
      <w:lvlJc w:val="left"/>
      <w:lvlText w:val="(%1)"/>
      <w:numFmt w:val="lowerLetter"/>
      <w:start w:val="1"/>
    </w:lvl>
  </w:abstractNum>
  <w:abstractNum w:abstractNumId="38">
    <w:nsid w:val="70C6A529"/>
    <w:multiLevelType w:val="hybridMultilevel"/>
    <w:lvl w:ilvl="0">
      <w:lvlJc w:val="left"/>
      <w:lvlText w:val="%1"/>
      <w:numFmt w:val="decimal"/>
      <w:start w:val="1"/>
    </w:lvl>
    <w:lvl w:ilvl="1">
      <w:lvlJc w:val="left"/>
      <w:lvlText w:val="(%2)"/>
      <w:numFmt w:val="lowerLetter"/>
      <w:start w:val="6"/>
    </w:lvl>
  </w:abstractNum>
  <w:abstractNum w:abstractNumId="39">
    <w:nsid w:val="520EEDD1"/>
    <w:multiLevelType w:val="hybridMultilevel"/>
    <w:lvl w:ilvl="0">
      <w:lvlJc w:val="left"/>
      <w:lvlText w:val="%1."/>
      <w:numFmt w:val="decimal"/>
      <w:start w:val="8"/>
    </w:lvl>
    <w:lvl w:ilvl="1">
      <w:lvlJc w:val="left"/>
      <w:lvlText w:val="%2"/>
      <w:numFmt w:val="lowerLetter"/>
      <w:start w:val="1"/>
    </w:lvl>
  </w:abstractNum>
  <w:abstractNum w:abstractNumId="40">
    <w:nsid w:val="374A3FE6"/>
    <w:multiLevelType w:val="hybridMultilevel"/>
    <w:lvl w:ilvl="0">
      <w:lvlJc w:val="left"/>
      <w:lvlText w:val="(%1)"/>
      <w:numFmt w:val="lowerLetter"/>
      <w:start w:val="1"/>
    </w:lvl>
    <w:lvl w:ilvl="1">
      <w:lvlJc w:val="left"/>
      <w:lvlText w:val="(%2)"/>
      <w:numFmt w:val="lowerRoman"/>
      <w:start w:val="1"/>
    </w:lvl>
  </w:abstractNum>
  <w:abstractNum w:abstractNumId="41">
    <w:nsid w:val="4F4EF005"/>
    <w:multiLevelType w:val="hybridMultilevel"/>
    <w:lvl w:ilvl="0">
      <w:lvlJc w:val="left"/>
      <w:lvlText w:val="%1"/>
      <w:numFmt w:val="lowerLetter"/>
      <w:start w:val="1"/>
    </w:lvl>
    <w:lvl w:ilvl="1">
      <w:lvlJc w:val="left"/>
      <w:lvlText w:val="(%2)"/>
      <w:numFmt w:val="lowerRoman"/>
      <w:start w:val="2"/>
    </w:lvl>
  </w:abstractNum>
  <w:abstractNum w:abstractNumId="42">
    <w:nsid w:val="23F9C13C"/>
    <w:multiLevelType w:val="hybridMultilevel"/>
    <w:lvl w:ilvl="0">
      <w:lvlJc w:val="left"/>
      <w:lvlText w:val="(%1)"/>
      <w:numFmt w:val="lowerLetter"/>
      <w:start w:val="5"/>
    </w:lvl>
    <w:lvl w:ilvl="1">
      <w:lvlJc w:val="left"/>
      <w:lvlText w:val="%2"/>
      <w:numFmt w:val="lowerRoman"/>
      <w:start w:val="1"/>
    </w:lvl>
  </w:abstractNum>
  <w:abstractNum w:abstractNumId="43">
    <w:nsid w:val="649BB77C"/>
    <w:multiLevelType w:val="hybridMultilevel"/>
    <w:lvl w:ilvl="0">
      <w:lvlJc w:val="left"/>
      <w:lvlText w:val="%1"/>
      <w:numFmt w:val="lowerLetter"/>
      <w:start w:val="1"/>
    </w:lvl>
    <w:lvl w:ilvl="1">
      <w:lvlJc w:val="left"/>
      <w:lvlText w:val="(%2)"/>
      <w:numFmt w:val="lowerRoman"/>
      <w:start w:val="1"/>
    </w:lvl>
  </w:abstractNum>
  <w:abstractNum w:abstractNumId="44">
    <w:nsid w:val="275AC794"/>
    <w:multiLevelType w:val="hybridMultilevel"/>
    <w:lvl w:ilvl="0">
      <w:lvlJc w:val="left"/>
      <w:lvlText w:val="(%1)"/>
      <w:numFmt w:val="lowerLetter"/>
      <w:start w:val="8"/>
    </w:lvl>
    <w:lvl w:ilvl="1">
      <w:lvlJc w:val="left"/>
      <w:lvlText w:val="(%2)"/>
      <w:numFmt w:val="lowerRoman"/>
      <w:start w:val="1"/>
    </w:lvl>
  </w:abstractNum>
  <w:abstractNum w:abstractNumId="45">
    <w:nsid w:val="3938657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6">
    <w:nsid w:val="1CF10FD8"/>
    <w:multiLevelType w:val="hybridMultilevel"/>
    <w:lvl w:ilvl="0">
      <w:lvlJc w:val="left"/>
      <w:lvlText w:val="(%1)"/>
      <w:numFmt w:val="lowerLetter"/>
      <w:start w:val="10"/>
    </w:lvl>
    <w:lvl w:ilvl="1">
      <w:lvlJc w:val="left"/>
      <w:lvlText w:val="(%2)"/>
      <w:numFmt w:val="lowerLetter"/>
      <w:start w:val="9"/>
    </w:lvl>
    <w:lvl w:ilvl="2">
      <w:lvlJc w:val="left"/>
      <w:lvlText w:val="(%3)"/>
      <w:numFmt w:val="upperLetter"/>
      <w:start w:val="1"/>
    </w:lvl>
  </w:abstractNum>
  <w:abstractNum w:abstractNumId="47">
    <w:nsid w:val="180115BE"/>
    <w:multiLevelType w:val="hybridMultilevel"/>
    <w:lvl w:ilvl="0">
      <w:lvlJc w:val="left"/>
      <w:lvlText w:val="(%1)"/>
      <w:numFmt w:val="lowerRoman"/>
      <w:start w:val="2"/>
    </w:lvl>
  </w:abstractNum>
  <w:abstractNum w:abstractNumId="48">
    <w:nsid w:val="235BA861"/>
    <w:multiLevelType w:val="hybridMultilevel"/>
    <w:lvl w:ilvl="0">
      <w:lvlJc w:val="left"/>
      <w:lvlText w:val="(%1)"/>
      <w:numFmt w:val="lowerRoman"/>
      <w:start w:val="3"/>
    </w:lvl>
  </w:abstractNum>
  <w:abstractNum w:abstractNumId="49">
    <w:nsid w:val="47398C89"/>
    <w:multiLevelType w:val="hybridMultilevel"/>
    <w:lvl w:ilvl="0">
      <w:lvlJc w:val="left"/>
      <w:lvlText w:val="(%1)"/>
      <w:numFmt w:val="lowerLetter"/>
      <w:start w:val="12"/>
    </w:lvl>
  </w:abstractNum>
  <w:abstractNum w:abstractNumId="50">
    <w:nsid w:val="354FE9F9"/>
    <w:multiLevelType w:val="hybridMultilevel"/>
    <w:lvl w:ilvl="0">
      <w:lvlJc w:val="left"/>
      <w:lvlText w:val="%1"/>
      <w:numFmt w:val="decimal"/>
      <w:start w:val="1"/>
    </w:lvl>
    <w:lvl w:ilvl="1">
      <w:lvlJc w:val="left"/>
      <w:lvlText w:val="(%2)"/>
      <w:numFmt w:val="lowerLetter"/>
      <w:start w:val="13"/>
    </w:lvl>
  </w:abstractNum>
  <w:abstractNum w:abstractNumId="51">
    <w:nsid w:val="15B5AF5C"/>
    <w:multiLevelType w:val="hybridMultilevel"/>
    <w:lvl w:ilvl="0">
      <w:lvlJc w:val="left"/>
      <w:lvlText w:val="%1."/>
      <w:numFmt w:val="decimal"/>
      <w:start w:val="9"/>
    </w:lvl>
    <w:lvl w:ilvl="1">
      <w:lvlJc w:val="left"/>
      <w:lvlText w:val="(%2)"/>
      <w:numFmt w:val="lowerLetter"/>
      <w:start w:val="1"/>
    </w:lvl>
  </w:abstractNum>
  <w:abstractNum w:abstractNumId="52">
    <w:nsid w:val="741226BB"/>
    <w:multiLevelType w:val="hybridMultilevel"/>
    <w:lvl w:ilvl="0">
      <w:lvlJc w:val="left"/>
      <w:lvlText w:val="(%1)"/>
      <w:numFmt w:val="lowerLetter"/>
      <w:start w:val="3"/>
    </w:lvl>
    <w:lvl w:ilvl="1">
      <w:lvlJc w:val="left"/>
      <w:lvlText w:val="(%2)"/>
      <w:numFmt w:val="lowerRoman"/>
      <w:start w:val="1"/>
    </w:lvl>
  </w:abstractNum>
  <w:abstractNum w:abstractNumId="53">
    <w:nsid w:val="D34B6A8"/>
    <w:multiLevelType w:val="hybridMultilevel"/>
    <w:lvl w:ilvl="0">
      <w:lvlJc w:val="left"/>
      <w:lvlText w:val="%1"/>
      <w:numFmt w:val="decimal"/>
      <w:start w:val="1"/>
    </w:lvl>
    <w:lvl w:ilvl="1">
      <w:lvlJc w:val="left"/>
      <w:lvlText w:val="(%2)"/>
      <w:numFmt w:val="lowerRoman"/>
      <w:start w:val="3"/>
    </w:lvl>
  </w:abstractNum>
  <w:abstractNum w:abstractNumId="54">
    <w:nsid w:val="10233C99"/>
    <w:multiLevelType w:val="hybridMultilevel"/>
    <w:lvl w:ilvl="0">
      <w:lvlJc w:val="left"/>
      <w:lvlText w:val="%1."/>
      <w:numFmt w:val="decimal"/>
      <w:start w:val="10"/>
    </w:lvl>
    <w:lvl w:ilvl="1">
      <w:lvlJc w:val="left"/>
      <w:lvlText w:val="%2"/>
      <w:numFmt w:val="lowerRoman"/>
      <w:start w:val="1"/>
    </w:lvl>
  </w:abstractNum>
  <w:abstractNum w:abstractNumId="55">
    <w:nsid w:val="3F6AB60F"/>
    <w:multiLevelType w:val="hybridMultilevel"/>
    <w:lvl w:ilvl="0">
      <w:lvlJc w:val="left"/>
      <w:lvlText w:val="%1."/>
      <w:numFmt w:val="decimal"/>
      <w:start w:val="11"/>
    </w:lvl>
  </w:abstractNum>
  <w:abstractNum w:abstractNumId="56">
    <w:nsid w:val="61574095"/>
    <w:multiLevelType w:val="hybridMultilevel"/>
    <w:lvl w:ilvl="0">
      <w:lvlJc w:val="left"/>
      <w:lvlText w:val="%1."/>
      <w:numFmt w:val="decimal"/>
      <w:start w:val="12"/>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decimal"/>
      <w:start w:val="13"/>
    </w:lvl>
  </w:abstractNum>
  <w:abstractNum w:abstractNumId="59">
    <w:nsid w:val="579BE4F1"/>
    <w:multiLevelType w:val="hybridMultilevel"/>
    <w:lvl w:ilvl="0">
      <w:lvlJc w:val="left"/>
      <w:lvlText w:val="%1."/>
      <w:numFmt w:val="decimal"/>
      <w:start w:val="14"/>
    </w:lvl>
  </w:abstractNum>
  <w:abstractNum w:abstractNumId="60">
    <w:nsid w:val="310C50B3"/>
    <w:multiLevelType w:val="hybridMultilevel"/>
    <w:lvl w:ilvl="0">
      <w:lvlJc w:val="left"/>
      <w:lvlText w:val="%1."/>
      <w:numFmt w:val="decimal"/>
      <w:start w:val="15"/>
    </w:lvl>
  </w:abstractNum>
  <w:abstractNum w:abstractNumId="61">
    <w:nsid w:val="5FF87E05"/>
    <w:multiLevelType w:val="hybridMultilevel"/>
    <w:lvl w:ilvl="0">
      <w:lvlJc w:val="left"/>
      <w:lvlText w:val="%1."/>
      <w:numFmt w:val="decimal"/>
      <w:start w:val="1"/>
    </w:lvl>
    <w:lvl w:ilvl="1">
      <w:lvlJc w:val="left"/>
      <w:lvlText w:val="%2)"/>
      <w:numFmt w:val="lowerLetter"/>
      <w:start w:val="1"/>
    </w:lvl>
  </w:abstractNum>
  <w:abstractNum w:abstractNumId="62">
    <w:nsid w:val="2F305DEF"/>
    <w:multiLevelType w:val="hybridMultilevel"/>
    <w:lvl w:ilvl="0">
      <w:lvlJc w:val="left"/>
      <w:lvlText w:val="%1."/>
      <w:numFmt w:val="decimal"/>
      <w:start w:val="1"/>
    </w:lvl>
    <w:lvl w:ilvl="1">
      <w:lvlJc w:val="left"/>
      <w:lvlText w:val="%2)"/>
      <w:numFmt w:val="lowerLetter"/>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2019-12-07T03:22:44Z</dcterms:created>
  <dcterms:modified xsi:type="dcterms:W3CDTF">2019-12-07T03:22:44Z</dcterms:modified>
</cp:coreProperties>
</file>