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8"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6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60" w:type="dxa"/>
            <w:vAlign w:val="bottom"/>
            <w:vMerge w:val="restart"/>
          </w:tcPr>
          <w:p>
            <w:pPr>
              <w:jc w:val="center"/>
              <w:ind w:right="173"/>
              <w:spacing w:after="0" w:line="142"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6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-651510</wp:posOffset>
            </wp:positionV>
            <wp:extent cx="59690" cy="664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845"/>
                    </a:xfrm>
                    <a:prstGeom prst="rect">
                      <a:avLst/>
                    </a:prstGeom>
                    <a:noFill/>
                  </pic:spPr>
                </pic:pic>
              </a:graphicData>
            </a:graphic>
          </wp:anchor>
        </w:drawing>
        <w:drawing>
          <wp:anchor simplePos="0" relativeHeight="251657728" behindDoc="1" locked="0" layoutInCell="0" allowOverlap="1">
            <wp:simplePos x="0" y="0"/>
            <wp:positionH relativeFrom="column">
              <wp:posOffset>4152265</wp:posOffset>
            </wp:positionH>
            <wp:positionV relativeFrom="paragraph">
              <wp:posOffset>-651510</wp:posOffset>
            </wp:positionV>
            <wp:extent cx="59690" cy="664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84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20955</wp:posOffset>
            </wp:positionV>
            <wp:extent cx="7323455" cy="51498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149850"/>
                    </a:xfrm>
                    <a:prstGeom prst="rect">
                      <a:avLst/>
                    </a:prstGeom>
                    <a:noFill/>
                  </pic:spPr>
                </pic:pic>
              </a:graphicData>
            </a:graphic>
          </wp:anchor>
        </w:drawing>
      </w:r>
    </w:p>
    <w:p>
      <w:pPr>
        <w:spacing w:after="0" w:line="105"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Cavanagh Michael J</w:t>
        </w:r>
      </w:hyperlink>
    </w:p>
    <w:p>
      <w:pPr>
        <w:spacing w:after="0" w:line="325"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ONE COMCAST CENTER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COMCAST CORP</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CMCSA</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05/15/2019</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60" w:hanging="3"/>
        <w:spacing w:after="0" w:line="256" w:lineRule="auto"/>
        <w:tabs>
          <w:tab w:leader="none" w:pos="15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5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020" w:type="dxa"/>
            <w:vAlign w:val="bottom"/>
          </w:tcPr>
          <w:p>
            <w:pPr>
              <w:ind w:left="1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8"/>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5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020" w:type="dxa"/>
            <w:vAlign w:val="bottom"/>
          </w:tcPr>
          <w:p>
            <w:pPr>
              <w:ind w:left="1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5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020" w:type="dxa"/>
            <w:vAlign w:val="bottom"/>
            <w:vMerge w:val="restart"/>
          </w:tcPr>
          <w:p>
            <w:pPr>
              <w:ind w:left="18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560" w:type="dxa"/>
            <w:vAlign w:val="bottom"/>
            <w:vMerge w:val="continue"/>
          </w:tcPr>
          <w:p>
            <w:pPr>
              <w:spacing w:after="0"/>
              <w:rPr>
                <w:sz w:val="4"/>
                <w:szCs w:val="4"/>
                <w:color w:val="auto"/>
              </w:rPr>
            </w:pPr>
          </w:p>
        </w:tc>
        <w:tc>
          <w:tcPr>
            <w:tcW w:w="10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4"/>
        </w:trPr>
        <w:tc>
          <w:tcPr>
            <w:tcW w:w="240" w:type="dxa"/>
            <w:vAlign w:val="bottom"/>
          </w:tcPr>
          <w:p>
            <w:pPr>
              <w:spacing w:after="0"/>
              <w:rPr>
                <w:sz w:val="22"/>
                <w:szCs w:val="22"/>
                <w:color w:val="auto"/>
              </w:rPr>
            </w:pPr>
          </w:p>
        </w:tc>
        <w:tc>
          <w:tcPr>
            <w:tcW w:w="1560" w:type="dxa"/>
            <w:vAlign w:val="bottom"/>
          </w:tcPr>
          <w:p>
            <w:pPr>
              <w:ind w:left="1040"/>
              <w:spacing w:after="0"/>
              <w:rPr>
                <w:sz w:val="20"/>
                <w:szCs w:val="20"/>
                <w:color w:val="auto"/>
              </w:rPr>
            </w:pPr>
            <w:r>
              <w:rPr>
                <w:rFonts w:ascii="Arial" w:cs="Arial" w:eastAsia="Arial" w:hAnsi="Arial"/>
                <w:sz w:val="17"/>
                <w:szCs w:val="17"/>
                <w:color w:val="0000FF"/>
              </w:rPr>
              <w:t>CFO</w:t>
            </w: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308" w:lineRule="exact"/>
        <w:rPr>
          <w:sz w:val="24"/>
          <w:szCs w:val="24"/>
          <w:color w:val="auto"/>
        </w:rPr>
      </w:pPr>
    </w:p>
    <w:p>
      <w:pPr>
        <w:sectPr>
          <w:pgSz w:w="11900" w:h="16838" w:orient="portrait"/>
          <w:cols w:equalWidth="0" w:num="3">
            <w:col w:w="3340" w:space="720"/>
            <w:col w:w="3257" w:space="720"/>
            <w:col w:w="3483"/>
          </w:cols>
          <w:pgMar w:left="240" w:top="225" w:right="13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6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2100" w:type="dxa"/>
            <w:vAlign w:val="bottom"/>
            <w:gridSpan w:val="2"/>
          </w:tcPr>
          <w:p>
            <w:pPr>
              <w:spacing w:after="0"/>
              <w:rPr>
                <w:sz w:val="20"/>
                <w:szCs w:val="20"/>
                <w:color w:val="auto"/>
              </w:rPr>
            </w:pPr>
            <w:r>
              <w:rPr>
                <w:rFonts w:ascii="Arial" w:cs="Arial" w:eastAsia="Arial" w:hAnsi="Arial"/>
                <w:sz w:val="17"/>
                <w:szCs w:val="17"/>
                <w:color w:val="0000FF"/>
              </w:rPr>
              <w:t>PHILADELPHIA PA</w:t>
            </w:r>
          </w:p>
        </w:tc>
        <w:tc>
          <w:tcPr>
            <w:tcW w:w="1680" w:type="dxa"/>
            <w:vAlign w:val="bottom"/>
          </w:tcPr>
          <w:p>
            <w:pPr>
              <w:jc w:val="right"/>
              <w:ind w:right="703"/>
              <w:spacing w:after="0"/>
              <w:rPr>
                <w:sz w:val="20"/>
                <w:szCs w:val="20"/>
                <w:color w:val="auto"/>
              </w:rPr>
            </w:pPr>
            <w:r>
              <w:rPr>
                <w:rFonts w:ascii="Arial" w:cs="Arial" w:eastAsia="Arial" w:hAnsi="Arial"/>
                <w:sz w:val="17"/>
                <w:szCs w:val="17"/>
                <w:color w:val="0000FF"/>
              </w:rPr>
              <w:t>19103</w:t>
            </w:r>
          </w:p>
        </w:tc>
      </w:tr>
      <w:tr>
        <w:trPr>
          <w:trHeight w:val="156"/>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3"/>
                <w:szCs w:val="13"/>
                <w:color w:val="auto"/>
              </w:rPr>
              <w:t>(City)</w:t>
            </w:r>
          </w:p>
        </w:tc>
        <w:tc>
          <w:tcPr>
            <w:tcW w:w="1260" w:type="dxa"/>
            <w:vAlign w:val="bottom"/>
          </w:tcPr>
          <w:p>
            <w:pPr>
              <w:ind w:left="440"/>
              <w:spacing w:after="0"/>
              <w:rPr>
                <w:sz w:val="20"/>
                <w:szCs w:val="20"/>
                <w:color w:val="auto"/>
              </w:rPr>
            </w:pPr>
            <w:r>
              <w:rPr>
                <w:rFonts w:ascii="Arial" w:cs="Arial" w:eastAsia="Arial" w:hAnsi="Arial"/>
                <w:sz w:val="13"/>
                <w:szCs w:val="13"/>
                <w:color w:val="auto"/>
              </w:rPr>
              <w:t>(State)</w:t>
            </w:r>
          </w:p>
        </w:tc>
        <w:tc>
          <w:tcPr>
            <w:tcW w:w="1680" w:type="dxa"/>
            <w:vAlign w:val="bottom"/>
          </w:tcPr>
          <w:p>
            <w:pPr>
              <w:jc w:val="right"/>
              <w:ind w:right="883"/>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6"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15" w:lineRule="exact"/>
        <w:rPr>
          <w:sz w:val="24"/>
          <w:szCs w:val="24"/>
          <w:color w:val="auto"/>
        </w:rPr>
      </w:pPr>
    </w:p>
    <w:p>
      <w:pPr>
        <w:sectPr>
          <w:pgSz w:w="11900" w:h="16838" w:orient="portrait"/>
          <w:cols w:equalWidth="0" w:num="2">
            <w:col w:w="3900" w:space="160"/>
            <w:col w:w="746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8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1840" w:type="dxa"/>
            <w:vAlign w:val="bottom"/>
          </w:tcPr>
          <w:p>
            <w:pPr>
              <w:ind w:left="800"/>
              <w:spacing w:after="0" w:line="132"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208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1840" w:type="dxa"/>
            <w:vAlign w:val="bottom"/>
          </w:tcPr>
          <w:p>
            <w:pPr>
              <w:ind w:left="800"/>
              <w:spacing w:after="0" w:line="134"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580" w:type="dxa"/>
            <w:vAlign w:val="bottom"/>
          </w:tcPr>
          <w:p>
            <w:pPr>
              <w:spacing w:after="0"/>
              <w:rPr>
                <w:sz w:val="6"/>
                <w:szCs w:val="6"/>
                <w:color w:val="auto"/>
              </w:rPr>
            </w:pPr>
          </w:p>
        </w:tc>
        <w:tc>
          <w:tcPr>
            <w:tcW w:w="18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0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580" w:type="dxa"/>
            <w:vAlign w:val="bottom"/>
          </w:tcPr>
          <w:p>
            <w:pPr>
              <w:spacing w:after="0"/>
              <w:rPr>
                <w:sz w:val="3"/>
                <w:szCs w:val="3"/>
                <w:color w:val="auto"/>
              </w:rPr>
            </w:pPr>
          </w:p>
        </w:tc>
        <w:tc>
          <w:tcPr>
            <w:tcW w:w="18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0" w:type="dxa"/>
            <w:vAlign w:val="bottom"/>
          </w:tcPr>
          <w:p>
            <w:pPr>
              <w:spacing w:after="0"/>
              <w:rPr>
                <w:sz w:val="3"/>
                <w:szCs w:val="3"/>
                <w:color w:val="auto"/>
              </w:rPr>
            </w:pPr>
          </w:p>
        </w:tc>
        <w:tc>
          <w:tcPr>
            <w:tcW w:w="5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(A) or</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580" w:type="dxa"/>
            <w:vAlign w:val="bottom"/>
          </w:tcPr>
          <w:p>
            <w:pPr>
              <w:spacing w:after="0"/>
              <w:rPr>
                <w:sz w:val="8"/>
                <w:szCs w:val="8"/>
                <w:color w:val="auto"/>
              </w:rPr>
            </w:pPr>
          </w:p>
        </w:tc>
        <w:tc>
          <w:tcPr>
            <w:tcW w:w="18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5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74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580" w:type="dxa"/>
            <w:vAlign w:val="bottom"/>
          </w:tcPr>
          <w:p>
            <w:pPr>
              <w:spacing w:after="0"/>
              <w:rPr>
                <w:sz w:val="5"/>
                <w:szCs w:val="5"/>
                <w:color w:val="auto"/>
              </w:rPr>
            </w:pPr>
          </w:p>
        </w:tc>
        <w:tc>
          <w:tcPr>
            <w:tcW w:w="18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58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2580" w:type="dxa"/>
            <w:vAlign w:val="bottom"/>
          </w:tcPr>
          <w:p>
            <w:pPr>
              <w:ind w:left="60"/>
              <w:spacing w:after="0"/>
              <w:rPr>
                <w:sz w:val="20"/>
                <w:szCs w:val="20"/>
                <w:color w:val="auto"/>
              </w:rPr>
            </w:pPr>
            <w:r>
              <w:rPr>
                <w:rFonts w:ascii="Arial" w:cs="Arial" w:eastAsia="Arial" w:hAnsi="Arial"/>
                <w:sz w:val="17"/>
                <w:szCs w:val="17"/>
                <w:color w:val="0000FF"/>
              </w:rPr>
              <w:t>Class A Common Stock</w:t>
            </w:r>
          </w:p>
        </w:tc>
        <w:tc>
          <w:tcPr>
            <w:tcW w:w="1840" w:type="dxa"/>
            <w:vAlign w:val="bottom"/>
          </w:tcPr>
          <w:p>
            <w:pPr>
              <w:jc w:val="right"/>
              <w:ind w:right="89"/>
              <w:spacing w:after="0"/>
              <w:rPr>
                <w:sz w:val="20"/>
                <w:szCs w:val="20"/>
                <w:color w:val="auto"/>
              </w:rPr>
            </w:pPr>
            <w:r>
              <w:rPr>
                <w:rFonts w:ascii="Arial" w:cs="Arial" w:eastAsia="Arial" w:hAnsi="Arial"/>
                <w:sz w:val="17"/>
                <w:szCs w:val="17"/>
                <w:color w:val="0000FF"/>
              </w:rPr>
              <w:t>05/15/2019</w:t>
            </w:r>
          </w:p>
        </w:tc>
        <w:tc>
          <w:tcPr>
            <w:tcW w:w="1140" w:type="dxa"/>
            <w:vAlign w:val="bottom"/>
          </w:tcPr>
          <w:p>
            <w:pPr>
              <w:spacing w:after="0"/>
              <w:rPr>
                <w:sz w:val="23"/>
                <w:szCs w:val="23"/>
                <w:color w:val="auto"/>
              </w:rPr>
            </w:pPr>
          </w:p>
        </w:tc>
        <w:tc>
          <w:tcPr>
            <w:tcW w:w="800" w:type="dxa"/>
            <w:vAlign w:val="bottom"/>
          </w:tcPr>
          <w:p>
            <w:pPr>
              <w:ind w:left="160"/>
              <w:spacing w:after="0"/>
              <w:rPr>
                <w:sz w:val="20"/>
                <w:szCs w:val="20"/>
                <w:color w:val="auto"/>
              </w:rPr>
            </w:pPr>
            <w:r>
              <w:rPr>
                <w:rFonts w:ascii="Arial" w:cs="Arial" w:eastAsia="Arial" w:hAnsi="Arial"/>
                <w:sz w:val="13"/>
                <w:szCs w:val="13"/>
                <w:color w:val="0000FF"/>
              </w:rPr>
              <w:t>M</w:t>
            </w:r>
          </w:p>
        </w:tc>
        <w:tc>
          <w:tcPr>
            <w:tcW w:w="800" w:type="dxa"/>
            <w:vAlign w:val="bottom"/>
          </w:tcPr>
          <w:p>
            <w:pPr>
              <w:jc w:val="right"/>
              <w:ind w:right="69"/>
              <w:spacing w:after="0"/>
              <w:rPr>
                <w:sz w:val="20"/>
                <w:szCs w:val="20"/>
                <w:color w:val="auto"/>
              </w:rPr>
            </w:pPr>
            <w:r>
              <w:rPr>
                <w:rFonts w:ascii="Arial" w:cs="Arial" w:eastAsia="Arial" w:hAnsi="Arial"/>
                <w:sz w:val="17"/>
                <w:szCs w:val="17"/>
                <w:color w:val="0000FF"/>
              </w:rPr>
              <w:t>21,192</w:t>
            </w:r>
          </w:p>
        </w:tc>
        <w:tc>
          <w:tcPr>
            <w:tcW w:w="540" w:type="dxa"/>
            <w:vAlign w:val="bottom"/>
          </w:tcPr>
          <w:p>
            <w:pPr>
              <w:ind w:left="240"/>
              <w:spacing w:after="0"/>
              <w:rPr>
                <w:sz w:val="20"/>
                <w:szCs w:val="20"/>
                <w:color w:val="auto"/>
              </w:rPr>
            </w:pPr>
            <w:r>
              <w:rPr>
                <w:rFonts w:ascii="Arial" w:cs="Arial" w:eastAsia="Arial" w:hAnsi="Arial"/>
                <w:sz w:val="17"/>
                <w:szCs w:val="17"/>
                <w:color w:val="0000FF"/>
              </w:rPr>
              <w:t>A</w:t>
            </w:r>
          </w:p>
        </w:tc>
        <w:tc>
          <w:tcPr>
            <w:tcW w:w="740" w:type="dxa"/>
            <w:vAlign w:val="bottom"/>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0.0000</w:t>
            </w:r>
          </w:p>
        </w:tc>
        <w:tc>
          <w:tcPr>
            <w:tcW w:w="1160" w:type="dxa"/>
            <w:vAlign w:val="bottom"/>
          </w:tcPr>
          <w:p>
            <w:pPr>
              <w:ind w:left="300"/>
              <w:spacing w:after="0"/>
              <w:rPr>
                <w:sz w:val="20"/>
                <w:szCs w:val="20"/>
                <w:color w:val="auto"/>
              </w:rPr>
            </w:pPr>
            <w:r>
              <w:rPr>
                <w:rFonts w:ascii="Arial" w:cs="Arial" w:eastAsia="Arial" w:hAnsi="Arial"/>
                <w:sz w:val="17"/>
                <w:szCs w:val="17"/>
                <w:color w:val="0000FF"/>
              </w:rPr>
              <w:t>171,657</w:t>
            </w:r>
          </w:p>
        </w:tc>
        <w:tc>
          <w:tcPr>
            <w:tcW w:w="980" w:type="dxa"/>
            <w:vAlign w:val="bottom"/>
          </w:tcPr>
          <w:p>
            <w:pPr>
              <w:ind w:left="440"/>
              <w:spacing w:after="0"/>
              <w:rPr>
                <w:sz w:val="20"/>
                <w:szCs w:val="20"/>
                <w:color w:val="auto"/>
              </w:rPr>
            </w:pPr>
            <w:r>
              <w:rPr>
                <w:rFonts w:ascii="Arial" w:cs="Arial" w:eastAsia="Arial" w:hAnsi="Arial"/>
                <w:sz w:val="17"/>
                <w:szCs w:val="17"/>
                <w:color w:val="0000FF"/>
              </w:rPr>
              <w:t>D</w:t>
            </w: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580" w:type="dxa"/>
            <w:vAlign w:val="bottom"/>
            <w:tcBorders>
              <w:bottom w:val="single" w:sz="8" w:color="2C2C2C"/>
            </w:tcBorders>
          </w:tcPr>
          <w:p>
            <w:pPr>
              <w:spacing w:after="0"/>
              <w:rPr>
                <w:sz w:val="5"/>
                <w:szCs w:val="5"/>
                <w:color w:val="auto"/>
              </w:rPr>
            </w:pPr>
          </w:p>
        </w:tc>
        <w:tc>
          <w:tcPr>
            <w:tcW w:w="18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2580" w:type="dxa"/>
            <w:vAlign w:val="bottom"/>
          </w:tcPr>
          <w:p>
            <w:pPr>
              <w:ind w:left="60"/>
              <w:spacing w:after="0"/>
              <w:rPr>
                <w:sz w:val="20"/>
                <w:szCs w:val="20"/>
                <w:color w:val="auto"/>
              </w:rPr>
            </w:pPr>
            <w:r>
              <w:rPr>
                <w:rFonts w:ascii="Arial" w:cs="Arial" w:eastAsia="Arial" w:hAnsi="Arial"/>
                <w:sz w:val="17"/>
                <w:szCs w:val="17"/>
                <w:color w:val="0000FF"/>
              </w:rPr>
              <w:t>Class A Common Stock</w:t>
            </w:r>
          </w:p>
        </w:tc>
        <w:tc>
          <w:tcPr>
            <w:tcW w:w="1840" w:type="dxa"/>
            <w:vAlign w:val="bottom"/>
          </w:tcPr>
          <w:p>
            <w:pPr>
              <w:jc w:val="right"/>
              <w:ind w:right="89"/>
              <w:spacing w:after="0"/>
              <w:rPr>
                <w:sz w:val="20"/>
                <w:szCs w:val="20"/>
                <w:color w:val="auto"/>
              </w:rPr>
            </w:pPr>
            <w:r>
              <w:rPr>
                <w:rFonts w:ascii="Arial" w:cs="Arial" w:eastAsia="Arial" w:hAnsi="Arial"/>
                <w:sz w:val="17"/>
                <w:szCs w:val="17"/>
                <w:color w:val="0000FF"/>
              </w:rPr>
              <w:t>05/15/2019</w:t>
            </w:r>
          </w:p>
        </w:tc>
        <w:tc>
          <w:tcPr>
            <w:tcW w:w="1140" w:type="dxa"/>
            <w:vAlign w:val="bottom"/>
          </w:tcPr>
          <w:p>
            <w:pPr>
              <w:spacing w:after="0"/>
              <w:rPr>
                <w:sz w:val="23"/>
                <w:szCs w:val="23"/>
                <w:color w:val="auto"/>
              </w:rPr>
            </w:pPr>
          </w:p>
        </w:tc>
        <w:tc>
          <w:tcPr>
            <w:tcW w:w="800" w:type="dxa"/>
            <w:vAlign w:val="bottom"/>
          </w:tcPr>
          <w:p>
            <w:pPr>
              <w:ind w:left="200"/>
              <w:spacing w:after="0"/>
              <w:rPr>
                <w:sz w:val="20"/>
                <w:szCs w:val="20"/>
                <w:color w:val="auto"/>
              </w:rPr>
            </w:pPr>
            <w:r>
              <w:rPr>
                <w:rFonts w:ascii="Arial" w:cs="Arial" w:eastAsia="Arial" w:hAnsi="Arial"/>
                <w:sz w:val="13"/>
                <w:szCs w:val="13"/>
                <w:color w:val="0000FF"/>
              </w:rPr>
              <w:t>F</w:t>
            </w:r>
          </w:p>
        </w:tc>
        <w:tc>
          <w:tcPr>
            <w:tcW w:w="800" w:type="dxa"/>
            <w:vAlign w:val="bottom"/>
          </w:tcPr>
          <w:p>
            <w:pPr>
              <w:jc w:val="right"/>
              <w:ind w:right="69"/>
              <w:spacing w:after="0"/>
              <w:rPr>
                <w:sz w:val="20"/>
                <w:szCs w:val="20"/>
                <w:color w:val="auto"/>
              </w:rPr>
            </w:pPr>
            <w:r>
              <w:rPr>
                <w:rFonts w:ascii="Arial" w:cs="Arial" w:eastAsia="Arial" w:hAnsi="Arial"/>
                <w:sz w:val="17"/>
                <w:szCs w:val="17"/>
                <w:color w:val="0000FF"/>
              </w:rPr>
              <w:t>10,248</w:t>
            </w:r>
          </w:p>
        </w:tc>
        <w:tc>
          <w:tcPr>
            <w:tcW w:w="540" w:type="dxa"/>
            <w:vAlign w:val="bottom"/>
          </w:tcPr>
          <w:p>
            <w:pPr>
              <w:ind w:left="240"/>
              <w:spacing w:after="0"/>
              <w:rPr>
                <w:sz w:val="20"/>
                <w:szCs w:val="20"/>
                <w:color w:val="auto"/>
              </w:rPr>
            </w:pPr>
            <w:r>
              <w:rPr>
                <w:rFonts w:ascii="Arial" w:cs="Arial" w:eastAsia="Arial" w:hAnsi="Arial"/>
                <w:sz w:val="17"/>
                <w:szCs w:val="17"/>
                <w:color w:val="0000FF"/>
              </w:rPr>
              <w:t>D</w:t>
            </w:r>
          </w:p>
        </w:tc>
        <w:tc>
          <w:tcPr>
            <w:tcW w:w="740" w:type="dxa"/>
            <w:vAlign w:val="bottom"/>
          </w:tcPr>
          <w:p>
            <w:pPr>
              <w:jc w:val="center"/>
              <w:ind w:right="22"/>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42.49</w:t>
            </w:r>
          </w:p>
        </w:tc>
        <w:tc>
          <w:tcPr>
            <w:tcW w:w="1160" w:type="dxa"/>
            <w:vAlign w:val="bottom"/>
          </w:tcPr>
          <w:p>
            <w:pPr>
              <w:ind w:left="300"/>
              <w:spacing w:after="0"/>
              <w:rPr>
                <w:sz w:val="20"/>
                <w:szCs w:val="20"/>
                <w:color w:val="auto"/>
              </w:rPr>
            </w:pPr>
            <w:r>
              <w:rPr>
                <w:rFonts w:ascii="Arial" w:cs="Arial" w:eastAsia="Arial" w:hAnsi="Arial"/>
                <w:sz w:val="17"/>
                <w:szCs w:val="17"/>
                <w:color w:val="0000FF"/>
              </w:rPr>
              <w:t>161,409</w:t>
            </w:r>
          </w:p>
        </w:tc>
        <w:tc>
          <w:tcPr>
            <w:tcW w:w="980" w:type="dxa"/>
            <w:vAlign w:val="bottom"/>
          </w:tcPr>
          <w:p>
            <w:pPr>
              <w:ind w:left="440"/>
              <w:spacing w:after="0"/>
              <w:rPr>
                <w:sz w:val="20"/>
                <w:szCs w:val="20"/>
                <w:color w:val="auto"/>
              </w:rPr>
            </w:pPr>
            <w:r>
              <w:rPr>
                <w:rFonts w:ascii="Arial" w:cs="Arial" w:eastAsia="Arial" w:hAnsi="Arial"/>
                <w:sz w:val="17"/>
                <w:szCs w:val="17"/>
                <w:color w:val="0000FF"/>
              </w:rPr>
              <w:t>D</w:t>
            </w: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2"/>
        </w:trPr>
        <w:tc>
          <w:tcPr>
            <w:tcW w:w="20" w:type="dxa"/>
            <w:vAlign w:val="bottom"/>
            <w:tcBorders>
              <w:bottom w:val="single" w:sz="8" w:color="2C2C2C"/>
            </w:tcBorders>
          </w:tcPr>
          <w:p>
            <w:pPr>
              <w:spacing w:after="0"/>
              <w:rPr>
                <w:sz w:val="7"/>
                <w:szCs w:val="7"/>
                <w:color w:val="auto"/>
              </w:rPr>
            </w:pPr>
          </w:p>
        </w:tc>
        <w:tc>
          <w:tcPr>
            <w:tcW w:w="2580" w:type="dxa"/>
            <w:vAlign w:val="bottom"/>
            <w:tcBorders>
              <w:bottom w:val="single" w:sz="8" w:color="2C2C2C"/>
            </w:tcBorders>
          </w:tcPr>
          <w:p>
            <w:pPr>
              <w:spacing w:after="0"/>
              <w:rPr>
                <w:sz w:val="7"/>
                <w:szCs w:val="7"/>
                <w:color w:val="auto"/>
              </w:rPr>
            </w:pPr>
          </w:p>
        </w:tc>
        <w:tc>
          <w:tcPr>
            <w:tcW w:w="184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116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580" w:type="dxa"/>
            <w:vAlign w:val="bottom"/>
            <w:tcBorders>
              <w:top w:val="single" w:sz="8" w:color="808080"/>
            </w:tcBorders>
            <w:shd w:val="clear" w:color="auto" w:fill="2C2C2C"/>
          </w:tcPr>
          <w:p>
            <w:pPr>
              <w:spacing w:after="0" w:line="20" w:lineRule="exact"/>
              <w:rPr>
                <w:sz w:val="1"/>
                <w:szCs w:val="1"/>
                <w:color w:val="auto"/>
              </w:rPr>
            </w:pPr>
          </w:p>
        </w:tc>
        <w:tc>
          <w:tcPr>
            <w:tcW w:w="184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540" w:type="dxa"/>
            <w:vAlign w:val="bottom"/>
            <w:tcBorders>
              <w:top w:val="single" w:sz="8" w:color="808080"/>
            </w:tcBorders>
            <w:shd w:val="clear" w:color="auto" w:fill="2C2C2C"/>
          </w:tcPr>
          <w:p>
            <w:pPr>
              <w:spacing w:after="0" w:line="20" w:lineRule="exact"/>
              <w:rPr>
                <w:sz w:val="1"/>
                <w:szCs w:val="1"/>
                <w:color w:val="auto"/>
              </w:rPr>
            </w:pPr>
          </w:p>
        </w:tc>
        <w:tc>
          <w:tcPr>
            <w:tcW w:w="74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7"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 Date</w:t>
            </w:r>
          </w:p>
        </w:tc>
        <w:tc>
          <w:tcPr>
            <w:tcW w:w="12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72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800" w:type="dxa"/>
            <w:vAlign w:val="bottom"/>
            <w:vMerge w:val="restart"/>
          </w:tcPr>
          <w:p>
            <w:pPr>
              <w:ind w:left="1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0.0000</w:t>
            </w:r>
            <w:r>
              <w:rPr>
                <w:rFonts w:ascii="Arial" w:cs="Arial" w:eastAsia="Arial" w:hAnsi="Arial"/>
                <w:sz w:val="22"/>
                <w:szCs w:val="22"/>
                <w:color w:val="008000"/>
                <w:vertAlign w:val="superscript"/>
              </w:rPr>
              <w:t>(1)</w:t>
            </w:r>
          </w:p>
        </w:tc>
        <w:tc>
          <w:tcPr>
            <w:tcW w:w="1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740" w:type="dxa"/>
            <w:vAlign w:val="bottom"/>
            <w:vMerge w:val="restart"/>
          </w:tcPr>
          <w:p>
            <w:pPr>
              <w:jc w:val="right"/>
              <w:ind w:right="241"/>
              <w:spacing w:after="0"/>
              <w:rPr>
                <w:sz w:val="20"/>
                <w:szCs w:val="20"/>
                <w:color w:val="auto"/>
              </w:rPr>
            </w:pPr>
            <w:r>
              <w:rPr>
                <w:rFonts w:ascii="Arial" w:cs="Arial" w:eastAsia="Arial" w:hAnsi="Arial"/>
                <w:sz w:val="11"/>
                <w:szCs w:val="11"/>
                <w:color w:val="008000"/>
              </w:rPr>
              <w:t>(2)</w:t>
            </w:r>
          </w:p>
        </w:tc>
        <w:tc>
          <w:tcPr>
            <w:tcW w:w="720" w:type="dxa"/>
            <w:vAlign w:val="bottom"/>
          </w:tcPr>
          <w:p>
            <w:pPr>
              <w:ind w:left="120"/>
              <w:spacing w:after="0"/>
              <w:rPr>
                <w:sz w:val="20"/>
                <w:szCs w:val="20"/>
                <w:color w:val="auto"/>
              </w:rPr>
            </w:pPr>
            <w:r>
              <w:rPr>
                <w:rFonts w:ascii="Arial" w:cs="Arial" w:eastAsia="Arial" w:hAnsi="Arial"/>
                <w:sz w:val="13"/>
                <w:szCs w:val="13"/>
                <w:color w:val="0000FF"/>
              </w:rPr>
              <w:t>Class A</w:t>
            </w:r>
          </w:p>
        </w:tc>
        <w:tc>
          <w:tcPr>
            <w:tcW w:w="560" w:type="dxa"/>
            <w:vAlign w:val="bottom"/>
            <w:vMerge w:val="restart"/>
          </w:tcPr>
          <w:p>
            <w:pPr>
              <w:spacing w:after="0"/>
              <w:rPr>
                <w:sz w:val="20"/>
                <w:szCs w:val="20"/>
                <w:color w:val="auto"/>
              </w:rPr>
            </w:pPr>
            <w:r>
              <w:rPr>
                <w:rFonts w:ascii="Arial" w:cs="Arial" w:eastAsia="Arial" w:hAnsi="Arial"/>
                <w:sz w:val="17"/>
                <w:szCs w:val="17"/>
                <w:color w:val="0000FF"/>
              </w:rPr>
              <w:t>21,192</w:t>
            </w:r>
          </w:p>
        </w:tc>
        <w:tc>
          <w:tcPr>
            <w:tcW w:w="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720" w:type="dxa"/>
            <w:vAlign w:val="bottom"/>
          </w:tcPr>
          <w:p>
            <w:pPr>
              <w:ind w:left="60"/>
              <w:spacing w:after="0" w:line="148" w:lineRule="exact"/>
              <w:rPr>
                <w:sz w:val="20"/>
                <w:szCs w:val="20"/>
                <w:color w:val="auto"/>
              </w:rPr>
            </w:pPr>
            <w:r>
              <w:rPr>
                <w:rFonts w:ascii="Arial" w:cs="Arial" w:eastAsia="Arial" w:hAnsi="Arial"/>
                <w:sz w:val="13"/>
                <w:szCs w:val="13"/>
                <w:color w:val="0000FF"/>
              </w:rPr>
              <w:t>Stock</w:t>
            </w:r>
          </w:p>
        </w:tc>
        <w:tc>
          <w:tcPr>
            <w:tcW w:w="800" w:type="dxa"/>
            <w:vAlign w:val="bottom"/>
            <w:vMerge w:val="continue"/>
          </w:tcPr>
          <w:p>
            <w:pPr>
              <w:spacing w:after="0"/>
              <w:rPr>
                <w:sz w:val="12"/>
                <w:szCs w:val="12"/>
                <w:color w:val="auto"/>
              </w:rPr>
            </w:pPr>
          </w:p>
        </w:tc>
        <w:tc>
          <w:tcPr>
            <w:tcW w:w="1140" w:type="dxa"/>
            <w:vAlign w:val="bottom"/>
          </w:tcPr>
          <w:p>
            <w:pPr>
              <w:jc w:val="right"/>
              <w:ind w:right="198"/>
              <w:spacing w:after="0" w:line="148" w:lineRule="exact"/>
              <w:rPr>
                <w:sz w:val="20"/>
                <w:szCs w:val="20"/>
                <w:color w:val="auto"/>
              </w:rPr>
            </w:pPr>
            <w:r>
              <w:rPr>
                <w:rFonts w:ascii="Arial" w:cs="Arial" w:eastAsia="Arial" w:hAnsi="Arial"/>
                <w:sz w:val="13"/>
                <w:szCs w:val="13"/>
                <w:color w:val="0000FF"/>
              </w:rPr>
              <w:t>05/15/2019</w:t>
            </w:r>
          </w:p>
        </w:tc>
        <w:tc>
          <w:tcPr>
            <w:tcW w:w="1120" w:type="dxa"/>
            <w:vAlign w:val="bottom"/>
          </w:tcPr>
          <w:p>
            <w:pPr>
              <w:spacing w:after="0"/>
              <w:rPr>
                <w:sz w:val="12"/>
                <w:szCs w:val="12"/>
                <w:color w:val="auto"/>
              </w:rPr>
            </w:pPr>
          </w:p>
        </w:tc>
        <w:tc>
          <w:tcPr>
            <w:tcW w:w="840" w:type="dxa"/>
            <w:vAlign w:val="bottom"/>
          </w:tcPr>
          <w:p>
            <w:pPr>
              <w:ind w:left="160"/>
              <w:spacing w:after="0" w:line="148" w:lineRule="exact"/>
              <w:rPr>
                <w:sz w:val="20"/>
                <w:szCs w:val="20"/>
                <w:color w:val="auto"/>
              </w:rPr>
            </w:pPr>
            <w:r>
              <w:rPr>
                <w:rFonts w:ascii="Arial" w:cs="Arial" w:eastAsia="Arial" w:hAnsi="Arial"/>
                <w:sz w:val="13"/>
                <w:szCs w:val="13"/>
                <w:color w:val="0000FF"/>
              </w:rPr>
              <w:t>M</w:t>
            </w:r>
          </w:p>
        </w:tc>
        <w:tc>
          <w:tcPr>
            <w:tcW w:w="840" w:type="dxa"/>
            <w:vAlign w:val="bottom"/>
          </w:tcPr>
          <w:p>
            <w:pPr>
              <w:ind w:left="400"/>
              <w:spacing w:after="0" w:line="148" w:lineRule="exact"/>
              <w:rPr>
                <w:sz w:val="20"/>
                <w:szCs w:val="20"/>
                <w:color w:val="auto"/>
              </w:rPr>
            </w:pPr>
            <w:r>
              <w:rPr>
                <w:rFonts w:ascii="Arial" w:cs="Arial" w:eastAsia="Arial" w:hAnsi="Arial"/>
                <w:sz w:val="13"/>
                <w:szCs w:val="13"/>
                <w:color w:val="0000FF"/>
              </w:rPr>
              <w:t>21,192</w:t>
            </w:r>
          </w:p>
        </w:tc>
        <w:tc>
          <w:tcPr>
            <w:tcW w:w="80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720" w:type="dxa"/>
            <w:vAlign w:val="bottom"/>
          </w:tcPr>
          <w:p>
            <w:pPr>
              <w:ind w:left="80"/>
              <w:spacing w:after="0" w:line="148" w:lineRule="exact"/>
              <w:rPr>
                <w:sz w:val="20"/>
                <w:szCs w:val="20"/>
                <w:color w:val="auto"/>
              </w:rPr>
            </w:pPr>
            <w:r>
              <w:rPr>
                <w:rFonts w:ascii="Arial" w:cs="Arial" w:eastAsia="Arial" w:hAnsi="Arial"/>
                <w:sz w:val="13"/>
                <w:szCs w:val="13"/>
                <w:color w:val="0000FF"/>
              </w:rPr>
              <w:t>Common</w:t>
            </w:r>
          </w:p>
        </w:tc>
        <w:tc>
          <w:tcPr>
            <w:tcW w:w="560" w:type="dxa"/>
            <w:vAlign w:val="bottom"/>
            <w:vMerge w:val="continue"/>
          </w:tcPr>
          <w:p>
            <w:pPr>
              <w:spacing w:after="0"/>
              <w:rPr>
                <w:sz w:val="12"/>
                <w:szCs w:val="12"/>
                <w:color w:val="auto"/>
              </w:rPr>
            </w:pPr>
          </w:p>
        </w:tc>
        <w:tc>
          <w:tcPr>
            <w:tcW w:w="720" w:type="dxa"/>
            <w:vAlign w:val="bottom"/>
          </w:tcPr>
          <w:p>
            <w:pPr>
              <w:ind w:left="140"/>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0.0000</w:t>
            </w:r>
          </w:p>
        </w:tc>
        <w:tc>
          <w:tcPr>
            <w:tcW w:w="960" w:type="dxa"/>
            <w:vAlign w:val="bottom"/>
          </w:tcPr>
          <w:p>
            <w:pPr>
              <w:ind w:left="260"/>
              <w:spacing w:after="0" w:line="148" w:lineRule="exact"/>
              <w:rPr>
                <w:sz w:val="20"/>
                <w:szCs w:val="20"/>
                <w:color w:val="auto"/>
              </w:rPr>
            </w:pPr>
            <w:r>
              <w:rPr>
                <w:rFonts w:ascii="Arial" w:cs="Arial" w:eastAsia="Arial" w:hAnsi="Arial"/>
                <w:sz w:val="13"/>
                <w:szCs w:val="13"/>
                <w:color w:val="0000FF"/>
              </w:rPr>
              <w:t>277,760</w:t>
            </w:r>
          </w:p>
        </w:tc>
        <w:tc>
          <w:tcPr>
            <w:tcW w:w="760" w:type="dxa"/>
            <w:vAlign w:val="bottom"/>
          </w:tcPr>
          <w:p>
            <w:pPr>
              <w:ind w:left="340"/>
              <w:spacing w:after="0" w:line="148" w:lineRule="exact"/>
              <w:rPr>
                <w:sz w:val="20"/>
                <w:szCs w:val="20"/>
                <w:color w:val="auto"/>
              </w:rPr>
            </w:pPr>
            <w:r>
              <w:rPr>
                <w:rFonts w:ascii="Arial" w:cs="Arial" w:eastAsia="Arial" w:hAnsi="Arial"/>
                <w:sz w:val="13"/>
                <w:szCs w:val="13"/>
                <w:color w:val="0000FF"/>
              </w:rPr>
              <w:t>D</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720" w:type="dxa"/>
            <w:vAlign w:val="bottom"/>
          </w:tcPr>
          <w:p>
            <w:pPr>
              <w:ind w:left="60"/>
              <w:spacing w:after="0"/>
              <w:rPr>
                <w:sz w:val="20"/>
                <w:szCs w:val="20"/>
                <w:color w:val="auto"/>
              </w:rPr>
            </w:pPr>
            <w:r>
              <w:rPr>
                <w:rFonts w:ascii="Arial" w:cs="Arial" w:eastAsia="Arial" w:hAnsi="Arial"/>
                <w:sz w:val="13"/>
                <w:szCs w:val="13"/>
                <w:color w:val="0000FF"/>
              </w:rPr>
              <w:t>Units</w:t>
            </w: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ind w:left="180"/>
              <w:spacing w:after="0"/>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restricted stock unit represents a contigent right to receive one share of Class A Common Stock.</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These restricted stock units vest on the transaction 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8"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Exhibit 24 - Power of Attorney</w:t>
      </w:r>
    </w:p>
    <w:p>
      <w:pPr>
        <w:spacing w:after="0" w:line="2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7"/>
          <w:szCs w:val="17"/>
          <w:color w:val="0000FF"/>
        </w:rPr>
        <w:t>Elizabeth Wideman, Attorney-</w:t>
      </w:r>
      <w:r>
        <w:rPr>
          <w:sz w:val="20"/>
          <w:szCs w:val="20"/>
          <w:color w:val="auto"/>
        </w:rPr>
        <w:tab/>
      </w:r>
      <w:r>
        <w:rPr>
          <w:rFonts w:ascii="Arial" w:cs="Arial" w:eastAsia="Arial" w:hAnsi="Arial"/>
          <w:sz w:val="23"/>
          <w:szCs w:val="23"/>
          <w:color w:val="0000FF"/>
          <w:vertAlign w:val="subscript"/>
        </w:rPr>
        <w:t>05/17/2019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-17145</wp:posOffset>
            </wp:positionV>
            <wp:extent cx="13589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58900"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-16510</wp:posOffset>
            </wp:positionV>
            <wp:extent cx="2889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8925" cy="8255"/>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-84455</wp:posOffset>
            </wp:positionV>
            <wp:extent cx="5048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4825" cy="8255"/>
                    </a:xfrm>
                    <a:prstGeom prst="rect">
                      <a:avLst/>
                    </a:prstGeom>
                    <a:noFill/>
                  </pic:spPr>
                </pic:pic>
              </a:graphicData>
            </a:graphic>
          </wp:anchor>
        </w:drawing>
      </w:r>
    </w:p>
    <w:p>
      <w:pPr>
        <w:spacing w:after="0" w:line="4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2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5" w:right="139" w:bottom="1440" w:gutter="0" w:footer="0" w:header="0"/>
          <w:type w:val="continuous"/>
        </w:sectPr>
      </w:pPr>
    </w:p>
    <w:bookmarkStart w:id="1" w:name="page2"/>
    <w:bookmarkEnd w:id="1"/>
    <w:p>
      <w:pPr>
        <w:jc w:val="right"/>
        <w:spacing w:after="0"/>
        <w:rPr>
          <w:sz w:val="20"/>
          <w:szCs w:val="20"/>
          <w:color w:val="auto"/>
        </w:rPr>
      </w:pPr>
      <w:r>
        <w:rPr>
          <w:rFonts w:ascii="Arial" w:cs="Arial" w:eastAsia="Arial" w:hAnsi="Arial"/>
          <w:sz w:val="21"/>
          <w:szCs w:val="21"/>
          <w:b w:val="1"/>
          <w:bCs w:val="1"/>
          <w:color w:val="auto"/>
        </w:rPr>
        <w:t>Exhibit 24</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7" w:lineRule="exact"/>
        <w:rPr>
          <w:sz w:val="20"/>
          <w:szCs w:val="20"/>
          <w:color w:val="auto"/>
        </w:rPr>
      </w:pPr>
    </w:p>
    <w:p>
      <w:pPr>
        <w:ind w:right="40" w:firstLine="645"/>
        <w:spacing w:after="0" w:line="275" w:lineRule="auto"/>
        <w:rPr>
          <w:sz w:val="20"/>
          <w:szCs w:val="20"/>
          <w:color w:val="auto"/>
        </w:rPr>
      </w:pPr>
      <w:r>
        <w:rPr>
          <w:rFonts w:ascii="Arial" w:cs="Arial" w:eastAsia="Arial" w:hAnsi="Arial"/>
          <w:sz w:val="18"/>
          <w:szCs w:val="18"/>
          <w:color w:val="auto"/>
        </w:rPr>
        <w:t>Know all by these presents, that the undersigned hereby constitutes and appoints each of David L. Cohen, Thomas J. Reid and Elizabeth Wideman, as the undersigned’s true and lawful attorneys-in-fact to:</w:t>
      </w:r>
    </w:p>
    <w:p>
      <w:pPr>
        <w:spacing w:after="0" w:line="170" w:lineRule="exact"/>
        <w:rPr>
          <w:sz w:val="20"/>
          <w:szCs w:val="20"/>
          <w:color w:val="auto"/>
        </w:rPr>
      </w:pPr>
    </w:p>
    <w:p>
      <w:pPr>
        <w:ind w:right="80" w:firstLine="652"/>
        <w:spacing w:after="0" w:line="262" w:lineRule="auto"/>
        <w:tabs>
          <w:tab w:leader="none" w:pos="1166" w:val="left"/>
        </w:tabs>
        <w:numPr>
          <w:ilvl w:val="0"/>
          <w:numId w:val="4"/>
        </w:numPr>
        <w:rPr>
          <w:rFonts w:ascii="Arial" w:cs="Arial" w:eastAsia="Arial" w:hAnsi="Arial"/>
          <w:sz w:val="18"/>
          <w:szCs w:val="18"/>
          <w:color w:val="auto"/>
        </w:rPr>
      </w:pPr>
      <w:r>
        <w:rPr>
          <w:rFonts w:ascii="Arial" w:cs="Arial" w:eastAsia="Arial" w:hAnsi="Arial"/>
          <w:sz w:val="18"/>
          <w:szCs w:val="18"/>
          <w:color w:val="auto"/>
        </w:rPr>
        <w:t>execute for and on behalf of the undersigned, in the undersigned’s capacity as a reporting person pursuant to Section 16 of the Securities Exchange Act of 1934, as amended (the “Exchange Act”), and the rules thereunder of Comcast Corporation (the “Company”), Forms 3, 4 and 5 in accordance with Section 16(a) of the Exchange Act;</w:t>
      </w:r>
    </w:p>
    <w:p>
      <w:pPr>
        <w:spacing w:after="0" w:line="181" w:lineRule="exact"/>
        <w:rPr>
          <w:rFonts w:ascii="Arial" w:cs="Arial" w:eastAsia="Arial" w:hAnsi="Arial"/>
          <w:sz w:val="18"/>
          <w:szCs w:val="18"/>
          <w:color w:val="auto"/>
        </w:rPr>
      </w:pPr>
    </w:p>
    <w:p>
      <w:pPr>
        <w:ind w:right="220" w:firstLine="652"/>
        <w:spacing w:after="0" w:line="339" w:lineRule="auto"/>
        <w:tabs>
          <w:tab w:leader="none" w:pos="1166" w:val="left"/>
        </w:tabs>
        <w:numPr>
          <w:ilvl w:val="0"/>
          <w:numId w:val="4"/>
        </w:numPr>
        <w:rPr>
          <w:rFonts w:ascii="Arial" w:cs="Arial" w:eastAsia="Arial" w:hAnsi="Arial"/>
          <w:sz w:val="16"/>
          <w:szCs w:val="16"/>
          <w:color w:val="auto"/>
        </w:rPr>
      </w:pPr>
      <w:r>
        <w:rPr>
          <w:rFonts w:ascii="Arial" w:cs="Arial" w:eastAsia="Arial" w:hAnsi="Arial"/>
          <w:sz w:val="16"/>
          <w:szCs w:val="16"/>
          <w:color w:val="auto"/>
        </w:rPr>
        <w:t>do and perform any and all acts for and on behalf of the undersigned which may be necessary or desirable to complete and execute any such Form 3, 4 or 5 and timely file such form with the United States Securities and Exchange Commission and stock exchange or similar authority; and</w:t>
      </w:r>
    </w:p>
    <w:p>
      <w:pPr>
        <w:spacing w:after="0" w:line="124" w:lineRule="exact"/>
        <w:rPr>
          <w:rFonts w:ascii="Arial" w:cs="Arial" w:eastAsia="Arial" w:hAnsi="Arial"/>
          <w:sz w:val="16"/>
          <w:szCs w:val="16"/>
          <w:color w:val="auto"/>
        </w:rPr>
      </w:pPr>
    </w:p>
    <w:p>
      <w:pPr>
        <w:ind w:firstLine="652"/>
        <w:spacing w:after="0" w:line="257" w:lineRule="auto"/>
        <w:tabs>
          <w:tab w:leader="none" w:pos="1166" w:val="left"/>
        </w:tabs>
        <w:numPr>
          <w:ilvl w:val="0"/>
          <w:numId w:val="4"/>
        </w:numPr>
        <w:rPr>
          <w:rFonts w:ascii="Arial" w:cs="Arial" w:eastAsia="Arial" w:hAnsi="Arial"/>
          <w:sz w:val="18"/>
          <w:szCs w:val="18"/>
          <w:color w:val="auto"/>
        </w:rPr>
      </w:pPr>
      <w:r>
        <w:rPr>
          <w:rFonts w:ascii="Arial" w:cs="Arial" w:eastAsia="Arial" w:hAnsi="Arial"/>
          <w:sz w:val="18"/>
          <w:szCs w:val="18"/>
          <w:color w:val="auto"/>
        </w:rPr>
        <w:t>take any other action of any type whatsoever in connection with the foregoing which, in the opinion of any of such attorneys-in-fact, may be of benefit to, in the best interest of, or legally required by, the undersigned, it being understood that the documents executed by any of such attorneys-in-fact on behalf of the undersigned pursuant to this Power of Attorney shall be in such form and shall contain such terms and conditions as any of such attorneys-in-fact may approve in the discretion of any of such attorneys-in-fact.</w:t>
      </w:r>
    </w:p>
    <w:p>
      <w:pPr>
        <w:spacing w:after="0" w:line="188" w:lineRule="exact"/>
        <w:rPr>
          <w:sz w:val="20"/>
          <w:szCs w:val="20"/>
          <w:color w:val="auto"/>
        </w:rPr>
      </w:pPr>
    </w:p>
    <w:p>
      <w:pPr>
        <w:ind w:right="20" w:firstLine="645"/>
        <w:spacing w:after="0" w:line="292" w:lineRule="auto"/>
        <w:rPr>
          <w:sz w:val="20"/>
          <w:szCs w:val="20"/>
          <w:color w:val="auto"/>
        </w:rPr>
      </w:pPr>
      <w:r>
        <w:rPr>
          <w:rFonts w:ascii="Arial" w:cs="Arial" w:eastAsia="Arial" w:hAnsi="Arial"/>
          <w:sz w:val="16"/>
          <w:szCs w:val="16"/>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any of such attorneys-in-fact, or the substitute or substitutes of any of such attorneys-in-fact,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spacing w:after="0" w:line="161" w:lineRule="exact"/>
        <w:rPr>
          <w:sz w:val="20"/>
          <w:szCs w:val="20"/>
          <w:color w:val="auto"/>
        </w:rPr>
      </w:pPr>
    </w:p>
    <w:p>
      <w:pPr>
        <w:ind w:right="140" w:firstLine="645"/>
        <w:spacing w:after="0" w:line="262" w:lineRule="auto"/>
        <w:rPr>
          <w:sz w:val="20"/>
          <w:szCs w:val="20"/>
          <w:color w:val="auto"/>
        </w:rPr>
      </w:pPr>
      <w:r>
        <w:rPr>
          <w:rFonts w:ascii="Arial" w:cs="Arial" w:eastAsia="Arial" w:hAnsi="Arial"/>
          <w:sz w:val="18"/>
          <w:szCs w:val="18"/>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undersigned has caused this Power of Attorney to be executed as of May 8, 2019.</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260" w:type="dxa"/>
            <w:vAlign w:val="bottom"/>
          </w:tcPr>
          <w:p>
            <w:pPr>
              <w:spacing w:after="0"/>
              <w:rPr>
                <w:sz w:val="20"/>
                <w:szCs w:val="20"/>
                <w:color w:val="auto"/>
              </w:rPr>
            </w:pPr>
            <w:r>
              <w:rPr>
                <w:rFonts w:ascii="Arial" w:cs="Arial" w:eastAsia="Arial" w:hAnsi="Arial"/>
                <w:sz w:val="18"/>
                <w:szCs w:val="18"/>
                <w:color w:val="auto"/>
              </w:rPr>
              <w:t>Signature:</w:t>
            </w:r>
          </w:p>
        </w:tc>
        <w:tc>
          <w:tcPr>
            <w:tcW w:w="2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J. Cavanagh</w:t>
            </w:r>
          </w:p>
        </w:tc>
        <w:tc>
          <w:tcPr>
            <w:tcW w:w="7300" w:type="dxa"/>
            <w:vAlign w:val="bottom"/>
          </w:tcPr>
          <w:p>
            <w:pPr>
              <w:spacing w:after="0"/>
              <w:rPr>
                <w:sz w:val="19"/>
                <w:szCs w:val="19"/>
                <w:color w:val="auto"/>
              </w:rPr>
            </w:pPr>
          </w:p>
        </w:tc>
      </w:tr>
      <w:tr>
        <w:trPr>
          <w:trHeight w:val="223"/>
        </w:trPr>
        <w:tc>
          <w:tcPr>
            <w:tcW w:w="1260" w:type="dxa"/>
            <w:vAlign w:val="bottom"/>
          </w:tcPr>
          <w:p>
            <w:pPr>
              <w:spacing w:after="0"/>
              <w:rPr>
                <w:sz w:val="20"/>
                <w:szCs w:val="20"/>
                <w:color w:val="auto"/>
              </w:rPr>
            </w:pPr>
            <w:r>
              <w:rPr>
                <w:rFonts w:ascii="Arial" w:cs="Arial" w:eastAsia="Arial" w:hAnsi="Arial"/>
                <w:sz w:val="18"/>
                <w:szCs w:val="18"/>
                <w:color w:val="auto"/>
              </w:rPr>
              <w:t>Name:</w:t>
            </w:r>
          </w:p>
        </w:tc>
        <w:tc>
          <w:tcPr>
            <w:tcW w:w="2860" w:type="dxa"/>
            <w:vAlign w:val="bottom"/>
          </w:tcPr>
          <w:p>
            <w:pPr>
              <w:spacing w:after="0"/>
              <w:rPr>
                <w:sz w:val="20"/>
                <w:szCs w:val="20"/>
                <w:color w:val="auto"/>
              </w:rPr>
            </w:pPr>
            <w:r>
              <w:rPr>
                <w:rFonts w:ascii="Arial" w:cs="Arial" w:eastAsia="Arial" w:hAnsi="Arial"/>
                <w:sz w:val="18"/>
                <w:szCs w:val="18"/>
                <w:color w:val="auto"/>
              </w:rPr>
              <w:t>Michael J. Cavanagh</w:t>
            </w:r>
          </w:p>
        </w:tc>
        <w:tc>
          <w:tcPr>
            <w:tcW w:w="7300" w:type="dxa"/>
            <w:vAlign w:val="bottom"/>
          </w:tcPr>
          <w:p>
            <w:pPr>
              <w:spacing w:after="0"/>
              <w:rPr>
                <w:sz w:val="19"/>
                <w:szCs w:val="19"/>
                <w:color w:val="auto"/>
              </w:rPr>
            </w:pPr>
          </w:p>
        </w:tc>
      </w:tr>
      <w:tr>
        <w:trPr>
          <w:trHeight w:val="576"/>
        </w:trPr>
        <w:tc>
          <w:tcPr>
            <w:tcW w:w="126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c>
          <w:tcPr>
            <w:tcW w:w="730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11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04481" TargetMode="External"/><Relationship Id="rId13" Type="http://schemas.openxmlformats.org/officeDocument/2006/relationships/hyperlink" Target="http://www.sec.gov/cgi-bin/browse-edgar?action=getcompany&amp;CIK=0001166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2019-12-23T16:49:52Z</dcterms:created>
  <dcterms:modified xsi:type="dcterms:W3CDTF">2019-12-23T16:49:52Z</dcterms:modified>
</cp:coreProperties>
</file>