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424(b)(3)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Nos. 333-221395, 333-221395-01 and 333-221395-02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154940</wp:posOffset>
            </wp:positionV>
            <wp:extent cx="139763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Offers to Exchange</w:t>
      </w:r>
    </w:p>
    <w:p>
      <w:pPr>
        <w:spacing w:after="0" w:line="242" w:lineRule="exact"/>
        <w:rPr>
          <w:sz w:val="24"/>
          <w:szCs w:val="24"/>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Up to $2,000,000,000 aggregate principal amount of new 3.969% Notes due 2047 registered under the Securities Act of 1933, for any and all outstanding unregistered 3.969% Notes due 2047,</w:t>
      </w:r>
    </w:p>
    <w:p>
      <w:pPr>
        <w:spacing w:after="0" w:line="162" w:lineRule="exact"/>
        <w:rPr>
          <w:sz w:val="24"/>
          <w:szCs w:val="24"/>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Up to $1,999,999,000 aggregate principal amount of new 3.999% Notes due 2049 registered under the Securities Act of 1933, for any and all outstanding unregistered 3.999% Notes due 2049, and</w:t>
      </w:r>
    </w:p>
    <w:p>
      <w:pPr>
        <w:spacing w:after="0" w:line="162" w:lineRule="exact"/>
        <w:rPr>
          <w:sz w:val="24"/>
          <w:szCs w:val="24"/>
          <w:color w:val="auto"/>
        </w:rPr>
      </w:pPr>
    </w:p>
    <w:p>
      <w:pPr>
        <w:jc w:val="center"/>
        <w:ind w:right="40"/>
        <w:spacing w:after="0" w:line="261" w:lineRule="auto"/>
        <w:rPr>
          <w:sz w:val="20"/>
          <w:szCs w:val="20"/>
          <w:color w:val="auto"/>
        </w:rPr>
      </w:pPr>
      <w:r>
        <w:rPr>
          <w:rFonts w:ascii="Arial" w:cs="Arial" w:eastAsia="Arial" w:hAnsi="Arial"/>
          <w:sz w:val="18"/>
          <w:szCs w:val="18"/>
          <w:b w:val="1"/>
          <w:bCs w:val="1"/>
          <w:color w:val="auto"/>
        </w:rPr>
        <w:t>Up to $1,499,967,000 aggregate principal amount of new 4.049% Notes due 2052 registered under the Securities Act of 1933, for any and all outstanding unregistered 4.049% Notes due 2052</w:t>
      </w:r>
    </w:p>
    <w:p>
      <w:pPr>
        <w:ind w:left="5000"/>
        <w:spacing w:after="0"/>
        <w:rPr>
          <w:sz w:val="20"/>
          <w:szCs w:val="20"/>
          <w:color w:val="auto"/>
        </w:rPr>
      </w:pPr>
      <w:r>
        <w:rPr>
          <w:rFonts w:ascii="Arial" w:cs="Arial" w:eastAsia="Arial" w:hAnsi="Arial"/>
          <w:sz w:val="18"/>
          <w:szCs w:val="18"/>
          <w:color w:val="auto"/>
        </w:rPr>
        <w:t>________________</w:t>
      </w:r>
    </w:p>
    <w:p>
      <w:pPr>
        <w:spacing w:after="0" w:line="211" w:lineRule="exact"/>
        <w:rPr>
          <w:sz w:val="24"/>
          <w:szCs w:val="24"/>
          <w:color w:val="auto"/>
        </w:rPr>
      </w:pPr>
    </w:p>
    <w:p>
      <w:pPr>
        <w:ind w:right="40" w:firstLine="648"/>
        <w:spacing w:after="0" w:line="287" w:lineRule="auto"/>
        <w:rPr>
          <w:sz w:val="20"/>
          <w:szCs w:val="20"/>
          <w:color w:val="auto"/>
        </w:rPr>
      </w:pPr>
      <w:r>
        <w:rPr>
          <w:rFonts w:ascii="Arial" w:cs="Arial" w:eastAsia="Arial" w:hAnsi="Arial"/>
          <w:sz w:val="16"/>
          <w:szCs w:val="16"/>
          <w:color w:val="auto"/>
        </w:rPr>
        <w:t>Comcast Corporation (“Comcast”) is offering to exchange: (i) new registered 3.969% Notes due 2047 (the “2047 Exchange Notes”) for its outstanding unregistered 3.969% Notes due 2047 (the “2047 Original Notes”); (ii) new registered 3.999% Notes due 2049 (the “2049 Exchange Notes”) for its outstanding unregistered 3.999% Notes due 2049 (the “2049 Original Notes”) and (iii) new registered 4.049% Notes due 2052 (the “2052 Exchange Notes” and, together with the 2047 Exchange Notes and the 2049 Exchange Notes, the “Exchange Notes”) for its outstanding unregistered 4.049% Notes due 2052 (the “2052 Original Notes” and, together with the 2047 Original Notes and the 2049 Original Notes, the “Original Notes”). The Original Notes and the Exchange Notes are sometimes referred to in this prospectus together as the “Notes”. The terms of each series of the Exchange Notes are substantially identical to the terms of the applicable series of Original Notes, except that the Exchange Notes are registered under the Securities Act of 1933, as amended (the “Securities Act”), and the transfer restrictions and registration rights and related special interest provisions applicable to the Original Notes do not apply to the Exchange Notes. The Original Notes are, and the Exchange Notes will be, unsecured and will rank equally with all of our and our guarantors’ unsecured and unsubordinated indebtedness. The Original Notes are, and the Exchange Notes will be, fully and unconditionally guaranteed by NBCUniversal Media, LLC (“NBCUniversal”) and Comcast Cable Communications, LLC (“Comcast Cable Communications”).</w:t>
      </w:r>
    </w:p>
    <w:p>
      <w:pPr>
        <w:spacing w:after="0" w:line="173" w:lineRule="exact"/>
        <w:rPr>
          <w:sz w:val="24"/>
          <w:szCs w:val="24"/>
          <w:color w:val="auto"/>
        </w:rPr>
      </w:pPr>
    </w:p>
    <w:p>
      <w:pPr>
        <w:ind w:right="60" w:firstLine="648"/>
        <w:spacing w:after="0" w:line="272" w:lineRule="auto"/>
        <w:rPr>
          <w:sz w:val="20"/>
          <w:szCs w:val="20"/>
          <w:color w:val="auto"/>
        </w:rPr>
      </w:pPr>
      <w:r>
        <w:rPr>
          <w:rFonts w:ascii="Arial" w:cs="Arial" w:eastAsia="Arial" w:hAnsi="Arial"/>
          <w:sz w:val="17"/>
          <w:szCs w:val="17"/>
          <w:color w:val="auto"/>
        </w:rPr>
        <w:t>The Original Notes may only be tendered in an amount equal to $2,000 in principal amount and in multiples of $1,000 thereafter. Interest on the Exchange Notes will accrue from the date of original issuance of the Original Notes (October 19, 2017) or from the most recent date on which interest on the Original Notes has been paid, whichever is later, and will be payable semi-annually in arrears on May 1 and November 1, commencing on May 1, 2018. We will deem the right to receive any interest accrued but unpaid on the Original Notes waived by you if we accept your Original Notes for exchange. Accordingly, holders whose tenders are accepted for exchange will not receive any payment in respect of accrued interest on such Original Notes, unless the record date for any such interest payment occurs before the completion of the Exchange Offers. We refer to these offers as the “Exchange Offers”. For a more detailed description of the Exchange Notes, see “Description of Exchange Notes and the Guarantees”.</w:t>
      </w:r>
    </w:p>
    <w:p>
      <w:pPr>
        <w:spacing w:after="0" w:line="17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We are not asking you for a proxy and you are requested not to send us a proxy. You do not have dissenters’ rights of appraisal in connection with the Exchange Offers. See “The Exchange Offers — Absence of Dissenters’ Rights of Appraisal”.</w:t>
      </w:r>
    </w:p>
    <w:p>
      <w:pPr>
        <w:spacing w:after="0" w:line="166" w:lineRule="exact"/>
        <w:rPr>
          <w:sz w:val="24"/>
          <w:szCs w:val="24"/>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No public market currently exists for the Original Notes and we cannot assure you that any public market for the Exchange Notes will develop. The Exchange Notes will not be listed on any national securities exchange.</w:t>
      </w:r>
    </w:p>
    <w:p>
      <w:pPr>
        <w:spacing w:after="0" w:line="166" w:lineRule="exact"/>
        <w:rPr>
          <w:sz w:val="24"/>
          <w:szCs w:val="24"/>
          <w:color w:val="auto"/>
        </w:rPr>
      </w:pPr>
    </w:p>
    <w:p>
      <w:pPr>
        <w:ind w:right="120" w:firstLine="648"/>
        <w:spacing w:after="0" w:line="276" w:lineRule="auto"/>
        <w:rPr>
          <w:sz w:val="20"/>
          <w:szCs w:val="20"/>
          <w:color w:val="auto"/>
        </w:rPr>
      </w:pPr>
      <w:r>
        <w:rPr>
          <w:rFonts w:ascii="Arial" w:cs="Arial" w:eastAsia="Arial" w:hAnsi="Arial"/>
          <w:sz w:val="17"/>
          <w:szCs w:val="17"/>
          <w:color w:val="auto"/>
        </w:rPr>
        <w:t>Each broker-dealer that receives Exchange Notes for its own account pursuant to the Exchange Offers will be deemed to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ind w:right="60"/>
        <w:spacing w:after="0" w:line="277" w:lineRule="auto"/>
        <w:rPr>
          <w:sz w:val="20"/>
          <w:szCs w:val="20"/>
          <w:color w:val="auto"/>
        </w:rPr>
      </w:pPr>
      <w:r>
        <w:rPr>
          <w:rFonts w:ascii="Arial" w:cs="Arial" w:eastAsia="Arial" w:hAnsi="Arial"/>
          <w:sz w:val="18"/>
          <w:szCs w:val="18"/>
          <w:color w:val="auto"/>
        </w:rPr>
        <w:t>We have agreed that, for a period of 90 days after the Expiration Date (as defined herein), we will make this prospectus available to any broker-dealer for use in connection with any such resale. See “Plan of Distribution” below.</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Holders may withdraw their tendered Original Notes at any time at or prior to the Expiration Date (as defined below) of the Exchange Offers. The Exchange Offers will expire at 11:59 p.m., New York City time, on December 14, 2017, unless extended or earlier terminated by us (such date, as the same may be extended or earlier terminated with respect to any series of Exchange Notes, the “Expiration Date”). The Exchange Offers are subject to customary conditions discussed under “The Exchange Offers — Conditions to the Exchange Offers”. No Exchange Offer is conditioned upon the other Exchange Offers, and we may terminate or extend any Exchange Offer without terminating or extending the other Exchange Offers.</w:t>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________________</w:t>
      </w:r>
    </w:p>
    <w:p>
      <w:pPr>
        <w:spacing w:after="0" w:line="207"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Investing in the Exchange Notes involves risks. See “Risk Factors” beginning on page 25 of our Annual Report on Form 10-K for the fiscal year ended December 31, 2016, which is incorporated by reference herein, and on page 10 of this prospectus, to read about factors you should consider before investing in the Exchange Notes.</w:t>
      </w:r>
    </w:p>
    <w:p>
      <w:pPr>
        <w:spacing w:after="0" w:line="176" w:lineRule="exact"/>
        <w:rPr>
          <w:sz w:val="20"/>
          <w:szCs w:val="20"/>
          <w:color w:val="auto"/>
        </w:rPr>
      </w:pPr>
    </w:p>
    <w:p>
      <w:pPr>
        <w:ind w:right="320" w:firstLine="648"/>
        <w:spacing w:after="0" w:line="313" w:lineRule="auto"/>
        <w:rPr>
          <w:sz w:val="20"/>
          <w:szCs w:val="20"/>
          <w:color w:val="auto"/>
        </w:rPr>
      </w:pPr>
      <w:r>
        <w:rPr>
          <w:rFonts w:ascii="Arial" w:cs="Arial" w:eastAsia="Arial" w:hAnsi="Arial"/>
          <w:sz w:val="17"/>
          <w:szCs w:val="17"/>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dated November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80" w:type="dxa"/>
            <w:vAlign w:val="bottom"/>
            <w:gridSpan w:val="6"/>
          </w:tcPr>
          <w:p>
            <w:pPr>
              <w:ind w:left="300"/>
              <w:spacing w:after="0"/>
              <w:rPr>
                <w:sz w:val="20"/>
                <w:szCs w:val="20"/>
                <w:color w:val="auto"/>
              </w:rPr>
            </w:pPr>
            <w:r>
              <w:rPr>
                <w:rFonts w:ascii="Arial" w:cs="Arial" w:eastAsia="Arial" w:hAnsi="Arial"/>
                <w:sz w:val="22"/>
                <w:szCs w:val="22"/>
                <w:b w:val="1"/>
                <w:bCs w:val="1"/>
                <w:color w:val="auto"/>
              </w:rPr>
              <w:t>TABLE OF CONTENTS</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480" w:type="dxa"/>
            <w:vAlign w:val="bottom"/>
            <w:tcBorders>
              <w:bottom w:val="single" w:sz="8" w:color="auto"/>
            </w:tcBorders>
          </w:tcPr>
          <w:p>
            <w:pPr>
              <w:spacing w:after="0"/>
              <w:rPr>
                <w:sz w:val="21"/>
                <w:szCs w:val="21"/>
                <w:color w:val="auto"/>
              </w:rPr>
            </w:pPr>
          </w:p>
        </w:tc>
        <w:tc>
          <w:tcPr>
            <w:tcW w:w="2700" w:type="dxa"/>
            <w:vAlign w:val="bottom"/>
            <w:gridSpan w:val="5"/>
            <w:vMerge w:val="restart"/>
          </w:tcPr>
          <w:p>
            <w:pPr>
              <w:ind w:left="2340"/>
              <w:spacing w:after="0"/>
              <w:rPr>
                <w:sz w:val="20"/>
                <w:szCs w:val="20"/>
                <w:color w:val="auto"/>
              </w:rPr>
            </w:pPr>
            <w:r>
              <w:rPr>
                <w:rFonts w:ascii="Arial" w:cs="Arial" w:eastAsia="Arial" w:hAnsi="Arial"/>
                <w:sz w:val="18"/>
                <w:szCs w:val="18"/>
                <w:color w:val="auto"/>
                <w:w w:val="90"/>
              </w:rPr>
              <w:t>P</w:t>
            </w:r>
            <w:r>
              <w:rPr>
                <w:rFonts w:ascii="Arial" w:cs="Arial" w:eastAsia="Arial" w:hAnsi="Arial"/>
                <w:sz w:val="12"/>
                <w:szCs w:val="12"/>
                <w:color w:val="auto"/>
                <w:w w:val="90"/>
              </w:rPr>
              <w: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7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shd w:val="clear" w:color="auto" w:fill="D5EAEA"/>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7160" w:type="dxa"/>
            <w:vAlign w:val="bottom"/>
            <w:gridSpan w:val="5"/>
            <w:shd w:val="clear" w:color="auto" w:fill="D5EAEA"/>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480" w:type="dxa"/>
            <w:vAlign w:val="bottom"/>
            <w:tcBorders>
              <w:top w:val="single" w:sz="8" w:color="D5EAEA"/>
            </w:tcBorders>
            <w:shd w:val="clear" w:color="auto" w:fill="D5EAEA"/>
          </w:tcPr>
          <w:p>
            <w:pPr>
              <w:spacing w:after="0" w:line="20" w:lineRule="exact"/>
              <w:rPr>
                <w:sz w:val="1"/>
                <w:szCs w:val="1"/>
                <w:color w:val="auto"/>
              </w:rPr>
            </w:pPr>
          </w:p>
        </w:tc>
        <w:tc>
          <w:tcPr>
            <w:tcW w:w="50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6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4480" w:type="dxa"/>
            <w:vAlign w:val="bottom"/>
            <w:tcBorders>
              <w:top w:val="single" w:sz="8" w:color="D5EAEA"/>
            </w:tcBorders>
            <w:shd w:val="clear" w:color="auto" w:fill="D5EAEA"/>
          </w:tcPr>
          <w:p>
            <w:pPr>
              <w:spacing w:after="0" w:line="20" w:lineRule="exact"/>
              <w:rPr>
                <w:sz w:val="1"/>
                <w:szCs w:val="1"/>
                <w:color w:val="auto"/>
              </w:rPr>
            </w:pPr>
          </w:p>
        </w:tc>
        <w:tc>
          <w:tcPr>
            <w:tcW w:w="23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7160" w:type="dxa"/>
            <w:vAlign w:val="bottom"/>
            <w:gridSpan w:val="5"/>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12"/>
            <w:shd w:val="clear" w:color="auto" w:fill="D5EAEA"/>
          </w:tcPr>
          <w:p>
            <w:pP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Where You Can Find More Information</w:t>
              </w:r>
            </w:hyperlink>
          </w:p>
        </w:tc>
        <w:tc>
          <w:tcPr>
            <w:tcW w:w="1380" w:type="dxa"/>
            <w:vAlign w:val="bottom"/>
            <w:gridSpan w:val="4"/>
            <w:shd w:val="clear" w:color="auto" w:fill="D5EAEA"/>
          </w:tcPr>
          <w:p>
            <w:pPr>
              <w:spacing w:after="0"/>
              <w:rPr>
                <w:sz w:val="15"/>
                <w:szCs w:val="15"/>
                <w:color w:val="auto"/>
              </w:rPr>
            </w:pPr>
          </w:p>
        </w:tc>
        <w:tc>
          <w:tcPr>
            <w:tcW w:w="7160" w:type="dxa"/>
            <w:vAlign w:val="bottom"/>
            <w:gridSpan w:val="5"/>
            <w:shd w:val="clear" w:color="auto" w:fill="D5EAEA"/>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480" w:type="dxa"/>
            <w:vAlign w:val="bottom"/>
            <w:tcBorders>
              <w:top w:val="single" w:sz="8" w:color="0000EE"/>
            </w:tcBorders>
            <w:shd w:val="clear" w:color="auto" w:fill="D5EAEA"/>
          </w:tcPr>
          <w:p>
            <w:pPr>
              <w:spacing w:after="0" w:line="20" w:lineRule="exact"/>
              <w:rPr>
                <w:sz w:val="1"/>
                <w:szCs w:val="1"/>
                <w:color w:val="auto"/>
              </w:rPr>
            </w:pPr>
          </w:p>
        </w:tc>
        <w:tc>
          <w:tcPr>
            <w:tcW w:w="50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6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4480" w:type="dxa"/>
            <w:vAlign w:val="bottom"/>
            <w:tcBorders>
              <w:top w:val="single" w:sz="8" w:color="D5EAEA"/>
            </w:tcBorders>
            <w:shd w:val="clear" w:color="auto" w:fill="D5EAEA"/>
          </w:tcPr>
          <w:p>
            <w:pPr>
              <w:spacing w:after="0" w:line="20" w:lineRule="exact"/>
              <w:rPr>
                <w:sz w:val="1"/>
                <w:szCs w:val="1"/>
                <w:color w:val="auto"/>
              </w:rPr>
            </w:pPr>
          </w:p>
        </w:tc>
        <w:tc>
          <w:tcPr>
            <w:tcW w:w="23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Incorporation of Certain Information by Reference</w:t>
              </w:r>
            </w:hyperlink>
          </w:p>
        </w:tc>
        <w:tc>
          <w:tcPr>
            <w:tcW w:w="7160" w:type="dxa"/>
            <w:vAlign w:val="bottom"/>
            <w:gridSpan w:val="5"/>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shd w:val="clear" w:color="auto" w:fill="D5EAEA"/>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7160" w:type="dxa"/>
            <w:vAlign w:val="bottom"/>
            <w:gridSpan w:val="5"/>
            <w:shd w:val="clear" w:color="auto" w:fill="D5EAEA"/>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480" w:type="dxa"/>
            <w:vAlign w:val="bottom"/>
            <w:tcBorders>
              <w:top w:val="single" w:sz="8" w:color="D5EAEA"/>
            </w:tcBorders>
            <w:shd w:val="clear" w:color="auto" w:fill="D5EAEA"/>
          </w:tcPr>
          <w:p>
            <w:pPr>
              <w:spacing w:after="0" w:line="20" w:lineRule="exact"/>
              <w:rPr>
                <w:sz w:val="1"/>
                <w:szCs w:val="1"/>
                <w:color w:val="auto"/>
              </w:rPr>
            </w:pPr>
          </w:p>
        </w:tc>
        <w:tc>
          <w:tcPr>
            <w:tcW w:w="50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6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4480" w:type="dxa"/>
            <w:vAlign w:val="bottom"/>
            <w:tcBorders>
              <w:top w:val="single" w:sz="8" w:color="D5EAEA"/>
            </w:tcBorders>
            <w:shd w:val="clear" w:color="auto" w:fill="D5EAEA"/>
          </w:tcPr>
          <w:p>
            <w:pPr>
              <w:spacing w:after="0" w:line="20" w:lineRule="exact"/>
              <w:rPr>
                <w:sz w:val="1"/>
                <w:szCs w:val="1"/>
                <w:color w:val="auto"/>
              </w:rPr>
            </w:pPr>
          </w:p>
        </w:tc>
        <w:tc>
          <w:tcPr>
            <w:tcW w:w="23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7160" w:type="dxa"/>
            <w:vAlign w:val="bottom"/>
            <w:gridSpan w:val="5"/>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4"/>
            <w:shd w:val="clear" w:color="auto" w:fill="D5EAEA"/>
          </w:tcPr>
          <w:p>
            <w:pPr>
              <w:spacing w:after="0" w:line="176" w:lineRule="exact"/>
              <w:rPr>
                <w:rFonts w:ascii="Arial" w:cs="Arial" w:eastAsia="Arial" w:hAnsi="Arial"/>
                <w:sz w:val="18"/>
                <w:szCs w:val="18"/>
                <w:color w:val="0000EE"/>
                <w:w w:val="85"/>
              </w:rPr>
            </w:pPr>
            <w:hyperlink w:anchor="page15">
              <w:r>
                <w:rPr>
                  <w:rFonts w:ascii="Arial" w:cs="Arial" w:eastAsia="Arial" w:hAnsi="Arial"/>
                  <w:sz w:val="18"/>
                  <w:szCs w:val="18"/>
                  <w:color w:val="0000EE"/>
                  <w:w w:val="85"/>
                </w:rPr>
                <w:t>Use of Proceeds</w:t>
              </w:r>
            </w:hyperlink>
          </w:p>
        </w:tc>
        <w:tc>
          <w:tcPr>
            <w:tcW w:w="3080" w:type="dxa"/>
            <w:vAlign w:val="bottom"/>
            <w:tcBorders>
              <w:bottom w:val="single" w:sz="8" w:color="D5EAEA"/>
            </w:tcBorders>
            <w:gridSpan w:val="12"/>
            <w:shd w:val="clear" w:color="auto" w:fill="D5EAEA"/>
          </w:tcPr>
          <w:p>
            <w:pPr>
              <w:spacing w:after="0"/>
              <w:rPr>
                <w:sz w:val="17"/>
                <w:szCs w:val="17"/>
                <w:color w:val="auto"/>
              </w:rPr>
            </w:pPr>
          </w:p>
        </w:tc>
        <w:tc>
          <w:tcPr>
            <w:tcW w:w="6980" w:type="dxa"/>
            <w:vAlign w:val="bottom"/>
            <w:tcBorders>
              <w:bottom w:val="single" w:sz="8" w:color="D5EAEA"/>
            </w:tcBorders>
            <w:gridSpan w:val="3"/>
            <w:shd w:val="clear" w:color="auto" w:fill="D5EAEA"/>
          </w:tcPr>
          <w:p>
            <w:pPr>
              <w:spacing w:after="0"/>
              <w:rPr>
                <w:sz w:val="17"/>
                <w:szCs w:val="17"/>
                <w:color w:val="auto"/>
              </w:rPr>
            </w:pPr>
          </w:p>
        </w:tc>
        <w:tc>
          <w:tcPr>
            <w:tcW w:w="180" w:type="dxa"/>
            <w:vAlign w:val="bottom"/>
            <w:tcBorders>
              <w:bottom w:val="single" w:sz="8" w:color="0000EE"/>
            </w:tcBorders>
            <w:gridSpan w:val="2"/>
            <w:shd w:val="clear" w:color="auto" w:fill="D5EAEA"/>
          </w:tcPr>
          <w:p>
            <w:pPr>
              <w:jc w:val="right"/>
              <w:spacing w:after="0" w:line="17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gridSpan w:val="16"/>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Ratios of Earnings to Fixed Charges</w:t>
              </w:r>
            </w:hyperlink>
          </w:p>
        </w:tc>
        <w:tc>
          <w:tcPr>
            <w:tcW w:w="7160" w:type="dxa"/>
            <w:vAlign w:val="bottom"/>
            <w:gridSpan w:val="5"/>
          </w:tcPr>
          <w:p>
            <w:pPr>
              <w:jc w:val="right"/>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shd w:val="clear" w:color="auto" w:fill="D5EAEA"/>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The Exchange Offers</w:t>
              </w:r>
            </w:hyperlink>
          </w:p>
        </w:tc>
        <w:tc>
          <w:tcPr>
            <w:tcW w:w="7160" w:type="dxa"/>
            <w:vAlign w:val="bottom"/>
            <w:gridSpan w:val="5"/>
            <w:shd w:val="clear" w:color="auto" w:fill="D5EAEA"/>
          </w:tcPr>
          <w:p>
            <w:pPr>
              <w:jc w:val="right"/>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480" w:type="dxa"/>
            <w:vAlign w:val="bottom"/>
            <w:tcBorders>
              <w:top w:val="single" w:sz="8" w:color="D5EAEA"/>
            </w:tcBorders>
            <w:shd w:val="clear" w:color="auto" w:fill="D5EAEA"/>
          </w:tcPr>
          <w:p>
            <w:pPr>
              <w:spacing w:after="0" w:line="20" w:lineRule="exact"/>
              <w:rPr>
                <w:sz w:val="1"/>
                <w:szCs w:val="1"/>
                <w:color w:val="auto"/>
              </w:rPr>
            </w:pPr>
          </w:p>
        </w:tc>
        <w:tc>
          <w:tcPr>
            <w:tcW w:w="50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6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4480" w:type="dxa"/>
            <w:vAlign w:val="bottom"/>
            <w:tcBorders>
              <w:top w:val="single" w:sz="8" w:color="D5EAEA"/>
            </w:tcBorders>
            <w:shd w:val="clear" w:color="auto" w:fill="D5EAEA"/>
          </w:tcPr>
          <w:p>
            <w:pPr>
              <w:spacing w:after="0" w:line="20" w:lineRule="exact"/>
              <w:rPr>
                <w:sz w:val="1"/>
                <w:szCs w:val="1"/>
                <w:color w:val="auto"/>
              </w:rPr>
            </w:pPr>
          </w:p>
        </w:tc>
        <w:tc>
          <w:tcPr>
            <w:tcW w:w="23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tcPr>
          <w:p>
            <w:pPr>
              <w:spacing w:after="0" w:line="17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Description of the Exchange Notes and the Guarantees</w:t>
              </w:r>
            </w:hyperlink>
          </w:p>
        </w:tc>
        <w:tc>
          <w:tcPr>
            <w:tcW w:w="7160" w:type="dxa"/>
            <w:vAlign w:val="bottom"/>
            <w:gridSpan w:val="5"/>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40" w:type="dxa"/>
            <w:vAlign w:val="bottom"/>
            <w:gridSpan w:val="16"/>
            <w:shd w:val="clear" w:color="auto" w:fill="D5EAEA"/>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Certain U.S. Federal Income Tax Considerations</w:t>
              </w:r>
            </w:hyperlink>
          </w:p>
        </w:tc>
        <w:tc>
          <w:tcPr>
            <w:tcW w:w="7160" w:type="dxa"/>
            <w:vAlign w:val="bottom"/>
            <w:gridSpan w:val="5"/>
            <w:shd w:val="clear" w:color="auto" w:fill="D5EAEA"/>
          </w:tcPr>
          <w:p>
            <w:pPr>
              <w:jc w:val="right"/>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Plan of Distribution</w:t>
              </w:r>
            </w:hyperlink>
          </w:p>
        </w:tc>
        <w:tc>
          <w:tcPr>
            <w:tcW w:w="760" w:type="dxa"/>
            <w:vAlign w:val="bottom"/>
            <w:tcBorders>
              <w:top w:val="single" w:sz="8" w:color="D5EAEA"/>
            </w:tcBorders>
            <w:gridSpan w:val="3"/>
          </w:tcPr>
          <w:p>
            <w:pPr>
              <w:spacing w:after="0"/>
              <w:rPr>
                <w:sz w:val="15"/>
                <w:szCs w:val="15"/>
                <w:color w:val="auto"/>
              </w:rPr>
            </w:pPr>
          </w:p>
        </w:tc>
        <w:tc>
          <w:tcPr>
            <w:tcW w:w="6980" w:type="dxa"/>
            <w:vAlign w:val="bottom"/>
            <w:tcBorders>
              <w:top w:val="single" w:sz="8" w:color="D5EAEA"/>
            </w:tcBorders>
            <w:gridSpan w:val="3"/>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shd w:val="clear" w:color="auto" w:fill="D5EAEA"/>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The Exchange Agent</w:t>
              </w:r>
            </w:hyperlink>
          </w:p>
        </w:tc>
        <w:tc>
          <w:tcPr>
            <w:tcW w:w="7160" w:type="dxa"/>
            <w:vAlign w:val="bottom"/>
            <w:gridSpan w:val="5"/>
            <w:shd w:val="clear" w:color="auto" w:fill="D5EAEA"/>
          </w:tcPr>
          <w:p>
            <w:pPr>
              <w:jc w:val="right"/>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41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480" w:type="dxa"/>
            <w:vAlign w:val="bottom"/>
            <w:tcBorders>
              <w:top w:val="single" w:sz="8" w:color="D5EAEA"/>
            </w:tcBorders>
            <w:shd w:val="clear" w:color="auto" w:fill="D5EAEA"/>
          </w:tcPr>
          <w:p>
            <w:pPr>
              <w:spacing w:after="0" w:line="20" w:lineRule="exact"/>
              <w:rPr>
                <w:sz w:val="1"/>
                <w:szCs w:val="1"/>
                <w:color w:val="auto"/>
              </w:rPr>
            </w:pPr>
          </w:p>
        </w:tc>
        <w:tc>
          <w:tcPr>
            <w:tcW w:w="50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6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4480" w:type="dxa"/>
            <w:vAlign w:val="bottom"/>
            <w:tcBorders>
              <w:top w:val="single" w:sz="8" w:color="D5EAEA"/>
            </w:tcBorders>
            <w:shd w:val="clear" w:color="auto" w:fill="D5EAEA"/>
          </w:tcPr>
          <w:p>
            <w:pPr>
              <w:spacing w:after="0" w:line="20" w:lineRule="exact"/>
              <w:rPr>
                <w:sz w:val="1"/>
                <w:szCs w:val="1"/>
                <w:color w:val="auto"/>
              </w:rPr>
            </w:pPr>
          </w:p>
        </w:tc>
        <w:tc>
          <w:tcPr>
            <w:tcW w:w="23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Validity of Securities</w:t>
              </w:r>
            </w:hyperlink>
          </w:p>
        </w:tc>
        <w:tc>
          <w:tcPr>
            <w:tcW w:w="7160" w:type="dxa"/>
            <w:vAlign w:val="bottom"/>
            <w:gridSpan w:val="5"/>
          </w:tcPr>
          <w:p>
            <w:pPr>
              <w:jc w:val="right"/>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42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shd w:val="clear" w:color="auto" w:fill="D5EAEA"/>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Experts</w:t>
              </w:r>
            </w:hyperlink>
          </w:p>
        </w:tc>
        <w:tc>
          <w:tcPr>
            <w:tcW w:w="7160" w:type="dxa"/>
            <w:vAlign w:val="bottom"/>
            <w:gridSpan w:val="5"/>
            <w:shd w:val="clear" w:color="auto" w:fill="D5EAEA"/>
          </w:tcPr>
          <w:p>
            <w:pPr>
              <w:jc w:val="right"/>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42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480" w:type="dxa"/>
            <w:vAlign w:val="bottom"/>
            <w:tcBorders>
              <w:top w:val="single" w:sz="8" w:color="D5EAEA"/>
            </w:tcBorders>
            <w:shd w:val="clear" w:color="auto" w:fill="D5EAEA"/>
          </w:tcPr>
          <w:p>
            <w:pPr>
              <w:spacing w:after="0" w:line="20" w:lineRule="exact"/>
              <w:rPr>
                <w:sz w:val="1"/>
                <w:szCs w:val="1"/>
                <w:color w:val="auto"/>
              </w:rPr>
            </w:pPr>
          </w:p>
        </w:tc>
        <w:tc>
          <w:tcPr>
            <w:tcW w:w="50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6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4480" w:type="dxa"/>
            <w:vAlign w:val="bottom"/>
            <w:tcBorders>
              <w:top w:val="single" w:sz="8" w:color="D5EAEA"/>
            </w:tcBorders>
            <w:shd w:val="clear" w:color="auto" w:fill="D5EAEA"/>
          </w:tcPr>
          <w:p>
            <w:pPr>
              <w:spacing w:after="0" w:line="20" w:lineRule="exact"/>
              <w:rPr>
                <w:sz w:val="1"/>
                <w:szCs w:val="1"/>
                <w:color w:val="auto"/>
              </w:rPr>
            </w:pPr>
          </w:p>
        </w:tc>
        <w:tc>
          <w:tcPr>
            <w:tcW w:w="23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No person has been authorized to give any information or any representation concerning us or the Exchange Offers (other than as contained in this prospectus) and we take no responsibility for, nor can we provide any assurance as to the reliability of, any other information that others may give you. You should not assume that the information contained or incorporated by reference in this prospectus is accurate as of any date other than the date on the front cover of this prospectus or the date of the incorporated document, as applicable.</w:t>
      </w:r>
    </w:p>
    <w:p>
      <w:pPr>
        <w:spacing w:after="0" w:line="187"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In making an investment decision, prospective investors must rely on their own examination of us, and the terms of the Exchange Offers, including the merits and risks involved. Prospective investors should not construe anything in this prospectus as legal, business or tax advice. Each prospective investor should consult its own advisors as needed to make its investment decision and to determine whether it is legally permitted to participate in the Exchange Offers and to invest in the Exchange Notes under applicable legal investment or similar laws or regulations.</w:t>
      </w:r>
    </w:p>
    <w:p>
      <w:pPr>
        <w:spacing w:after="0" w:line="171"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No letter of transmittal will be used in connection with the Exchange Offers, and there are no guaranteed delivery provisions provided for in conjunction with the Exchange Offers under the terms of this prospectus. Tendering holders must tender their Original Notes in accordance with the procedures set forth under “The Exchange Offers — Procedures for Tendering Original Notes”.</w:t>
      </w:r>
    </w:p>
    <w:p>
      <w:pPr>
        <w:spacing w:after="0" w:line="181"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This prospectus contains summaries believed to be accurate with respect to certain documents, but reference is made to the actual documents for complete information. All such summaries are qualified in their entirety by such reference. See “Where You Can Find More Information”.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included or incorporated by reference in this prospectus statements that may constitute “forward-looking statements.” These forward-looking statements are not historical facts but instead represent only our belief regarding future events, many of which, by their nature, are inherently uncertain and outside of our control. It is possible that our actual results may differ, possibly materially, from the anticipated results indicated in or implied by these forward-looking statements. See “Risk Factors” below for information regarding important factors that could cause actual results to differ, perhaps materially, from those in our forward-looking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filed with the SEC a registration statement on Form S-4 relating to the securities covered by this prospectus.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Comcast and NBCUniversal file combined annual and quarterly reports and combined or separate special reports and other information with the SEC. Comcast Cable Communications does not currently file information with the SEC. Although Comcast Cable Communications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8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ind w:right="220"/>
        <w:spacing w:after="0" w:line="342" w:lineRule="auto"/>
        <w:rPr>
          <w:sz w:val="20"/>
          <w:szCs w:val="20"/>
          <w:color w:val="auto"/>
        </w:rPr>
      </w:pPr>
      <w:r>
        <w:rPr>
          <w:rFonts w:ascii="Arial" w:cs="Arial" w:eastAsia="Arial" w:hAnsi="Arial"/>
          <w:sz w:val="16"/>
          <w:szCs w:val="16"/>
          <w:color w:val="auto"/>
        </w:rPr>
        <w:t>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chosen to “incorporate by reference” the information we file with the SEC, which means that we disclose important information to you by referring you to those documents. The information incorporated by reference is considered to be part of this prospectus, and information that we file with the SEC in the future will automatically update and supersede this information. We incorporate by reference the documents listed below and any future filings we will make with the SEC under Section 13(a), 13(c), 14 or 15(d) of the Securities Exchange Act of 1934 (the “Exchange Act”) after the date of this prospectus and until we complete the Exchange Offer (other than, in each case, documents or information deemed to have been furnished and not filed in accordance with the SEC rules):</w:t>
      </w:r>
    </w:p>
    <w:p>
      <w:pPr>
        <w:spacing w:after="0" w:line="193"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Comcast’s and NBCUniversal’s combined Annual Report on Form 10-K for the year ended December 31, 2016;</w:t>
      </w:r>
    </w:p>
    <w:p>
      <w:pPr>
        <w:spacing w:after="0" w:line="225" w:lineRule="exact"/>
        <w:rPr>
          <w:rFonts w:ascii="Arial" w:cs="Arial" w:eastAsia="Arial" w:hAnsi="Arial"/>
          <w:sz w:val="18"/>
          <w:szCs w:val="18"/>
          <w:color w:val="auto"/>
        </w:rPr>
      </w:pPr>
    </w:p>
    <w:p>
      <w:pPr>
        <w:ind w:left="980" w:right="74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2017, June 30, 2017 and September 30, 2017;</w:t>
      </w:r>
    </w:p>
    <w:p>
      <w:pPr>
        <w:spacing w:after="0" w:line="170"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Comcast’s Current Reports on Form 8-K and amendments thereto filed on January 10, 2017, January 27, 2017, February 15, 2017, February 23, 2017, March 14, 2017, March 20, 2017, May 8, 2017, May 12, 2017, June 13, 2017, August 7, 2017, October 3, 2017, October 19, 2017 and October 20, 2017;</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NBCUniversal’s Current Reports on Form 8-K filed on May 3, 2017, October 3, 2017, October 19, 2017 and October 20, 2017; and</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sections of Comcast’s Definitive Proxy Statement on Schedule 14A for the 2017 annual meeting of shareholders incorporated by reference in Comcast’s Annual Report on Form 10-K for the year ended December 31, 2016, filed on April 28, 2017.</w:t>
      </w:r>
    </w:p>
    <w:p>
      <w:pPr>
        <w:spacing w:after="0" w:line="17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83"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b w:val="1"/>
          <w:bCs w:val="1"/>
          <w:color w:val="auto"/>
        </w:rPr>
        <w:t>To receive timely delivery of the documents prior to the Expiration Date, you should make your request no later than five business days before the date you must make your investment decision, or December 7,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5" w:name="page6"/>
    <w:bookmarkEnd w:id="5"/>
    <w:p>
      <w:pPr>
        <w:jc w:val="center"/>
        <w:ind w:right="-4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16140" cy="7387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6140" cy="7387590"/>
                    </a:xfrm>
                    <a:prstGeom prst="rect">
                      <a:avLst/>
                    </a:prstGeom>
                    <a:noFill/>
                  </pic:spPr>
                </pic:pic>
              </a:graphicData>
            </a:graphic>
          </wp:anchor>
        </w:drawing>
        <w:t>SUMMARY</w:t>
      </w:r>
    </w:p>
    <w:p>
      <w:pPr>
        <w:spacing w:after="0" w:line="229" w:lineRule="exact"/>
        <w:rPr>
          <w:sz w:val="20"/>
          <w:szCs w:val="20"/>
          <w:color w:val="auto"/>
        </w:rPr>
      </w:pPr>
    </w:p>
    <w:p>
      <w:pPr>
        <w:ind w:left="2" w:right="60" w:firstLine="324"/>
        <w:spacing w:after="0" w:line="259" w:lineRule="auto"/>
        <w:rPr>
          <w:sz w:val="20"/>
          <w:szCs w:val="20"/>
          <w:color w:val="auto"/>
        </w:rPr>
      </w:pPr>
      <w:r>
        <w:rPr>
          <w:rFonts w:ascii="Arial" w:cs="Arial" w:eastAsia="Arial" w:hAnsi="Arial"/>
          <w:sz w:val="18"/>
          <w:szCs w:val="18"/>
          <w:i w:val="1"/>
          <w:iCs w:val="1"/>
          <w:color w:val="auto"/>
        </w:rPr>
        <w:t>This summary provides an overview of selected information. Because this is only a summary, it may not contain all of the information that may be important to you in understanding the Exchange Offers. You should carefully read this entire prospectus, including the section entitled “Risk Factors”, as well as the information incorporated by reference in this prospectus. See the sections of this prospectus entitled “Where You Can Find More Information” and “Incorporation of Certain Information by Reference”.</w:t>
      </w:r>
    </w:p>
    <w:p>
      <w:pPr>
        <w:spacing w:after="0" w:line="183" w:lineRule="exact"/>
        <w:rPr>
          <w:sz w:val="20"/>
          <w:szCs w:val="20"/>
          <w:color w:val="auto"/>
        </w:rPr>
      </w:pPr>
    </w:p>
    <w:p>
      <w:pPr>
        <w:jc w:val="center"/>
        <w:ind w:right="-41"/>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2" w:right="200" w:firstLine="324"/>
        <w:spacing w:after="0" w:line="264" w:lineRule="auto"/>
        <w:rPr>
          <w:sz w:val="20"/>
          <w:szCs w:val="20"/>
          <w:color w:val="auto"/>
        </w:rPr>
      </w:pPr>
      <w:r>
        <w:rPr>
          <w:rFonts w:ascii="Arial" w:cs="Arial" w:eastAsia="Arial" w:hAnsi="Arial"/>
          <w:sz w:val="18"/>
          <w:szCs w:val="18"/>
          <w:color w:val="auto"/>
        </w:rPr>
        <w:t>We are a global media and technology company with two primary businesses, Comcast Cable Communications and NBCUniversal. We present our operations for Comcast Cable Communications in one reportable business segment, referred to as Cable Communications, and our operations for NBCUniversal in four reportable business segments.</w:t>
      </w:r>
    </w:p>
    <w:p>
      <w:pPr>
        <w:spacing w:after="0" w:line="177" w:lineRule="exact"/>
        <w:rPr>
          <w:sz w:val="20"/>
          <w:szCs w:val="20"/>
          <w:color w:val="auto"/>
        </w:rPr>
      </w:pPr>
    </w:p>
    <w:p>
      <w:pPr>
        <w:ind w:left="642" w:right="120" w:hanging="318"/>
        <w:spacing w:after="0" w:line="266" w:lineRule="auto"/>
        <w:tabs>
          <w:tab w:leader="none" w:pos="642"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Communications, which is one of the nation’s largest providers of video,</w:t>
      </w:r>
      <w:r>
        <w:rPr>
          <w:rFonts w:ascii="Arial" w:cs="Arial" w:eastAsia="Arial" w:hAnsi="Arial"/>
          <w:sz w:val="18"/>
          <w:szCs w:val="18"/>
          <w:b w:val="1"/>
          <w:bCs w:val="1"/>
          <w:color w:val="auto"/>
        </w:rPr>
        <w:t xml:space="preserve"> </w:t>
      </w:r>
      <w:r>
        <w:rPr>
          <w:rFonts w:ascii="Arial" w:cs="Arial" w:eastAsia="Arial" w:hAnsi="Arial"/>
          <w:sz w:val="18"/>
          <w:szCs w:val="18"/>
          <w:color w:val="auto"/>
        </w:rPr>
        <w:t>high-speed Internet, voice, and security and automation services to residential customers under the XFINITY brand; and we also provide these and other services to business customers and sell advertising.</w:t>
      </w:r>
    </w:p>
    <w:p>
      <w:pPr>
        <w:spacing w:after="0" w:line="176" w:lineRule="exact"/>
        <w:rPr>
          <w:rFonts w:ascii="Arial" w:cs="Arial" w:eastAsia="Arial" w:hAnsi="Arial"/>
          <w:sz w:val="18"/>
          <w:szCs w:val="18"/>
          <w:color w:val="auto"/>
        </w:rPr>
      </w:pPr>
    </w:p>
    <w:p>
      <w:pPr>
        <w:ind w:left="642" w:right="20" w:hanging="318"/>
        <w:spacing w:after="0" w:line="282" w:lineRule="auto"/>
        <w:tabs>
          <w:tab w:leader="none" w:pos="642"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 and</w:t>
      </w:r>
      <w:r>
        <w:rPr>
          <w:rFonts w:ascii="Arial" w:cs="Arial" w:eastAsia="Arial" w:hAnsi="Arial"/>
          <w:sz w:val="18"/>
          <w:szCs w:val="18"/>
          <w:b w:val="1"/>
          <w:bCs w:val="1"/>
          <w:color w:val="auto"/>
        </w:rPr>
        <w:t xml:space="preserve"> </w:t>
      </w:r>
      <w:r>
        <w:rPr>
          <w:rFonts w:ascii="Arial" w:cs="Arial" w:eastAsia="Arial" w:hAnsi="Arial"/>
          <w:sz w:val="18"/>
          <w:szCs w:val="18"/>
          <w:color w:val="auto"/>
        </w:rPr>
        <w:t>our cable television studio production operations.</w:t>
      </w:r>
    </w:p>
    <w:p>
      <w:pPr>
        <w:spacing w:after="0" w:line="161" w:lineRule="exact"/>
        <w:rPr>
          <w:rFonts w:ascii="Arial" w:cs="Arial" w:eastAsia="Arial" w:hAnsi="Arial"/>
          <w:sz w:val="18"/>
          <w:szCs w:val="18"/>
          <w:color w:val="auto"/>
        </w:rPr>
      </w:pPr>
    </w:p>
    <w:p>
      <w:pPr>
        <w:ind w:left="642" w:right="460" w:hanging="318"/>
        <w:spacing w:after="0" w:line="313" w:lineRule="auto"/>
        <w:tabs>
          <w:tab w:leader="none" w:pos="642"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Broadcast Television: </w:t>
      </w:r>
      <w:r>
        <w:rPr>
          <w:rFonts w:ascii="Arial" w:cs="Arial" w:eastAsia="Arial" w:hAnsi="Arial"/>
          <w:sz w:val="17"/>
          <w:szCs w:val="17"/>
          <w:color w:val="auto"/>
        </w:rPr>
        <w:t>Consists primarily of the NBC and Telemundo broadcast networks, our NBC and Telemundo owned local broadcast</w:t>
      </w:r>
      <w:r>
        <w:rPr>
          <w:rFonts w:ascii="Arial" w:cs="Arial" w:eastAsia="Arial" w:hAnsi="Arial"/>
          <w:sz w:val="17"/>
          <w:szCs w:val="17"/>
          <w:b w:val="1"/>
          <w:bCs w:val="1"/>
          <w:color w:val="auto"/>
        </w:rPr>
        <w:t xml:space="preserve"> </w:t>
      </w:r>
      <w:r>
        <w:rPr>
          <w:rFonts w:ascii="Arial" w:cs="Arial" w:eastAsia="Arial" w:hAnsi="Arial"/>
          <w:sz w:val="17"/>
          <w:szCs w:val="17"/>
          <w:color w:val="auto"/>
        </w:rPr>
        <w:t>television stations, the NBCUniverso national cable network and our broadcast television studio production operations.</w:t>
      </w:r>
    </w:p>
    <w:p>
      <w:pPr>
        <w:spacing w:after="0" w:line="138" w:lineRule="exact"/>
        <w:rPr>
          <w:rFonts w:ascii="Arial" w:cs="Arial" w:eastAsia="Arial" w:hAnsi="Arial"/>
          <w:sz w:val="17"/>
          <w:szCs w:val="17"/>
          <w:color w:val="auto"/>
        </w:rPr>
      </w:pPr>
    </w:p>
    <w:p>
      <w:pPr>
        <w:ind w:left="642" w:right="340" w:hanging="318"/>
        <w:spacing w:after="0" w:line="347" w:lineRule="auto"/>
        <w:tabs>
          <w:tab w:leader="none" w:pos="642"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 distributes filmed</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worldwide; our films are also produced under the Illumination, Focus Features and DreamWorks Animation names.</w:t>
      </w:r>
    </w:p>
    <w:p>
      <w:pPr>
        <w:spacing w:after="0" w:line="116" w:lineRule="exact"/>
        <w:rPr>
          <w:rFonts w:ascii="Arial" w:cs="Arial" w:eastAsia="Arial" w:hAnsi="Arial"/>
          <w:sz w:val="16"/>
          <w:szCs w:val="16"/>
          <w:color w:val="auto"/>
        </w:rPr>
      </w:pPr>
    </w:p>
    <w:p>
      <w:pPr>
        <w:ind w:left="642" w:hanging="318"/>
        <w:spacing w:after="0"/>
        <w:tabs>
          <w:tab w:leader="none" w:pos="642"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229" w:lineRule="exact"/>
        <w:rPr>
          <w:sz w:val="20"/>
          <w:szCs w:val="20"/>
          <w:color w:val="auto"/>
        </w:rPr>
      </w:pPr>
    </w:p>
    <w:p>
      <w:pPr>
        <w:ind w:left="2" w:right="600" w:firstLine="324"/>
        <w:spacing w:after="0" w:line="277" w:lineRule="auto"/>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 and are collectively referred to as the “NBCUniversal segments.”</w:t>
      </w:r>
    </w:p>
    <w:p>
      <w:pPr>
        <w:spacing w:after="0" w:line="170" w:lineRule="exact"/>
        <w:rPr>
          <w:sz w:val="20"/>
          <w:szCs w:val="20"/>
          <w:color w:val="auto"/>
        </w:rPr>
      </w:pPr>
    </w:p>
    <w:p>
      <w:pPr>
        <w:ind w:left="2" w:right="660" w:firstLine="324"/>
        <w:spacing w:after="0" w:line="277" w:lineRule="auto"/>
        <w:rPr>
          <w:sz w:val="20"/>
          <w:szCs w:val="20"/>
          <w:color w:val="auto"/>
        </w:rPr>
      </w:pPr>
      <w:r>
        <w:rPr>
          <w:rFonts w:ascii="Arial" w:cs="Arial" w:eastAsia="Arial" w:hAnsi="Arial"/>
          <w:sz w:val="18"/>
          <w:szCs w:val="18"/>
          <w:color w:val="auto"/>
        </w:rPr>
        <w:t>Our other business interests consist primarily of Comcast Spectacor, which owns the Philadelphia Flyers and the Wells Fargo Center arena in Philadelphia, Pennsylvania and operates arena management-related businesses.</w:t>
      </w:r>
    </w:p>
    <w:p>
      <w:pPr>
        <w:spacing w:after="0" w:line="170" w:lineRule="exact"/>
        <w:rPr>
          <w:sz w:val="20"/>
          <w:szCs w:val="20"/>
          <w:color w:val="auto"/>
        </w:rPr>
      </w:pPr>
    </w:p>
    <w:p>
      <w:pPr>
        <w:ind w:left="2" w:right="60" w:firstLine="324"/>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 in this prospectus.</w:t>
      </w:r>
    </w:p>
    <w:p>
      <w:pPr>
        <w:spacing w:after="0" w:line="181" w:lineRule="exact"/>
        <w:rPr>
          <w:sz w:val="20"/>
          <w:szCs w:val="20"/>
          <w:color w:val="auto"/>
        </w:rPr>
      </w:pPr>
    </w:p>
    <w:p>
      <w:pPr>
        <w:ind w:left="322"/>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2" w:right="280" w:hanging="2"/>
        <w:spacing w:after="0" w:line="261" w:lineRule="auto"/>
        <w:tabs>
          <w:tab w:leader="none" w:pos="437" w:val="left"/>
        </w:tabs>
        <w:numPr>
          <w:ilvl w:val="0"/>
          <w:numId w:val="3"/>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Guarantors</w:t>
      </w:r>
    </w:p>
    <w:p>
      <w:pPr>
        <w:spacing w:after="0" w:line="229" w:lineRule="exact"/>
        <w:rPr>
          <w:sz w:val="20"/>
          <w:szCs w:val="20"/>
          <w:color w:val="auto"/>
        </w:rPr>
      </w:pPr>
    </w:p>
    <w:p>
      <w:pPr>
        <w:ind w:left="2" w:firstLine="324"/>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on the Exchange Notes will be fully and unconditionally guaranteed by each of Comcast Cable Communications and NBCUniversal. In this prospectus, we refer to these guarantors as the guarantors and to these guarantees as the guarantees.</w:t>
      </w:r>
    </w:p>
    <w:p>
      <w:pPr>
        <w:spacing w:after="0" w:line="181" w:lineRule="exact"/>
        <w:rPr>
          <w:sz w:val="20"/>
          <w:szCs w:val="20"/>
          <w:color w:val="auto"/>
        </w:rPr>
      </w:pPr>
    </w:p>
    <w:p>
      <w:pPr>
        <w:ind w:left="322"/>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200" w:lineRule="exact"/>
        <w:rPr>
          <w:sz w:val="20"/>
          <w:szCs w:val="20"/>
          <w:color w:val="auto"/>
        </w:rPr>
      </w:pPr>
    </w:p>
    <w:p>
      <w:pPr>
        <w:spacing w:after="0" w:line="322" w:lineRule="exact"/>
        <w:rPr>
          <w:sz w:val="20"/>
          <w:szCs w:val="20"/>
          <w:color w:val="auto"/>
        </w:rPr>
      </w:pPr>
    </w:p>
    <w:p>
      <w:pPr>
        <w:jc w:val="center"/>
        <w:ind w:right="-6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2"/>
          </w:cols>
          <w:pgMar w:left="338" w:top="999" w:right="419" w:bottom="1440" w:gutter="0" w:footer="0" w:header="0"/>
        </w:sectPr>
      </w:pPr>
    </w:p>
    <w:bookmarkStart w:id="6" w:name="page7"/>
    <w:bookmarkEnd w:id="6"/>
    <w:p>
      <w:pPr>
        <w:ind w:left="980" w:hanging="33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16140" cy="13506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6140" cy="1350645"/>
                    </a:xfrm>
                    <a:prstGeom prst="rect">
                      <a:avLst/>
                    </a:prstGeom>
                    <a:noFill/>
                  </pic:spPr>
                </pic:pic>
              </a:graphicData>
            </a:graphic>
          </wp:anchor>
        </w:drawing>
        <w:t>pay dividends or distributions on, or redeem, purchase, acquire, or make a liquidation payment with respect to, any of that guarantor’s capital stock; or</w:t>
      </w:r>
    </w:p>
    <w:p>
      <w:pPr>
        <w:spacing w:after="0" w:line="170" w:lineRule="exact"/>
        <w:rPr>
          <w:rFonts w:ascii="Arial" w:cs="Arial" w:eastAsia="Arial" w:hAnsi="Arial"/>
          <w:sz w:val="18"/>
          <w:szCs w:val="18"/>
          <w:color w:val="auto"/>
        </w:rPr>
      </w:pPr>
    </w:p>
    <w:p>
      <w:pPr>
        <w:ind w:left="980" w:hanging="33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guarantor.</w:t>
      </w:r>
    </w:p>
    <w:p>
      <w:pPr>
        <w:spacing w:after="0" w:line="23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Comcast Cable Communications’s principal place of business is One Comcast Center, Philadelphia, Pennsylvania 19103-2838. NBCUniversal’s principal executive offices are located at 30 Rockefeller Plaza, New York, New York 10112-0015.</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340" w:top="1003" w:right="41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16140" cy="7954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6140" cy="7954010"/>
                    </a:xfrm>
                    <a:prstGeom prst="rect">
                      <a:avLst/>
                    </a:prstGeom>
                    <a:noFill/>
                  </pic:spPr>
                </pic:pic>
              </a:graphicData>
            </a:graphic>
          </wp:anchor>
        </w:drawing>
        <w:t>The Exchange Offers</w:t>
      </w:r>
    </w:p>
    <w:p>
      <w:pPr>
        <w:sectPr>
          <w:pgSz w:w="11900" w:h="16838" w:orient="portrait"/>
          <w:cols w:equalWidth="0" w:num="1">
            <w:col w:w="11000"/>
          </w:cols>
          <w:pgMar w:left="340" w:top="999" w:right="559" w:bottom="1440" w:gutter="0" w:footer="0" w:header="0"/>
        </w:sect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Offeror</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w:t>
      </w:r>
    </w:p>
    <w:p>
      <w:pPr>
        <w:spacing w:after="0" w:line="211" w:lineRule="exact"/>
        <w:rPr>
          <w:sz w:val="20"/>
          <w:szCs w:val="20"/>
          <w:color w:val="auto"/>
        </w:rPr>
      </w:pPr>
    </w:p>
    <w:p>
      <w:pPr>
        <w:sectPr>
          <w:pgSz w:w="11900" w:h="16838" w:orient="portrait"/>
          <w:cols w:equalWidth="0" w:num="2">
            <w:col w:w="3520" w:space="720"/>
            <w:col w:w="6760"/>
          </w:cols>
          <w:pgMar w:left="340" w:top="999" w:right="5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Exchange Offers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offering to exchange our 2047 Exchange Notes which have been registered under the Securities Act for a like principal amount of our outstanding unregistered 2047 Original Notes, our 2049 Exchange Notes which have been registered under the Securities Act for a like principal amount of our outstanding unregistered 2049 Original Notes, and our 2052 Exchange Notes which have been registered under the Securities Act for a like principal amount of our outstanding unregistered 2052 Original Notes. Original Notes may only be tendered in an amount equal to $2,000 in principal amount and in integral multiples of $1,000 thereafter. See “The Exchange Offers” for more information on the terms of the Exchange Offers.</w:t>
      </w:r>
    </w:p>
    <w:p>
      <w:pPr>
        <w:spacing w:after="0" w:line="197" w:lineRule="exact"/>
        <w:rPr>
          <w:sz w:val="20"/>
          <w:szCs w:val="20"/>
          <w:color w:val="auto"/>
        </w:rPr>
      </w:pPr>
    </w:p>
    <w:p>
      <w:pPr>
        <w:sectPr>
          <w:pgSz w:w="11900" w:h="16838" w:orient="portrait"/>
          <w:cols w:equalWidth="0" w:num="2">
            <w:col w:w="3520" w:space="720"/>
            <w:col w:w="6760"/>
          </w:cols>
          <w:pgMar w:left="340" w:top="999" w:right="559" w:bottom="1440" w:gutter="0" w:footer="0" w:header="0"/>
          <w:type w:val="continuous"/>
        </w:sectPr>
      </w:pPr>
    </w:p>
    <w:p>
      <w:pPr>
        <w:spacing w:after="0"/>
        <w:rPr>
          <w:sz w:val="20"/>
          <w:szCs w:val="20"/>
          <w:color w:val="auto"/>
        </w:rPr>
      </w:pPr>
      <w:r>
        <w:rPr>
          <w:rFonts w:ascii="Arial" w:cs="Arial" w:eastAsia="Arial" w:hAnsi="Arial"/>
          <w:sz w:val="16"/>
          <w:szCs w:val="16"/>
          <w:color w:val="auto"/>
        </w:rPr>
        <w:t>Resale of Exchange Notes</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We have not entered into any arrangement or understanding with any person to distribute the Exchange Notes to be received in the Exchange Offers and, to the best of our information and belief, each person that will participate in the Exchange Offers will acquire the Exchange Notes in its ordinary course of business and has no arrangement or understanding with any person to participate in the distribution of the Exchange Notes to be received in the Exchange Offer.</w:t>
      </w:r>
    </w:p>
    <w:p>
      <w:pPr>
        <w:spacing w:after="0" w:line="193" w:lineRule="exact"/>
        <w:rPr>
          <w:sz w:val="20"/>
          <w:szCs w:val="20"/>
          <w:color w:val="auto"/>
        </w:rPr>
      </w:pPr>
    </w:p>
    <w:p>
      <w:pPr>
        <w:sectPr>
          <w:pgSz w:w="11900" w:h="16838" w:orient="portrait"/>
          <w:cols w:equalWidth="0" w:num="2">
            <w:col w:w="3520" w:space="720"/>
            <w:col w:w="6760"/>
          </w:cols>
          <w:pgMar w:left="340" w:top="999" w:right="559" w:bottom="1440" w:gutter="0" w:footer="0" w:header="0"/>
          <w:type w:val="continuous"/>
        </w:sectPr>
      </w:pPr>
    </w:p>
    <w:p>
      <w:pPr>
        <w:ind w:left="4240" w:right="80"/>
        <w:spacing w:after="0" w:line="293" w:lineRule="auto"/>
        <w:rPr>
          <w:sz w:val="20"/>
          <w:szCs w:val="20"/>
          <w:color w:val="auto"/>
        </w:rPr>
      </w:pPr>
      <w:r>
        <w:rPr>
          <w:rFonts w:ascii="Arial" w:cs="Arial" w:eastAsia="Arial" w:hAnsi="Arial"/>
          <w:sz w:val="16"/>
          <w:szCs w:val="16"/>
          <w:color w:val="auto"/>
        </w:rPr>
        <w:t>Based upon the position of the staff of the SEC as described in previous no-action letters and subject to the immediately following sentence, we believe that Exchange Notes issued pursuant to the Exchange Offers in exchange for Original Notes may be offered for resale, resold and otherwise transferred by you without compliance with the registration and prospectus delivery provisions of the Securities Act, provided that you will be deemed to acknowledge in writing at the time of the consummation of the Exchange Offers that:</w:t>
      </w:r>
    </w:p>
    <w:p>
      <w:pPr>
        <w:sectPr>
          <w:pgSz w:w="11900" w:h="16838" w:orient="portrait"/>
          <w:cols w:equalWidth="0" w:num="1">
            <w:col w:w="11000"/>
          </w:cols>
          <w:pgMar w:left="340" w:top="999" w:right="559" w:bottom="1440" w:gutter="0" w:footer="0" w:header="0"/>
          <w:type w:val="continuous"/>
        </w:sectPr>
      </w:pPr>
    </w:p>
    <w:p>
      <w:pPr>
        <w:spacing w:after="0" w:line="16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80" w:hanging="21"/>
        <w:spacing w:after="0" w:line="277" w:lineRule="auto"/>
        <w:rPr>
          <w:sz w:val="20"/>
          <w:szCs w:val="20"/>
          <w:color w:val="auto"/>
        </w:rPr>
      </w:pPr>
      <w:r>
        <w:rPr>
          <w:rFonts w:ascii="Arial" w:cs="Arial" w:eastAsia="Arial" w:hAnsi="Arial"/>
          <w:sz w:val="18"/>
          <w:szCs w:val="18"/>
          <w:color w:val="auto"/>
        </w:rPr>
        <w:t>you are not a broker-dealer tendering Original Notes that you acquired directly from us for your own account;</w:t>
      </w:r>
    </w:p>
    <w:p>
      <w:pPr>
        <w:spacing w:after="0" w:line="170" w:lineRule="exact"/>
        <w:rPr>
          <w:sz w:val="20"/>
          <w:szCs w:val="20"/>
          <w:color w:val="auto"/>
        </w:rPr>
      </w:pPr>
    </w:p>
    <w:p>
      <w:pPr>
        <w:sectPr>
          <w:pgSz w:w="11900" w:h="16838" w:orient="portrait"/>
          <w:cols w:equalWidth="0" w:num="2">
            <w:col w:w="4600" w:space="280"/>
            <w:col w:w="6120"/>
          </w:cols>
          <w:pgMar w:left="340" w:top="999" w:right="559" w:bottom="1440" w:gutter="0" w:footer="0" w:header="0"/>
          <w:type w:val="continuous"/>
        </w:sectPr>
      </w:pPr>
    </w:p>
    <w:p>
      <w:pPr>
        <w:ind w:left="4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are acquiring the Exchange Notes in the ordinary course of your business;</w:t>
      </w:r>
    </w:p>
    <w:p>
      <w:pPr>
        <w:spacing w:after="0" w:line="222" w:lineRule="exact"/>
        <w:rPr>
          <w:sz w:val="20"/>
          <w:szCs w:val="20"/>
          <w:color w:val="auto"/>
        </w:rPr>
      </w:pPr>
    </w:p>
    <w:p>
      <w:pPr>
        <w:sectPr>
          <w:pgSz w:w="11900" w:h="16838" w:orient="portrait"/>
          <w:cols w:equalWidth="0" w:num="2">
            <w:col w:w="4600" w:space="260"/>
            <w:col w:w="6140"/>
          </w:cols>
          <w:pgMar w:left="340" w:top="999" w:right="559" w:bottom="1440" w:gutter="0" w:footer="0" w:header="0"/>
          <w:type w:val="continuous"/>
        </w:sectPr>
      </w:pPr>
    </w:p>
    <w:p>
      <w:pPr>
        <w:spacing w:after="0" w:line="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hanging="21"/>
        <w:spacing w:after="0" w:line="264" w:lineRule="auto"/>
        <w:rPr>
          <w:sz w:val="20"/>
          <w:szCs w:val="20"/>
          <w:color w:val="auto"/>
        </w:rPr>
      </w:pPr>
      <w:r>
        <w:rPr>
          <w:rFonts w:ascii="Arial" w:cs="Arial" w:eastAsia="Arial" w:hAnsi="Arial"/>
          <w:sz w:val="18"/>
          <w:szCs w:val="18"/>
          <w:color w:val="auto"/>
        </w:rPr>
        <w:t>you have not participated in, do not intend to participate in, and have no arrangement or understanding with any person to participate in, a distribution of the Exchange Notes; and</w:t>
      </w:r>
    </w:p>
    <w:p>
      <w:pPr>
        <w:spacing w:after="0" w:line="181" w:lineRule="exact"/>
        <w:rPr>
          <w:sz w:val="20"/>
          <w:szCs w:val="20"/>
          <w:color w:val="auto"/>
        </w:rPr>
      </w:pPr>
    </w:p>
    <w:p>
      <w:pPr>
        <w:sectPr>
          <w:pgSz w:w="11900" w:h="16838" w:orient="portrait"/>
          <w:cols w:equalWidth="0" w:num="2">
            <w:col w:w="4600" w:space="280"/>
            <w:col w:w="6120"/>
          </w:cols>
          <w:pgMar w:left="340" w:top="999" w:right="559" w:bottom="1440" w:gutter="0" w:footer="0" w:header="0"/>
          <w:type w:val="continuous"/>
        </w:sectPr>
      </w:pPr>
    </w:p>
    <w:p>
      <w:pPr>
        <w:ind w:left="4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are not our “affiliate” as defined under Rule 405 of the Securities Act.</w:t>
      </w:r>
    </w:p>
    <w:p>
      <w:pPr>
        <w:spacing w:after="0" w:line="222" w:lineRule="exact"/>
        <w:rPr>
          <w:sz w:val="20"/>
          <w:szCs w:val="20"/>
          <w:color w:val="auto"/>
        </w:rPr>
      </w:pPr>
    </w:p>
    <w:p>
      <w:pPr>
        <w:sectPr>
          <w:pgSz w:w="11900" w:h="16838" w:orient="portrait"/>
          <w:cols w:equalWidth="0" w:num="2">
            <w:col w:w="4600" w:space="260"/>
            <w:col w:w="6140"/>
          </w:cols>
          <w:pgMar w:left="340" w:top="999" w:right="559" w:bottom="1440" w:gutter="0" w:footer="0" w:header="0"/>
          <w:type w:val="continuous"/>
        </w:sectPr>
      </w:pPr>
    </w:p>
    <w:p>
      <w:pPr>
        <w:spacing w:after="0" w:line="25" w:lineRule="exact"/>
        <w:rPr>
          <w:sz w:val="20"/>
          <w:szCs w:val="20"/>
          <w:color w:val="auto"/>
        </w:rPr>
      </w:pPr>
    </w:p>
    <w:p>
      <w:pPr>
        <w:ind w:left="4240" w:right="20"/>
        <w:spacing w:after="0" w:line="286" w:lineRule="auto"/>
        <w:rPr>
          <w:sz w:val="20"/>
          <w:szCs w:val="20"/>
          <w:color w:val="auto"/>
        </w:rPr>
      </w:pPr>
      <w:r>
        <w:rPr>
          <w:rFonts w:ascii="Arial" w:cs="Arial" w:eastAsia="Arial" w:hAnsi="Arial"/>
          <w:sz w:val="16"/>
          <w:szCs w:val="16"/>
          <w:color w:val="auto"/>
        </w:rPr>
        <w:t>However, any purchaser of Exchange Notes who is an affiliate of ours or who intends to participate in the Exchange Offers for the purpose of distributing the Exchange Notes (i) will not be able to rely on the interpretations of the SEC staff set forth in the above-mentioned no-action letters, (ii) will not be entitled to tender its Original Notes in the Exchange Offers and</w:t>
      </w:r>
    </w:p>
    <w:p>
      <w:pPr>
        <w:spacing w:after="0" w:line="2" w:lineRule="exact"/>
        <w:rPr>
          <w:sz w:val="20"/>
          <w:szCs w:val="20"/>
          <w:color w:val="auto"/>
        </w:rPr>
      </w:pPr>
    </w:p>
    <w:p>
      <w:pPr>
        <w:jc w:val="both"/>
        <w:ind w:left="4240" w:right="40" w:hanging="1"/>
        <w:spacing w:after="0" w:line="255" w:lineRule="auto"/>
        <w:tabs>
          <w:tab w:leader="none" w:pos="45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Exchange Notes unless such sale or transfer is made pursuant to an exemption from such requirements.</w:t>
      </w:r>
    </w:p>
    <w:p>
      <w:pPr>
        <w:spacing w:after="0" w:line="190" w:lineRule="exact"/>
        <w:rPr>
          <w:sz w:val="20"/>
          <w:szCs w:val="20"/>
          <w:color w:val="auto"/>
        </w:rPr>
      </w:pPr>
    </w:p>
    <w:p>
      <w:pPr>
        <w:ind w:left="4240" w:right="160"/>
        <w:spacing w:after="0" w:line="276" w:lineRule="auto"/>
        <w:rPr>
          <w:sz w:val="20"/>
          <w:szCs w:val="20"/>
          <w:color w:val="auto"/>
        </w:rPr>
      </w:pPr>
      <w:r>
        <w:rPr>
          <w:rFonts w:ascii="Arial" w:cs="Arial" w:eastAsia="Arial" w:hAnsi="Arial"/>
          <w:sz w:val="17"/>
          <w:szCs w:val="17"/>
          <w:color w:val="auto"/>
        </w:rPr>
        <w:t>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 See “Plan of Distribution”.</w:t>
      </w:r>
    </w:p>
    <w:p>
      <w:pPr>
        <w:spacing w:after="0" w:line="173"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Purpose of the Exchange Offers</w:t>
      </w:r>
      <w:r>
        <w:rPr>
          <w:sz w:val="20"/>
          <w:szCs w:val="20"/>
          <w:color w:val="auto"/>
        </w:rPr>
        <w:tab/>
      </w:r>
      <w:r>
        <w:rPr>
          <w:rFonts w:ascii="Arial" w:cs="Arial" w:eastAsia="Arial" w:hAnsi="Arial"/>
          <w:sz w:val="16"/>
          <w:szCs w:val="16"/>
          <w:color w:val="auto"/>
        </w:rPr>
        <w:t>The purpose of the Exchange Offers is to satisfy our obligations under 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340" w:top="999" w:right="559" w:bottom="1440" w:gutter="0" w:footer="0" w:header="0"/>
          <w:type w:val="continuous"/>
        </w:sectPr>
      </w:pPr>
    </w:p>
    <w:bookmarkStart w:id="8" w:name="page9"/>
    <w:bookmarkEnd w:id="8"/>
    <w:p>
      <w:pPr>
        <w:ind w:left="4340" w:right="10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16140" cy="7284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140" cy="7284720"/>
                    </a:xfrm>
                    <a:prstGeom prst="rect">
                      <a:avLst/>
                    </a:prstGeom>
                    <a:noFill/>
                  </pic:spPr>
                </pic:pic>
              </a:graphicData>
            </a:graphic>
          </wp:anchor>
        </w:drawing>
        <w:t>registration rights agreement, dated as of October 19, 2017 (the “Registration Rights Agreement”).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ind w:left="100"/>
              <w:spacing w:after="0"/>
              <w:rPr>
                <w:sz w:val="20"/>
                <w:szCs w:val="20"/>
                <w:color w:val="auto"/>
              </w:rPr>
            </w:pPr>
            <w:r>
              <w:rPr>
                <w:rFonts w:ascii="Arial" w:cs="Arial" w:eastAsia="Arial" w:hAnsi="Arial"/>
                <w:sz w:val="18"/>
                <w:szCs w:val="18"/>
                <w:color w:val="auto"/>
                <w:w w:val="94"/>
              </w:rPr>
              <w:t>Consequences If You Do Not Exchange Your Original</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4"/>
              </w:rPr>
              <w:t>Original Notes that are not tendered in the Exchange Offers or are not accepted for exchange</w:t>
            </w:r>
          </w:p>
        </w:tc>
        <w:tc>
          <w:tcPr>
            <w:tcW w:w="60" w:type="dxa"/>
            <w:vAlign w:val="bottom"/>
          </w:tcPr>
          <w:p>
            <w:pPr>
              <w:spacing w:after="0"/>
              <w:rPr>
                <w:sz w:val="18"/>
                <w:szCs w:val="18"/>
                <w:color w:val="auto"/>
              </w:rPr>
            </w:pPr>
          </w:p>
        </w:tc>
      </w:tr>
      <w:tr>
        <w:trPr>
          <w:trHeight w:val="216"/>
        </w:trPr>
        <w:tc>
          <w:tcPr>
            <w:tcW w:w="4180" w:type="dxa"/>
            <w:vAlign w:val="bottom"/>
          </w:tcPr>
          <w:p>
            <w:pPr>
              <w:ind w:left="320"/>
              <w:spacing w:after="0"/>
              <w:rPr>
                <w:sz w:val="20"/>
                <w:szCs w:val="20"/>
                <w:color w:val="auto"/>
              </w:rPr>
            </w:pPr>
            <w:r>
              <w:rPr>
                <w:rFonts w:ascii="Arial" w:cs="Arial" w:eastAsia="Arial" w:hAnsi="Arial"/>
                <w:sz w:val="18"/>
                <w:szCs w:val="18"/>
                <w:color w:val="auto"/>
              </w:rPr>
              <w:t>Notes</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will continue to bear legends restricting their transfer. You will not be able to offer or sell</w:t>
            </w:r>
          </w:p>
        </w:tc>
        <w:tc>
          <w:tcPr>
            <w:tcW w:w="6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such Original Notes unless:</w:t>
            </w:r>
          </w:p>
        </w:tc>
        <w:tc>
          <w:tcPr>
            <w:tcW w:w="60" w:type="dxa"/>
            <w:vAlign w:val="bottom"/>
          </w:tcPr>
          <w:p>
            <w:pPr>
              <w:spacing w:after="0"/>
              <w:rPr>
                <w:sz w:val="20"/>
                <w:szCs w:val="20"/>
                <w:color w:val="auto"/>
              </w:rPr>
            </w:pPr>
          </w:p>
        </w:tc>
      </w:tr>
      <w:tr>
        <w:trPr>
          <w:trHeight w:val="432"/>
        </w:trPr>
        <w:tc>
          <w:tcPr>
            <w:tcW w:w="4180" w:type="dxa"/>
            <w:vAlign w:val="bottom"/>
          </w:tcPr>
          <w:p>
            <w:pPr>
              <w:spacing w:after="0"/>
              <w:rPr>
                <w:sz w:val="24"/>
                <w:szCs w:val="24"/>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6540" w:type="dxa"/>
            <w:vAlign w:val="bottom"/>
          </w:tcPr>
          <w:p>
            <w:pPr>
              <w:ind w:left="140"/>
              <w:spacing w:after="0"/>
              <w:rPr>
                <w:sz w:val="20"/>
                <w:szCs w:val="20"/>
                <w:color w:val="auto"/>
              </w:rPr>
            </w:pPr>
            <w:r>
              <w:rPr>
                <w:rFonts w:ascii="Arial" w:cs="Arial" w:eastAsia="Arial" w:hAnsi="Arial"/>
                <w:sz w:val="18"/>
                <w:szCs w:val="18"/>
                <w:color w:val="auto"/>
                <w:w w:val="96"/>
              </w:rPr>
              <w:t>you are able to rely on an exemption from the requirements of the Securities Act; or</w:t>
            </w:r>
          </w:p>
        </w:tc>
        <w:tc>
          <w:tcPr>
            <w:tcW w:w="60" w:type="dxa"/>
            <w:vAlign w:val="bottom"/>
          </w:tcPr>
          <w:p>
            <w:pPr>
              <w:spacing w:after="0"/>
              <w:rPr>
                <w:sz w:val="24"/>
                <w:szCs w:val="24"/>
                <w:color w:val="auto"/>
              </w:rPr>
            </w:pPr>
          </w:p>
        </w:tc>
      </w:tr>
      <w:tr>
        <w:trPr>
          <w:trHeight w:val="432"/>
        </w:trPr>
        <w:tc>
          <w:tcPr>
            <w:tcW w:w="4180" w:type="dxa"/>
            <w:vAlign w:val="bottom"/>
          </w:tcPr>
          <w:p>
            <w:pPr>
              <w:spacing w:after="0"/>
              <w:rPr>
                <w:sz w:val="24"/>
                <w:szCs w:val="24"/>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6540" w:type="dxa"/>
            <w:vAlign w:val="bottom"/>
          </w:tcPr>
          <w:p>
            <w:pPr>
              <w:ind w:left="140"/>
              <w:spacing w:after="0"/>
              <w:rPr>
                <w:sz w:val="20"/>
                <w:szCs w:val="20"/>
                <w:color w:val="auto"/>
              </w:rPr>
            </w:pPr>
            <w:r>
              <w:rPr>
                <w:rFonts w:ascii="Arial" w:cs="Arial" w:eastAsia="Arial" w:hAnsi="Arial"/>
                <w:sz w:val="18"/>
                <w:szCs w:val="18"/>
                <w:color w:val="auto"/>
              </w:rPr>
              <w:t>the Original Notes are registered under the Securities Act.</w:t>
            </w:r>
          </w:p>
        </w:tc>
        <w:tc>
          <w:tcPr>
            <w:tcW w:w="60" w:type="dxa"/>
            <w:vAlign w:val="bottom"/>
          </w:tcPr>
          <w:p>
            <w:pPr>
              <w:spacing w:after="0"/>
              <w:rPr>
                <w:sz w:val="24"/>
                <w:szCs w:val="24"/>
                <w:color w:val="auto"/>
              </w:rPr>
            </w:pPr>
          </w:p>
        </w:tc>
      </w:tr>
      <w:tr>
        <w:trPr>
          <w:trHeight w:val="418"/>
        </w:trPr>
        <w:tc>
          <w:tcPr>
            <w:tcW w:w="4180" w:type="dxa"/>
            <w:vAlign w:val="bottom"/>
          </w:tcPr>
          <w:p>
            <w:pPr>
              <w:spacing w:after="0"/>
              <w:rPr>
                <w:sz w:val="24"/>
                <w:szCs w:val="24"/>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9"/>
              </w:rPr>
              <w:t>To the extent that Original Notes are tendered and accepted in the Exchange Offers, the</w:t>
            </w:r>
          </w:p>
        </w:tc>
        <w:tc>
          <w:tcPr>
            <w:tcW w:w="6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7"/>
              </w:rPr>
              <w:t>trading market for any remaining Original Notes may (and likely will) be adversely affected.</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7"/>
              </w:rPr>
              <w:t>See “Risk Factors — Risks Relating to Participation in the Exchange Offers — If you fail to</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5"/>
              </w:rPr>
              <w:t>exchange your Original Notes, they will continue to be restricted securities and may become</w:t>
            </w:r>
          </w:p>
        </w:tc>
        <w:tc>
          <w:tcPr>
            <w:tcW w:w="6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less liquid”.</w:t>
            </w:r>
          </w:p>
        </w:tc>
        <w:tc>
          <w:tcPr>
            <w:tcW w:w="60" w:type="dxa"/>
            <w:vAlign w:val="bottom"/>
          </w:tcPr>
          <w:p>
            <w:pPr>
              <w:spacing w:after="0"/>
              <w:rPr>
                <w:sz w:val="20"/>
                <w:szCs w:val="20"/>
                <w:color w:val="auto"/>
              </w:rPr>
            </w:pPr>
          </w:p>
        </w:tc>
      </w:tr>
      <w:tr>
        <w:trPr>
          <w:trHeight w:val="418"/>
        </w:trPr>
        <w:tc>
          <w:tcPr>
            <w:tcW w:w="4180" w:type="dxa"/>
            <w:vAlign w:val="bottom"/>
          </w:tcPr>
          <w:p>
            <w:pPr>
              <w:spacing w:after="0"/>
              <w:rPr>
                <w:sz w:val="24"/>
                <w:szCs w:val="24"/>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After the Exchange Offers are complete, you will not have any further rights under the</w:t>
            </w:r>
          </w:p>
        </w:tc>
        <w:tc>
          <w:tcPr>
            <w:tcW w:w="6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6"/>
              </w:rPr>
              <w:t>Registration Rights Agreement, including any right to require us to register any outstanding</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6"/>
              </w:rPr>
              <w:t>Original Notes that you do not exchange (except under limited circumstances) or to pay you</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the additional interest we agreed to pay to holders of Original Notes if we failed to timely</w:t>
            </w:r>
          </w:p>
        </w:tc>
        <w:tc>
          <w:tcPr>
            <w:tcW w:w="6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commence and complete the Exchange Offers.</w:t>
            </w:r>
          </w:p>
        </w:tc>
        <w:tc>
          <w:tcPr>
            <w:tcW w:w="60" w:type="dxa"/>
            <w:vAlign w:val="bottom"/>
          </w:tcPr>
          <w:p>
            <w:pPr>
              <w:spacing w:after="0"/>
              <w:rPr>
                <w:sz w:val="20"/>
                <w:szCs w:val="20"/>
                <w:color w:val="auto"/>
              </w:rPr>
            </w:pPr>
          </w:p>
        </w:tc>
      </w:tr>
      <w:tr>
        <w:trPr>
          <w:trHeight w:val="634"/>
        </w:trPr>
        <w:tc>
          <w:tcPr>
            <w:tcW w:w="4180" w:type="dxa"/>
            <w:vAlign w:val="bottom"/>
          </w:tcPr>
          <w:p>
            <w:pPr>
              <w:ind w:left="100"/>
              <w:spacing w:after="0"/>
              <w:rPr>
                <w:sz w:val="20"/>
                <w:szCs w:val="20"/>
                <w:color w:val="auto"/>
              </w:rPr>
            </w:pPr>
            <w:r>
              <w:rPr>
                <w:rFonts w:ascii="Arial" w:cs="Arial" w:eastAsia="Arial" w:hAnsi="Arial"/>
                <w:sz w:val="18"/>
                <w:szCs w:val="18"/>
                <w:color w:val="auto"/>
              </w:rPr>
              <w:t>Accrued and Unpaid Interest</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The Exchange Notes will bear interest from the date of original issuance of the Original</w:t>
            </w:r>
          </w:p>
        </w:tc>
        <w:tc>
          <w:tcPr>
            <w:tcW w:w="6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Notes (October 19, 2017) or from the most recent date on which interest on the Original</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7"/>
              </w:rPr>
              <w:t>Notes has been paid, whichever is later. If your Original Notes are accepted for exchange,</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4"/>
              </w:rPr>
              <w:t>you will receive interest on the corresponding Exchange Notes and not on the Original Notes.</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Any Original Notes not tendered will remain outstanding and continue to accrue interest</w:t>
            </w:r>
          </w:p>
        </w:tc>
        <w:tc>
          <w:tcPr>
            <w:tcW w:w="6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according to their terms.</w:t>
            </w:r>
          </w:p>
        </w:tc>
        <w:tc>
          <w:tcPr>
            <w:tcW w:w="60" w:type="dxa"/>
            <w:vAlign w:val="bottom"/>
          </w:tcPr>
          <w:p>
            <w:pPr>
              <w:spacing w:after="0"/>
              <w:rPr>
                <w:sz w:val="20"/>
                <w:szCs w:val="20"/>
                <w:color w:val="auto"/>
              </w:rPr>
            </w:pPr>
          </w:p>
        </w:tc>
      </w:tr>
      <w:tr>
        <w:trPr>
          <w:trHeight w:val="418"/>
        </w:trPr>
        <w:tc>
          <w:tcPr>
            <w:tcW w:w="4180" w:type="dxa"/>
            <w:vAlign w:val="bottom"/>
          </w:tcPr>
          <w:p>
            <w:pPr>
              <w:ind w:left="100"/>
              <w:spacing w:after="0"/>
              <w:rPr>
                <w:sz w:val="20"/>
                <w:szCs w:val="20"/>
                <w:color w:val="auto"/>
              </w:rPr>
            </w:pPr>
            <w:r>
              <w:rPr>
                <w:rFonts w:ascii="Arial" w:cs="Arial" w:eastAsia="Arial" w:hAnsi="Arial"/>
                <w:sz w:val="18"/>
                <w:szCs w:val="18"/>
                <w:color w:val="auto"/>
              </w:rPr>
              <w:t>Expiration Date</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The Expiration Date of the Exchange Offers will be 11:59 p.m., New York City time,</w:t>
            </w:r>
          </w:p>
        </w:tc>
        <w:tc>
          <w:tcPr>
            <w:tcW w:w="6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8"/>
              </w:rPr>
              <w:t>on December 14, 2017, unless extended or earlier terminated by us. The term “Expiration</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3"/>
              </w:rPr>
              <w:t>Date” means such date and time or, if we extend any Exchange Offer, the latest date and time</w:t>
            </w:r>
          </w:p>
        </w:tc>
        <w:tc>
          <w:tcPr>
            <w:tcW w:w="6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to which we extend such Exchange Offer.</w:t>
            </w:r>
          </w:p>
        </w:tc>
        <w:tc>
          <w:tcPr>
            <w:tcW w:w="60" w:type="dxa"/>
            <w:vAlign w:val="bottom"/>
          </w:tcPr>
          <w:p>
            <w:pPr>
              <w:spacing w:after="0"/>
              <w:rPr>
                <w:sz w:val="20"/>
                <w:szCs w:val="20"/>
                <w:color w:val="auto"/>
              </w:rPr>
            </w:pPr>
          </w:p>
        </w:tc>
      </w:tr>
      <w:tr>
        <w:trPr>
          <w:trHeight w:val="432"/>
        </w:trPr>
        <w:tc>
          <w:tcPr>
            <w:tcW w:w="4180" w:type="dxa"/>
            <w:vAlign w:val="bottom"/>
          </w:tcPr>
          <w:p>
            <w:pPr>
              <w:ind w:left="100"/>
              <w:spacing w:after="0"/>
              <w:rPr>
                <w:sz w:val="20"/>
                <w:szCs w:val="20"/>
                <w:color w:val="auto"/>
              </w:rPr>
            </w:pPr>
            <w:r>
              <w:rPr>
                <w:rFonts w:ascii="Arial" w:cs="Arial" w:eastAsia="Arial" w:hAnsi="Arial"/>
                <w:sz w:val="18"/>
                <w:szCs w:val="18"/>
                <w:color w:val="auto"/>
              </w:rPr>
              <w:t>Settlement Date</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The settlement of the Exchange Offers will occur promptly after the Expiration Date.</w:t>
            </w:r>
          </w:p>
        </w:tc>
        <w:tc>
          <w:tcPr>
            <w:tcW w:w="60" w:type="dxa"/>
            <w:vAlign w:val="bottom"/>
          </w:tcPr>
          <w:p>
            <w:pPr>
              <w:spacing w:after="0"/>
              <w:rPr>
                <w:sz w:val="24"/>
                <w:szCs w:val="24"/>
                <w:color w:val="auto"/>
              </w:rPr>
            </w:pPr>
          </w:p>
        </w:tc>
      </w:tr>
      <w:tr>
        <w:trPr>
          <w:trHeight w:val="418"/>
        </w:trPr>
        <w:tc>
          <w:tcPr>
            <w:tcW w:w="4180" w:type="dxa"/>
            <w:vAlign w:val="bottom"/>
          </w:tcPr>
          <w:p>
            <w:pPr>
              <w:ind w:left="100"/>
              <w:spacing w:after="0"/>
              <w:rPr>
                <w:sz w:val="20"/>
                <w:szCs w:val="20"/>
                <w:color w:val="auto"/>
              </w:rPr>
            </w:pPr>
            <w:r>
              <w:rPr>
                <w:rFonts w:ascii="Arial" w:cs="Arial" w:eastAsia="Arial" w:hAnsi="Arial"/>
                <w:sz w:val="18"/>
                <w:szCs w:val="18"/>
                <w:color w:val="auto"/>
              </w:rPr>
              <w:t>Conditions to the Exchange Offers</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5"/>
              </w:rPr>
              <w:t>Each of the Exchange Offers is subject to customary conditions described in “The Exchange</w:t>
            </w:r>
          </w:p>
        </w:tc>
        <w:tc>
          <w:tcPr>
            <w:tcW w:w="6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7"/>
              </w:rPr>
              <w:t>Offers — Conditions to the Exchange Offers”, including, among other things, the condition</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8"/>
              </w:rPr>
              <w:t>that no stop order has been issued for the registration statement of which this prospectus</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3"/>
              </w:rPr>
              <w:t>forms a part, or any proceedings for that purpose, and that there shall not have occurred or be</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reasonably likely to occur any material adverse change to our business, operations,</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6"/>
              </w:rPr>
              <w:t>properties, condition, assets, liabilities, prospects or financial affairs. None of the Exchange</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5"/>
              </w:rPr>
              <w:t>Offers is conditioned upon the other Exchange Offers, and we may terminate any Exchange</w:t>
            </w:r>
          </w:p>
        </w:tc>
        <w:tc>
          <w:tcPr>
            <w:tcW w:w="6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Offer without terminating the other Exchange Offers.</w:t>
            </w:r>
          </w:p>
        </w:tc>
        <w:tc>
          <w:tcPr>
            <w:tcW w:w="60" w:type="dxa"/>
            <w:vAlign w:val="bottom"/>
          </w:tcPr>
          <w:p>
            <w:pPr>
              <w:spacing w:after="0"/>
              <w:rPr>
                <w:sz w:val="20"/>
                <w:szCs w:val="20"/>
                <w:color w:val="auto"/>
              </w:rPr>
            </w:pPr>
          </w:p>
        </w:tc>
      </w:tr>
      <w:tr>
        <w:trPr>
          <w:trHeight w:val="418"/>
        </w:trPr>
        <w:tc>
          <w:tcPr>
            <w:tcW w:w="4180" w:type="dxa"/>
            <w:vAlign w:val="bottom"/>
          </w:tcPr>
          <w:p>
            <w:pPr>
              <w:ind w:left="100"/>
              <w:spacing w:after="0"/>
              <w:rPr>
                <w:sz w:val="20"/>
                <w:szCs w:val="20"/>
                <w:color w:val="auto"/>
              </w:rPr>
            </w:pPr>
            <w:r>
              <w:rPr>
                <w:rFonts w:ascii="Arial" w:cs="Arial" w:eastAsia="Arial" w:hAnsi="Arial"/>
                <w:sz w:val="18"/>
                <w:szCs w:val="18"/>
                <w:color w:val="auto"/>
              </w:rPr>
              <w:t>Extension; Waivers and Amendments</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7"/>
              </w:rPr>
              <w:t>Subject to applicable law, we reserve the right to (1) extend any Exchange Offer; (2) waive</w:t>
            </w:r>
          </w:p>
        </w:tc>
        <w:tc>
          <w:tcPr>
            <w:tcW w:w="60" w:type="dxa"/>
            <w:vAlign w:val="bottom"/>
          </w:tcPr>
          <w:p>
            <w:pPr>
              <w:spacing w:after="0"/>
              <w:rPr>
                <w:sz w:val="24"/>
                <w:szCs w:val="24"/>
                <w:color w:val="auto"/>
              </w:rPr>
            </w:pPr>
          </w:p>
        </w:tc>
      </w:tr>
      <w:tr>
        <w:trPr>
          <w:trHeight w:val="230"/>
        </w:trPr>
        <w:tc>
          <w:tcPr>
            <w:tcW w:w="4180" w:type="dxa"/>
            <w:vAlign w:val="bottom"/>
          </w:tcPr>
          <w:p>
            <w:pPr>
              <w:spacing w:after="0"/>
              <w:rPr>
                <w:sz w:val="20"/>
                <w:szCs w:val="20"/>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any and all conditions to or amend any</w:t>
            </w:r>
          </w:p>
        </w:tc>
        <w:tc>
          <w:tcPr>
            <w:tcW w:w="60" w:type="dxa"/>
            <w:vAlign w:val="bottom"/>
          </w:tcPr>
          <w:p>
            <w:pPr>
              <w:spacing w:after="0"/>
              <w:rPr>
                <w:sz w:val="20"/>
                <w:szCs w:val="20"/>
                <w:color w:val="auto"/>
              </w:rPr>
            </w:pPr>
          </w:p>
        </w:tc>
      </w:tr>
      <w:tr>
        <w:trPr>
          <w:trHeight w:val="415"/>
        </w:trPr>
        <w:tc>
          <w:tcPr>
            <w:tcW w:w="4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63"/>
        </w:trPr>
        <w:tc>
          <w:tcPr>
            <w:tcW w:w="4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jc w:val="right"/>
              <w:ind w:right="5530"/>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65" w:right="2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651"/>
        </w:trPr>
        <w:tc>
          <w:tcPr>
            <w:tcW w:w="3820" w:type="dxa"/>
            <w:vAlign w:val="bottom"/>
            <w:tcBorders>
              <w:top w:val="single" w:sz="8" w:color="auto"/>
              <w:left w:val="single" w:sz="8" w:color="auto"/>
            </w:tcBorders>
          </w:tcPr>
          <w:p>
            <w:pPr>
              <w:spacing w:after="0"/>
              <w:rPr>
                <w:sz w:val="24"/>
                <w:szCs w:val="24"/>
                <w:color w:val="auto"/>
              </w:rPr>
            </w:pPr>
          </w:p>
        </w:tc>
        <w:tc>
          <w:tcPr>
            <w:tcW w:w="75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96"/>
              </w:rPr>
              <w:t>Exchange Offer in any respect (except as to the condition that the registration statement of</w:t>
            </w:r>
          </w:p>
        </w:tc>
        <w:tc>
          <w:tcPr>
            <w:tcW w:w="6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which this prospectus forms a part not being subject to a stop order or any proceedings for</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that purpose, which condition we cannot waive); or (3) terminate any Exchange Offer. None</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of the Exchange Offers is conditioned upon the other Exchange Offers, and we may terminate</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or extend any Exchange Offer without terminating or extending the other Exchange Offers.</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Any extension, waiver, amendment or termination will be followed as promptly as</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practicable by a public announcement thereof, such announcement, in the case of an</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extension, to be issued no later than 9:00 a.m., New York City time, on the next business day</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after the last previously scheduled Expiration Date. See “The Exchange Offers — Expiration</w:t>
            </w:r>
          </w:p>
        </w:tc>
        <w:tc>
          <w:tcPr>
            <w:tcW w:w="6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Date; Extension; Termination; Amendment”.</w:t>
            </w:r>
          </w:p>
        </w:tc>
        <w:tc>
          <w:tcPr>
            <w:tcW w:w="6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Terms of Exchange Notes</w:t>
            </w: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9"/>
              </w:rPr>
              <w:t>The terms of the Exchange Notes are described in this prospectus under “Description of</w:t>
            </w:r>
          </w:p>
        </w:tc>
        <w:tc>
          <w:tcPr>
            <w:tcW w:w="60" w:type="dxa"/>
            <w:vAlign w:val="bottom"/>
          </w:tcPr>
          <w:p>
            <w:pPr>
              <w:spacing w:after="0"/>
              <w:rPr>
                <w:sz w:val="24"/>
                <w:szCs w:val="24"/>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Exchange Notes”.</w:t>
            </w:r>
          </w:p>
        </w:tc>
        <w:tc>
          <w:tcPr>
            <w:tcW w:w="6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Procedures for Tendering the Original Notes</w:t>
            </w: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You may tender your Original Notes by transferring them through The Depository Trust</w:t>
            </w:r>
          </w:p>
        </w:tc>
        <w:tc>
          <w:tcPr>
            <w:tcW w:w="6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Company’s (the “DTC”) Automated Tender Offer Program (“ATOP”) as described under</w:t>
            </w:r>
          </w:p>
        </w:tc>
        <w:tc>
          <w:tcPr>
            <w:tcW w:w="6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“The Exchange Offers — Procedures for Tendering Original Notes”.</w:t>
            </w:r>
          </w:p>
        </w:tc>
        <w:tc>
          <w:tcPr>
            <w:tcW w:w="6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spacing w:after="0"/>
              <w:rPr>
                <w:sz w:val="24"/>
                <w:szCs w:val="24"/>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For further information, call the Exchange Agent at the telephone numbers set forth under</w:t>
            </w:r>
          </w:p>
        </w:tc>
        <w:tc>
          <w:tcPr>
            <w:tcW w:w="6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8"/>
              </w:rPr>
              <w:t>“The Exchange Agent” or consult your broker, dealer, commercial bank, trust company or</w:t>
            </w:r>
          </w:p>
        </w:tc>
        <w:tc>
          <w:tcPr>
            <w:tcW w:w="6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other nominee for assistance.</w:t>
            </w:r>
          </w:p>
        </w:tc>
        <w:tc>
          <w:tcPr>
            <w:tcW w:w="6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spacing w:after="0"/>
              <w:rPr>
                <w:sz w:val="24"/>
                <w:szCs w:val="24"/>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If you are a beneficial owner of Original Notes that are held by or registered in the name of a</w:t>
            </w:r>
          </w:p>
        </w:tc>
        <w:tc>
          <w:tcPr>
            <w:tcW w:w="6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broker, dealer, commercial bank, trust company or other nominee or custodian and you wish</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to tender your Original Notes in order to participate in the Exchange Offers, you should</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contact your intermediary entity promptly and instruct it to tender the Original Notes on your</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behalf. You should keep in mind that your intermediary may require you to take action with</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respect to the Exchange Offers a number of days before the Expiration Date in order for such</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entity to tender Original Notes on your behalf at or prior to the Expiration Date in accordance</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with the terms of the Exchange Offers. See “The Exchange Offers — Procedures for</w:t>
            </w:r>
          </w:p>
        </w:tc>
        <w:tc>
          <w:tcPr>
            <w:tcW w:w="6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Tendering Original Notes”.</w:t>
            </w:r>
          </w:p>
        </w:tc>
        <w:tc>
          <w:tcPr>
            <w:tcW w:w="6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spacing w:after="0"/>
              <w:rPr>
                <w:sz w:val="24"/>
                <w:szCs w:val="24"/>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If you are a beneficial owner of Original Notes through Euroclear or Clearstream</w:t>
            </w:r>
          </w:p>
        </w:tc>
        <w:tc>
          <w:tcPr>
            <w:tcW w:w="6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Luxembourg (each as defined herein) and wish to tender your Original Notes, you must</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instruct Euroclear or Clearstream Luxembourg, as the case may be, to block the account in</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9"/>
              </w:rPr>
              <w:t>respect of the tendered Original Notes in accordance with the procedures established by</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Euroclear or Clearstream Luxembourg. You are encouraged to contact Euroclear or</w:t>
            </w:r>
          </w:p>
        </w:tc>
        <w:tc>
          <w:tcPr>
            <w:tcW w:w="6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Clearstream Luxembourg directly to ascertain their procedures for tendering Original Notes.</w:t>
            </w:r>
          </w:p>
        </w:tc>
        <w:tc>
          <w:tcPr>
            <w:tcW w:w="6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Withdrawal Rights; Non-Acceptance</w:t>
            </w: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You may withdraw your tender of Original Notes at any time prior to the Expiration Date. In</w:t>
            </w:r>
          </w:p>
        </w:tc>
        <w:tc>
          <w:tcPr>
            <w:tcW w:w="6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the event that tendered Original Notes are not withdrawn and not accepted by us for</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exchange, such Original Notes will be promptly returned to such holders or credited to such</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holders’ DTC account in the same manner as tendered to us, unless a holder has indicated</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other delivery instructions in the related computer-generated message. See “The Exchange</w:t>
            </w:r>
          </w:p>
        </w:tc>
        <w:tc>
          <w:tcPr>
            <w:tcW w:w="6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Offers — Withdrawal of Tenders” and</w:t>
            </w:r>
          </w:p>
        </w:tc>
        <w:tc>
          <w:tcPr>
            <w:tcW w:w="60" w:type="dxa"/>
            <w:vAlign w:val="bottom"/>
          </w:tcPr>
          <w:p>
            <w:pPr>
              <w:spacing w:after="0"/>
              <w:rPr>
                <w:sz w:val="20"/>
                <w:szCs w:val="20"/>
                <w:color w:val="auto"/>
              </w:rPr>
            </w:pPr>
          </w:p>
        </w:tc>
      </w:tr>
      <w:tr>
        <w:trPr>
          <w:trHeight w:val="415"/>
        </w:trPr>
        <w:tc>
          <w:tcPr>
            <w:tcW w:w="3820" w:type="dxa"/>
            <w:vAlign w:val="bottom"/>
            <w:tcBorders>
              <w:left w:val="single" w:sz="8" w:color="auto"/>
              <w:bottom w:val="single" w:sz="8" w:color="auto"/>
            </w:tcBorders>
          </w:tcPr>
          <w:p>
            <w:pPr>
              <w:spacing w:after="0"/>
              <w:rPr>
                <w:sz w:val="24"/>
                <w:szCs w:val="24"/>
                <w:color w:val="auto"/>
              </w:rPr>
            </w:pPr>
          </w:p>
        </w:tc>
        <w:tc>
          <w:tcPr>
            <w:tcW w:w="754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63"/>
        </w:trPr>
        <w:tc>
          <w:tcPr>
            <w:tcW w:w="382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10" w:right="2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665"/>
        </w:trPr>
        <w:tc>
          <w:tcPr>
            <w:tcW w:w="3960" w:type="dxa"/>
            <w:vAlign w:val="bottom"/>
            <w:tcBorders>
              <w:top w:val="single" w:sz="8" w:color="auto"/>
              <w:left w:val="single" w:sz="8" w:color="auto"/>
            </w:tcBorders>
          </w:tcPr>
          <w:p>
            <w:pPr>
              <w:spacing w:after="0"/>
              <w:rPr>
                <w:sz w:val="24"/>
                <w:szCs w:val="24"/>
                <w:color w:val="auto"/>
              </w:rPr>
            </w:pPr>
          </w:p>
        </w:tc>
        <w:tc>
          <w:tcPr>
            <w:tcW w:w="740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“The Exchange Offers — Terms of the Exchange Offers”.</w:t>
            </w:r>
          </w:p>
        </w:tc>
        <w:tc>
          <w:tcPr>
            <w:tcW w:w="60" w:type="dxa"/>
            <w:vAlign w:val="bottom"/>
          </w:tcPr>
          <w:p>
            <w:pPr>
              <w:spacing w:after="0"/>
              <w:rPr>
                <w:sz w:val="24"/>
                <w:szCs w:val="24"/>
                <w:color w:val="auto"/>
              </w:rPr>
            </w:pPr>
          </w:p>
        </w:tc>
      </w:tr>
      <w:tr>
        <w:trPr>
          <w:trHeight w:val="418"/>
        </w:trPr>
        <w:tc>
          <w:tcPr>
            <w:tcW w:w="39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Absence of Dissenters’ Rights of  Appraisal</w:t>
            </w: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3"/>
              </w:rPr>
              <w:t>You do not have dissenters’ rights of appraisal with respect to the Exchange Offers. See “The</w:t>
            </w:r>
          </w:p>
        </w:tc>
        <w:tc>
          <w:tcPr>
            <w:tcW w:w="60" w:type="dxa"/>
            <w:vAlign w:val="bottom"/>
          </w:tcPr>
          <w:p>
            <w:pPr>
              <w:spacing w:after="0"/>
              <w:rPr>
                <w:sz w:val="24"/>
                <w:szCs w:val="24"/>
                <w:color w:val="auto"/>
              </w:rPr>
            </w:pPr>
          </w:p>
        </w:tc>
      </w:tr>
      <w:tr>
        <w:trPr>
          <w:trHeight w:val="230"/>
        </w:trPr>
        <w:tc>
          <w:tcPr>
            <w:tcW w:w="396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Exchange Offers — Absence of Dissenters’ Rights of Appraisal”.</w:t>
            </w:r>
          </w:p>
        </w:tc>
        <w:tc>
          <w:tcPr>
            <w:tcW w:w="60" w:type="dxa"/>
            <w:vAlign w:val="bottom"/>
          </w:tcPr>
          <w:p>
            <w:pPr>
              <w:spacing w:after="0"/>
              <w:rPr>
                <w:sz w:val="20"/>
                <w:szCs w:val="20"/>
                <w:color w:val="auto"/>
              </w:rPr>
            </w:pPr>
          </w:p>
        </w:tc>
      </w:tr>
      <w:tr>
        <w:trPr>
          <w:trHeight w:val="418"/>
        </w:trPr>
        <w:tc>
          <w:tcPr>
            <w:tcW w:w="39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98"/>
              </w:rPr>
              <w:t>Certain U.S. Federal Income Tax Considerations</w:t>
            </w: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7"/>
              </w:rPr>
              <w:t>The exchange of notes pursuant to the Exchange Offers generally should not be a taxable</w:t>
            </w:r>
          </w:p>
        </w:tc>
        <w:tc>
          <w:tcPr>
            <w:tcW w:w="60" w:type="dxa"/>
            <w:vAlign w:val="bottom"/>
          </w:tcPr>
          <w:p>
            <w:pPr>
              <w:spacing w:after="0"/>
              <w:rPr>
                <w:sz w:val="24"/>
                <w:szCs w:val="24"/>
                <w:color w:val="auto"/>
              </w:rPr>
            </w:pPr>
          </w:p>
        </w:tc>
      </w:tr>
      <w:tr>
        <w:trPr>
          <w:trHeight w:val="216"/>
        </w:trPr>
        <w:tc>
          <w:tcPr>
            <w:tcW w:w="39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event for U.S. federal income tax purposes. See “Certain U.S. Federal Income Tax</w:t>
            </w:r>
          </w:p>
        </w:tc>
        <w:tc>
          <w:tcPr>
            <w:tcW w:w="60" w:type="dxa"/>
            <w:vAlign w:val="bottom"/>
          </w:tcPr>
          <w:p>
            <w:pPr>
              <w:spacing w:after="0"/>
              <w:rPr>
                <w:sz w:val="18"/>
                <w:szCs w:val="18"/>
                <w:color w:val="auto"/>
              </w:rPr>
            </w:pPr>
          </w:p>
        </w:tc>
      </w:tr>
      <w:tr>
        <w:trPr>
          <w:trHeight w:val="230"/>
        </w:trPr>
        <w:tc>
          <w:tcPr>
            <w:tcW w:w="396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Considerations”.</w:t>
            </w:r>
          </w:p>
        </w:tc>
        <w:tc>
          <w:tcPr>
            <w:tcW w:w="60" w:type="dxa"/>
            <w:vAlign w:val="bottom"/>
          </w:tcPr>
          <w:p>
            <w:pPr>
              <w:spacing w:after="0"/>
              <w:rPr>
                <w:sz w:val="20"/>
                <w:szCs w:val="20"/>
                <w:color w:val="auto"/>
              </w:rPr>
            </w:pPr>
          </w:p>
        </w:tc>
      </w:tr>
      <w:tr>
        <w:trPr>
          <w:trHeight w:val="418"/>
        </w:trPr>
        <w:tc>
          <w:tcPr>
            <w:tcW w:w="39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Accounting Treatment</w:t>
            </w: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7"/>
              </w:rPr>
              <w:t>The Exchange Notes will be recorded at the same carrying value as the Original Notes as</w:t>
            </w:r>
          </w:p>
        </w:tc>
        <w:tc>
          <w:tcPr>
            <w:tcW w:w="60" w:type="dxa"/>
            <w:vAlign w:val="bottom"/>
          </w:tcPr>
          <w:p>
            <w:pPr>
              <w:spacing w:after="0"/>
              <w:rPr>
                <w:sz w:val="24"/>
                <w:szCs w:val="24"/>
                <w:color w:val="auto"/>
              </w:rPr>
            </w:pPr>
          </w:p>
        </w:tc>
      </w:tr>
      <w:tr>
        <w:trPr>
          <w:trHeight w:val="216"/>
        </w:trPr>
        <w:tc>
          <w:tcPr>
            <w:tcW w:w="39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9"/>
              </w:rPr>
              <w:t>reflected in our accounting records on the date of the exchange. Accordingly, we will not</w:t>
            </w:r>
          </w:p>
        </w:tc>
        <w:tc>
          <w:tcPr>
            <w:tcW w:w="60" w:type="dxa"/>
            <w:vAlign w:val="bottom"/>
          </w:tcPr>
          <w:p>
            <w:pPr>
              <w:spacing w:after="0"/>
              <w:rPr>
                <w:sz w:val="18"/>
                <w:szCs w:val="18"/>
                <w:color w:val="auto"/>
              </w:rPr>
            </w:pPr>
          </w:p>
        </w:tc>
      </w:tr>
      <w:tr>
        <w:trPr>
          <w:trHeight w:val="216"/>
        </w:trPr>
        <w:tc>
          <w:tcPr>
            <w:tcW w:w="39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8"/>
              </w:rPr>
              <w:t>recognize any gain or loss for accounting purposes upon the completion of the Exchange</w:t>
            </w:r>
          </w:p>
        </w:tc>
        <w:tc>
          <w:tcPr>
            <w:tcW w:w="60" w:type="dxa"/>
            <w:vAlign w:val="bottom"/>
          </w:tcPr>
          <w:p>
            <w:pPr>
              <w:spacing w:after="0"/>
              <w:rPr>
                <w:sz w:val="18"/>
                <w:szCs w:val="18"/>
                <w:color w:val="auto"/>
              </w:rPr>
            </w:pPr>
          </w:p>
        </w:tc>
      </w:tr>
      <w:tr>
        <w:trPr>
          <w:trHeight w:val="216"/>
        </w:trPr>
        <w:tc>
          <w:tcPr>
            <w:tcW w:w="39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4"/>
              </w:rPr>
              <w:t>Offers. Payments made to other third parties will be expensed as incurred in accordance with</w:t>
            </w:r>
          </w:p>
        </w:tc>
        <w:tc>
          <w:tcPr>
            <w:tcW w:w="60" w:type="dxa"/>
            <w:vAlign w:val="bottom"/>
          </w:tcPr>
          <w:p>
            <w:pPr>
              <w:spacing w:after="0"/>
              <w:rPr>
                <w:sz w:val="18"/>
                <w:szCs w:val="18"/>
                <w:color w:val="auto"/>
              </w:rPr>
            </w:pPr>
          </w:p>
        </w:tc>
      </w:tr>
      <w:tr>
        <w:trPr>
          <w:trHeight w:val="216"/>
        </w:trPr>
        <w:tc>
          <w:tcPr>
            <w:tcW w:w="39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generally accepted accounting principles. See “The Exchange Offers — Accounting</w:t>
            </w:r>
          </w:p>
        </w:tc>
        <w:tc>
          <w:tcPr>
            <w:tcW w:w="60" w:type="dxa"/>
            <w:vAlign w:val="bottom"/>
          </w:tcPr>
          <w:p>
            <w:pPr>
              <w:spacing w:after="0"/>
              <w:rPr>
                <w:sz w:val="18"/>
                <w:szCs w:val="18"/>
                <w:color w:val="auto"/>
              </w:rPr>
            </w:pPr>
          </w:p>
        </w:tc>
      </w:tr>
      <w:tr>
        <w:trPr>
          <w:trHeight w:val="230"/>
        </w:trPr>
        <w:tc>
          <w:tcPr>
            <w:tcW w:w="396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Treatment”.</w:t>
            </w:r>
          </w:p>
        </w:tc>
        <w:tc>
          <w:tcPr>
            <w:tcW w:w="60" w:type="dxa"/>
            <w:vAlign w:val="bottom"/>
          </w:tcPr>
          <w:p>
            <w:pPr>
              <w:spacing w:after="0"/>
              <w:rPr>
                <w:sz w:val="20"/>
                <w:szCs w:val="20"/>
                <w:color w:val="auto"/>
              </w:rPr>
            </w:pPr>
          </w:p>
        </w:tc>
      </w:tr>
      <w:tr>
        <w:trPr>
          <w:trHeight w:val="418"/>
        </w:trPr>
        <w:tc>
          <w:tcPr>
            <w:tcW w:w="39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Exchange Agent</w:t>
            </w: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9"/>
              </w:rPr>
              <w:t>The Bank of New York Mellon is the Exchange Agent for the Exchange Offers. See “The</w:t>
            </w:r>
          </w:p>
        </w:tc>
        <w:tc>
          <w:tcPr>
            <w:tcW w:w="60" w:type="dxa"/>
            <w:vAlign w:val="bottom"/>
          </w:tcPr>
          <w:p>
            <w:pPr>
              <w:spacing w:after="0"/>
              <w:rPr>
                <w:sz w:val="24"/>
                <w:szCs w:val="24"/>
                <w:color w:val="auto"/>
              </w:rPr>
            </w:pPr>
          </w:p>
        </w:tc>
      </w:tr>
      <w:tr>
        <w:trPr>
          <w:trHeight w:val="230"/>
        </w:trPr>
        <w:tc>
          <w:tcPr>
            <w:tcW w:w="396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Exchange Agent” herein.</w:t>
            </w:r>
          </w:p>
        </w:tc>
        <w:tc>
          <w:tcPr>
            <w:tcW w:w="60" w:type="dxa"/>
            <w:vAlign w:val="bottom"/>
          </w:tcPr>
          <w:p>
            <w:pPr>
              <w:spacing w:after="0"/>
              <w:rPr>
                <w:sz w:val="20"/>
                <w:szCs w:val="20"/>
                <w:color w:val="auto"/>
              </w:rPr>
            </w:pPr>
          </w:p>
        </w:tc>
      </w:tr>
      <w:tr>
        <w:trPr>
          <w:trHeight w:val="432"/>
        </w:trPr>
        <w:tc>
          <w:tcPr>
            <w:tcW w:w="39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Further Information</w:t>
            </w: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See “The Exchange Offers” for more information concerning the Exchange Offers.</w:t>
            </w:r>
          </w:p>
        </w:tc>
        <w:tc>
          <w:tcPr>
            <w:tcW w:w="60" w:type="dxa"/>
            <w:vAlign w:val="bottom"/>
          </w:tcPr>
          <w:p>
            <w:pPr>
              <w:spacing w:after="0"/>
              <w:rPr>
                <w:sz w:val="24"/>
                <w:szCs w:val="24"/>
                <w:color w:val="auto"/>
              </w:rPr>
            </w:pPr>
          </w:p>
        </w:tc>
      </w:tr>
      <w:tr>
        <w:trPr>
          <w:trHeight w:val="415"/>
        </w:trPr>
        <w:tc>
          <w:tcPr>
            <w:tcW w:w="3960" w:type="dxa"/>
            <w:vAlign w:val="bottom"/>
            <w:tcBorders>
              <w:left w:val="single" w:sz="8" w:color="auto"/>
              <w:bottom w:val="single" w:sz="8" w:color="auto"/>
            </w:tcBorders>
          </w:tcPr>
          <w:p>
            <w:pPr>
              <w:spacing w:after="0"/>
              <w:rPr>
                <w:sz w:val="24"/>
                <w:szCs w:val="24"/>
                <w:color w:val="auto"/>
              </w:rPr>
            </w:pPr>
          </w:p>
        </w:tc>
        <w:tc>
          <w:tcPr>
            <w:tcW w:w="740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63"/>
        </w:trPr>
        <w:tc>
          <w:tcPr>
            <w:tcW w:w="396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10" w:right="239" w:bottom="1440" w:gutter="0" w:footer="0" w:header="0"/>
        </w:sectPr>
      </w:pPr>
    </w:p>
    <w:bookmarkStart w:id="11" w:name="page12"/>
    <w:bookmarkEnd w:id="11"/>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16140" cy="8776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140" cy="8776970"/>
                    </a:xfrm>
                    <a:prstGeom prst="rect">
                      <a:avLst/>
                    </a:prstGeom>
                    <a:noFill/>
                  </pic:spPr>
                </pic:pic>
              </a:graphicData>
            </a:graphic>
          </wp:anchor>
        </w:drawing>
        <w:t>The Exchange Notes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The following summary contains basic information about the Exchange Notes. It does not contain all of the information that may be important to you.</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For a more complete description of the terms of the Exchange Notes, see “Description of Exchange Notes”.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ind w:left="100"/>
              <w:spacing w:after="0"/>
              <w:rPr>
                <w:sz w:val="20"/>
                <w:szCs w:val="20"/>
                <w:color w:val="auto"/>
              </w:rPr>
            </w:pPr>
            <w:r>
              <w:rPr>
                <w:rFonts w:ascii="Arial" w:cs="Arial" w:eastAsia="Arial" w:hAnsi="Arial"/>
                <w:sz w:val="18"/>
                <w:szCs w:val="18"/>
                <w:color w:val="auto"/>
              </w:rPr>
              <w:t>Issuer</w:t>
            </w:r>
          </w:p>
        </w:tc>
        <w:tc>
          <w:tcPr>
            <w:tcW w:w="8360" w:type="dxa"/>
            <w:vAlign w:val="bottom"/>
          </w:tcPr>
          <w:p>
            <w:pPr>
              <w:ind w:left="1340"/>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0"/>
                <w:szCs w:val="20"/>
                <w:color w:val="auto"/>
              </w:rPr>
            </w:pPr>
          </w:p>
        </w:tc>
      </w:tr>
      <w:tr>
        <w:trPr>
          <w:trHeight w:val="418"/>
        </w:trPr>
        <w:tc>
          <w:tcPr>
            <w:tcW w:w="3000" w:type="dxa"/>
            <w:vAlign w:val="bottom"/>
          </w:tcPr>
          <w:p>
            <w:pPr>
              <w:ind w:left="100"/>
              <w:spacing w:after="0"/>
              <w:rPr>
                <w:sz w:val="20"/>
                <w:szCs w:val="20"/>
                <w:color w:val="auto"/>
              </w:rPr>
            </w:pPr>
            <w:r>
              <w:rPr>
                <w:rFonts w:ascii="Arial" w:cs="Arial" w:eastAsia="Arial" w:hAnsi="Arial"/>
                <w:sz w:val="18"/>
                <w:szCs w:val="18"/>
                <w:color w:val="auto"/>
              </w:rPr>
              <w:t>Exchange Notes</w:t>
            </w:r>
          </w:p>
        </w:tc>
        <w:tc>
          <w:tcPr>
            <w:tcW w:w="8360" w:type="dxa"/>
            <w:vAlign w:val="bottom"/>
          </w:tcPr>
          <w:p>
            <w:pPr>
              <w:ind w:left="1340"/>
              <w:spacing w:after="0"/>
              <w:rPr>
                <w:sz w:val="20"/>
                <w:szCs w:val="20"/>
                <w:color w:val="auto"/>
              </w:rPr>
            </w:pPr>
            <w:r>
              <w:rPr>
                <w:rFonts w:ascii="Arial" w:cs="Arial" w:eastAsia="Arial" w:hAnsi="Arial"/>
                <w:sz w:val="18"/>
                <w:szCs w:val="18"/>
                <w:color w:val="auto"/>
                <w:w w:val="96"/>
              </w:rPr>
              <w:t>The terms of each series of the Original Notes and the applicable series of Exchange Notes</w:t>
            </w:r>
          </w:p>
        </w:tc>
        <w:tc>
          <w:tcPr>
            <w:tcW w:w="6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are identical, except the Exchange Notes offered in the Exchange Offers:</w:t>
            </w:r>
          </w:p>
        </w:tc>
        <w:tc>
          <w:tcPr>
            <w:tcW w:w="6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8360" w:type="dxa"/>
            <w:vAlign w:val="bottom"/>
          </w:tcPr>
          <w:p>
            <w:pPr>
              <w:ind w:left="1640"/>
              <w:spacing w:after="0"/>
              <w:rPr>
                <w:sz w:val="20"/>
                <w:szCs w:val="20"/>
                <w:color w:val="auto"/>
              </w:rPr>
            </w:pPr>
            <w:r>
              <w:rPr>
                <w:rFonts w:ascii="Arial" w:cs="Arial" w:eastAsia="Arial" w:hAnsi="Arial"/>
                <w:sz w:val="18"/>
                <w:szCs w:val="18"/>
                <w:color w:val="auto"/>
              </w:rPr>
              <w:t>·   will have been registered under the Securities Act;</w:t>
            </w:r>
          </w:p>
        </w:tc>
        <w:tc>
          <w:tcPr>
            <w:tcW w:w="60" w:type="dxa"/>
            <w:vAlign w:val="bottom"/>
          </w:tcPr>
          <w:p>
            <w:pPr>
              <w:spacing w:after="0"/>
              <w:rPr>
                <w:sz w:val="24"/>
                <w:szCs w:val="24"/>
                <w:color w:val="auto"/>
              </w:rPr>
            </w:pPr>
          </w:p>
        </w:tc>
      </w:tr>
      <w:tr>
        <w:trPr>
          <w:trHeight w:val="418"/>
        </w:trPr>
        <w:tc>
          <w:tcPr>
            <w:tcW w:w="3000" w:type="dxa"/>
            <w:vAlign w:val="bottom"/>
          </w:tcPr>
          <w:p>
            <w:pPr>
              <w:spacing w:after="0"/>
              <w:rPr>
                <w:sz w:val="24"/>
                <w:szCs w:val="24"/>
                <w:color w:val="auto"/>
              </w:rPr>
            </w:pPr>
          </w:p>
        </w:tc>
        <w:tc>
          <w:tcPr>
            <w:tcW w:w="8360" w:type="dxa"/>
            <w:vAlign w:val="bottom"/>
          </w:tcPr>
          <w:p>
            <w:pPr>
              <w:ind w:left="1640"/>
              <w:spacing w:after="0"/>
              <w:rPr>
                <w:sz w:val="20"/>
                <w:szCs w:val="20"/>
                <w:color w:val="auto"/>
              </w:rPr>
            </w:pPr>
            <w:r>
              <w:rPr>
                <w:rFonts w:ascii="Arial" w:cs="Arial" w:eastAsia="Arial" w:hAnsi="Arial"/>
                <w:sz w:val="18"/>
                <w:szCs w:val="18"/>
                <w:color w:val="auto"/>
              </w:rPr>
              <w:t>·   will not have transfer restrictions and registration rights that relate to the Original</w:t>
            </w:r>
          </w:p>
        </w:tc>
        <w:tc>
          <w:tcPr>
            <w:tcW w:w="6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8360" w:type="dxa"/>
            <w:vAlign w:val="bottom"/>
          </w:tcPr>
          <w:p>
            <w:pPr>
              <w:ind w:left="1980"/>
              <w:spacing w:after="0"/>
              <w:rPr>
                <w:sz w:val="20"/>
                <w:szCs w:val="20"/>
                <w:color w:val="auto"/>
              </w:rPr>
            </w:pPr>
            <w:r>
              <w:rPr>
                <w:rFonts w:ascii="Arial" w:cs="Arial" w:eastAsia="Arial" w:hAnsi="Arial"/>
                <w:sz w:val="18"/>
                <w:szCs w:val="18"/>
                <w:color w:val="auto"/>
              </w:rPr>
              <w:t>Notes; and</w:t>
            </w:r>
          </w:p>
        </w:tc>
        <w:tc>
          <w:tcPr>
            <w:tcW w:w="60" w:type="dxa"/>
            <w:vAlign w:val="bottom"/>
          </w:tcPr>
          <w:p>
            <w:pPr>
              <w:spacing w:after="0"/>
              <w:rPr>
                <w:sz w:val="20"/>
                <w:szCs w:val="20"/>
                <w:color w:val="auto"/>
              </w:rPr>
            </w:pPr>
          </w:p>
        </w:tc>
      </w:tr>
      <w:tr>
        <w:trPr>
          <w:trHeight w:val="418"/>
        </w:trPr>
        <w:tc>
          <w:tcPr>
            <w:tcW w:w="3000" w:type="dxa"/>
            <w:vAlign w:val="bottom"/>
          </w:tcPr>
          <w:p>
            <w:pPr>
              <w:spacing w:after="0"/>
              <w:rPr>
                <w:sz w:val="24"/>
                <w:szCs w:val="24"/>
                <w:color w:val="auto"/>
              </w:rPr>
            </w:pPr>
          </w:p>
        </w:tc>
        <w:tc>
          <w:tcPr>
            <w:tcW w:w="8360" w:type="dxa"/>
            <w:vAlign w:val="bottom"/>
          </w:tcPr>
          <w:p>
            <w:pPr>
              <w:ind w:left="1640"/>
              <w:spacing w:after="0"/>
              <w:rPr>
                <w:sz w:val="20"/>
                <w:szCs w:val="20"/>
                <w:color w:val="auto"/>
              </w:rPr>
            </w:pPr>
            <w:r>
              <w:rPr>
                <w:rFonts w:ascii="Arial" w:cs="Arial" w:eastAsia="Arial" w:hAnsi="Arial"/>
                <w:sz w:val="18"/>
                <w:szCs w:val="18"/>
                <w:color w:val="auto"/>
              </w:rPr>
              <w:t>·   will not have rights relating to the payment of additional interest to holders of</w:t>
            </w:r>
          </w:p>
        </w:tc>
        <w:tc>
          <w:tcPr>
            <w:tcW w:w="6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8360" w:type="dxa"/>
            <w:vAlign w:val="bottom"/>
          </w:tcPr>
          <w:p>
            <w:pPr>
              <w:ind w:left="1980"/>
              <w:spacing w:after="0"/>
              <w:rPr>
                <w:sz w:val="20"/>
                <w:szCs w:val="20"/>
                <w:color w:val="auto"/>
              </w:rPr>
            </w:pPr>
            <w:r>
              <w:rPr>
                <w:rFonts w:ascii="Arial" w:cs="Arial" w:eastAsia="Arial" w:hAnsi="Arial"/>
                <w:sz w:val="18"/>
                <w:szCs w:val="18"/>
                <w:color w:val="auto"/>
                <w:w w:val="99"/>
              </w:rPr>
              <w:t>Original Notes if we fail to timely commence and complete the Exchange Offers.</w:t>
            </w:r>
          </w:p>
        </w:tc>
        <w:tc>
          <w:tcPr>
            <w:tcW w:w="60" w:type="dxa"/>
            <w:vAlign w:val="bottom"/>
          </w:tcPr>
          <w:p>
            <w:pPr>
              <w:spacing w:after="0"/>
              <w:rPr>
                <w:sz w:val="20"/>
                <w:szCs w:val="20"/>
                <w:color w:val="auto"/>
              </w:rPr>
            </w:pPr>
          </w:p>
        </w:tc>
      </w:tr>
      <w:tr>
        <w:trPr>
          <w:trHeight w:val="432"/>
        </w:trPr>
        <w:tc>
          <w:tcPr>
            <w:tcW w:w="3000" w:type="dxa"/>
            <w:vAlign w:val="bottom"/>
          </w:tcPr>
          <w:p>
            <w:pPr>
              <w:ind w:left="100"/>
              <w:spacing w:after="0"/>
              <w:rPr>
                <w:sz w:val="20"/>
                <w:szCs w:val="20"/>
                <w:color w:val="auto"/>
              </w:rPr>
            </w:pPr>
            <w:r>
              <w:rPr>
                <w:rFonts w:ascii="Arial" w:cs="Arial" w:eastAsia="Arial" w:hAnsi="Arial"/>
                <w:sz w:val="18"/>
                <w:szCs w:val="18"/>
                <w:color w:val="auto"/>
              </w:rPr>
              <w:t>Notes Offered</w:t>
            </w:r>
          </w:p>
        </w:tc>
        <w:tc>
          <w:tcPr>
            <w:tcW w:w="8360" w:type="dxa"/>
            <w:vAlign w:val="bottom"/>
          </w:tcPr>
          <w:p>
            <w:pPr>
              <w:ind w:left="1340"/>
              <w:spacing w:after="0"/>
              <w:rPr>
                <w:sz w:val="20"/>
                <w:szCs w:val="20"/>
                <w:color w:val="auto"/>
              </w:rPr>
            </w:pPr>
            <w:r>
              <w:rPr>
                <w:rFonts w:ascii="Arial" w:cs="Arial" w:eastAsia="Arial" w:hAnsi="Arial"/>
                <w:sz w:val="18"/>
                <w:szCs w:val="18"/>
                <w:color w:val="auto"/>
              </w:rPr>
              <w:t>3.969% Global Notes due 2047 (the “2047 Exchange Notes”),</w:t>
            </w:r>
          </w:p>
        </w:tc>
        <w:tc>
          <w:tcPr>
            <w:tcW w:w="60" w:type="dxa"/>
            <w:vAlign w:val="bottom"/>
          </w:tcPr>
          <w:p>
            <w:pPr>
              <w:spacing w:after="0"/>
              <w:rPr>
                <w:sz w:val="24"/>
                <w:szCs w:val="24"/>
                <w:color w:val="auto"/>
              </w:rPr>
            </w:pPr>
          </w:p>
        </w:tc>
      </w:tr>
      <w:tr>
        <w:trPr>
          <w:trHeight w:val="432"/>
        </w:trPr>
        <w:tc>
          <w:tcPr>
            <w:tcW w:w="3000" w:type="dxa"/>
            <w:vAlign w:val="bottom"/>
          </w:tcPr>
          <w:p>
            <w:pPr>
              <w:spacing w:after="0"/>
              <w:rPr>
                <w:sz w:val="24"/>
                <w:szCs w:val="24"/>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3.999% Global Notes due 2049 (the “2049 Exchange Notes”), and</w:t>
            </w:r>
          </w:p>
        </w:tc>
        <w:tc>
          <w:tcPr>
            <w:tcW w:w="60" w:type="dxa"/>
            <w:vAlign w:val="bottom"/>
          </w:tcPr>
          <w:p>
            <w:pPr>
              <w:spacing w:after="0"/>
              <w:rPr>
                <w:sz w:val="24"/>
                <w:szCs w:val="24"/>
                <w:color w:val="auto"/>
              </w:rPr>
            </w:pPr>
          </w:p>
        </w:tc>
      </w:tr>
      <w:tr>
        <w:trPr>
          <w:trHeight w:val="432"/>
        </w:trPr>
        <w:tc>
          <w:tcPr>
            <w:tcW w:w="3000" w:type="dxa"/>
            <w:vAlign w:val="bottom"/>
          </w:tcPr>
          <w:p>
            <w:pPr>
              <w:spacing w:after="0"/>
              <w:rPr>
                <w:sz w:val="24"/>
                <w:szCs w:val="24"/>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4.049% Global Notes due 2052 (the “2052 Exchange Notes”).</w:t>
            </w:r>
          </w:p>
        </w:tc>
        <w:tc>
          <w:tcPr>
            <w:tcW w:w="60" w:type="dxa"/>
            <w:vAlign w:val="bottom"/>
          </w:tcPr>
          <w:p>
            <w:pPr>
              <w:spacing w:after="0"/>
              <w:rPr>
                <w:sz w:val="24"/>
                <w:szCs w:val="24"/>
                <w:color w:val="auto"/>
              </w:rPr>
            </w:pPr>
          </w:p>
        </w:tc>
      </w:tr>
      <w:tr>
        <w:trPr>
          <w:trHeight w:val="432"/>
        </w:trPr>
        <w:tc>
          <w:tcPr>
            <w:tcW w:w="3000" w:type="dxa"/>
            <w:vAlign w:val="bottom"/>
          </w:tcPr>
          <w:p>
            <w:pPr>
              <w:ind w:left="100"/>
              <w:spacing w:after="0"/>
              <w:rPr>
                <w:sz w:val="20"/>
                <w:szCs w:val="20"/>
                <w:color w:val="auto"/>
              </w:rPr>
            </w:pPr>
            <w:r>
              <w:rPr>
                <w:rFonts w:ascii="Arial" w:cs="Arial" w:eastAsia="Arial" w:hAnsi="Arial"/>
                <w:sz w:val="18"/>
                <w:szCs w:val="18"/>
                <w:color w:val="auto"/>
              </w:rPr>
              <w:t>Maturity</w:t>
            </w:r>
          </w:p>
        </w:tc>
        <w:tc>
          <w:tcPr>
            <w:tcW w:w="8360" w:type="dxa"/>
            <w:vAlign w:val="bottom"/>
          </w:tcPr>
          <w:p>
            <w:pPr>
              <w:ind w:left="1340"/>
              <w:spacing w:after="0"/>
              <w:rPr>
                <w:sz w:val="20"/>
                <w:szCs w:val="20"/>
                <w:color w:val="auto"/>
              </w:rPr>
            </w:pPr>
            <w:r>
              <w:rPr>
                <w:rFonts w:ascii="Arial" w:cs="Arial" w:eastAsia="Arial" w:hAnsi="Arial"/>
                <w:sz w:val="18"/>
                <w:szCs w:val="18"/>
                <w:color w:val="auto"/>
              </w:rPr>
              <w:t>November 1, 2047 for the 2047 Exchange Notes.</w:t>
            </w:r>
          </w:p>
        </w:tc>
        <w:tc>
          <w:tcPr>
            <w:tcW w:w="60" w:type="dxa"/>
            <w:vAlign w:val="bottom"/>
          </w:tcPr>
          <w:p>
            <w:pPr>
              <w:spacing w:after="0"/>
              <w:rPr>
                <w:sz w:val="24"/>
                <w:szCs w:val="24"/>
                <w:color w:val="auto"/>
              </w:rPr>
            </w:pPr>
          </w:p>
        </w:tc>
      </w:tr>
      <w:tr>
        <w:trPr>
          <w:trHeight w:val="432"/>
        </w:trPr>
        <w:tc>
          <w:tcPr>
            <w:tcW w:w="3000" w:type="dxa"/>
            <w:vAlign w:val="bottom"/>
          </w:tcPr>
          <w:p>
            <w:pPr>
              <w:spacing w:after="0"/>
              <w:rPr>
                <w:sz w:val="24"/>
                <w:szCs w:val="24"/>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November 1, 2047 for the 2049 Exchange Notes.</w:t>
            </w:r>
          </w:p>
        </w:tc>
        <w:tc>
          <w:tcPr>
            <w:tcW w:w="60" w:type="dxa"/>
            <w:vAlign w:val="bottom"/>
          </w:tcPr>
          <w:p>
            <w:pPr>
              <w:spacing w:after="0"/>
              <w:rPr>
                <w:sz w:val="24"/>
                <w:szCs w:val="24"/>
                <w:color w:val="auto"/>
              </w:rPr>
            </w:pPr>
          </w:p>
        </w:tc>
      </w:tr>
      <w:tr>
        <w:trPr>
          <w:trHeight w:val="432"/>
        </w:trPr>
        <w:tc>
          <w:tcPr>
            <w:tcW w:w="3000" w:type="dxa"/>
            <w:vAlign w:val="bottom"/>
          </w:tcPr>
          <w:p>
            <w:pPr>
              <w:spacing w:after="0"/>
              <w:rPr>
                <w:sz w:val="24"/>
                <w:szCs w:val="24"/>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November 1, 2047 for the 2052 Exchange Notes.</w:t>
            </w:r>
          </w:p>
        </w:tc>
        <w:tc>
          <w:tcPr>
            <w:tcW w:w="60" w:type="dxa"/>
            <w:vAlign w:val="bottom"/>
          </w:tcPr>
          <w:p>
            <w:pPr>
              <w:spacing w:after="0"/>
              <w:rPr>
                <w:sz w:val="24"/>
                <w:szCs w:val="24"/>
                <w:color w:val="auto"/>
              </w:rPr>
            </w:pPr>
          </w:p>
        </w:tc>
      </w:tr>
      <w:tr>
        <w:trPr>
          <w:trHeight w:val="418"/>
        </w:trPr>
        <w:tc>
          <w:tcPr>
            <w:tcW w:w="3000" w:type="dxa"/>
            <w:vAlign w:val="bottom"/>
          </w:tcPr>
          <w:p>
            <w:pPr>
              <w:ind w:left="100"/>
              <w:spacing w:after="0"/>
              <w:rPr>
                <w:sz w:val="20"/>
                <w:szCs w:val="20"/>
                <w:color w:val="auto"/>
              </w:rPr>
            </w:pPr>
            <w:r>
              <w:rPr>
                <w:rFonts w:ascii="Arial" w:cs="Arial" w:eastAsia="Arial" w:hAnsi="Arial"/>
                <w:sz w:val="18"/>
                <w:szCs w:val="18"/>
                <w:color w:val="auto"/>
              </w:rPr>
              <w:t>Interest</w:t>
            </w:r>
          </w:p>
        </w:tc>
        <w:tc>
          <w:tcPr>
            <w:tcW w:w="8360" w:type="dxa"/>
            <w:vAlign w:val="bottom"/>
          </w:tcPr>
          <w:p>
            <w:pPr>
              <w:ind w:left="1340"/>
              <w:spacing w:after="0"/>
              <w:rPr>
                <w:sz w:val="20"/>
                <w:szCs w:val="20"/>
                <w:color w:val="auto"/>
              </w:rPr>
            </w:pPr>
            <w:r>
              <w:rPr>
                <w:rFonts w:ascii="Arial" w:cs="Arial" w:eastAsia="Arial" w:hAnsi="Arial"/>
                <w:sz w:val="18"/>
                <w:szCs w:val="18"/>
                <w:color w:val="auto"/>
                <w:w w:val="99"/>
              </w:rPr>
              <w:t>Interest on the 2047 Exchange Notes will accrue at the rate of 3.969% per year, payable</w:t>
            </w:r>
          </w:p>
        </w:tc>
        <w:tc>
          <w:tcPr>
            <w:tcW w:w="6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w w:val="96"/>
              </w:rPr>
              <w:t>semiannually in cash in arrears on May 1 and November 1, beginning May 1, 2018. Interest</w:t>
            </w: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w w:val="93"/>
              </w:rPr>
              <w:t>on the 2049 Exchange Notes will accrue at the rate of 3.999% per year, payable semiannually</w:t>
            </w: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w w:val="97"/>
              </w:rPr>
              <w:t>in cash in arrears on May 1 and November 1, beginning May 1, 2018. Interest on the 2052</w:t>
            </w: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w w:val="96"/>
              </w:rPr>
              <w:t>Exchange Notes will accrue at the rate of 4.049% per year, payable semiannually in cash in</w:t>
            </w:r>
          </w:p>
        </w:tc>
        <w:tc>
          <w:tcPr>
            <w:tcW w:w="6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arrears on May 1 and November 1, beginning May 1, 2018.</w:t>
            </w:r>
          </w:p>
        </w:tc>
        <w:tc>
          <w:tcPr>
            <w:tcW w:w="6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Interest on the Exchange Notes will accrue from October 19, 2017.</w:t>
            </w:r>
          </w:p>
        </w:tc>
        <w:tc>
          <w:tcPr>
            <w:tcW w:w="60" w:type="dxa"/>
            <w:vAlign w:val="bottom"/>
          </w:tcPr>
          <w:p>
            <w:pPr>
              <w:spacing w:after="0"/>
              <w:rPr>
                <w:sz w:val="24"/>
                <w:szCs w:val="24"/>
                <w:color w:val="auto"/>
              </w:rPr>
            </w:pPr>
          </w:p>
        </w:tc>
      </w:tr>
      <w:tr>
        <w:trPr>
          <w:trHeight w:val="418"/>
        </w:trPr>
        <w:tc>
          <w:tcPr>
            <w:tcW w:w="3000" w:type="dxa"/>
            <w:vAlign w:val="bottom"/>
          </w:tcPr>
          <w:p>
            <w:pPr>
              <w:ind w:left="100"/>
              <w:spacing w:after="0"/>
              <w:rPr>
                <w:sz w:val="20"/>
                <w:szCs w:val="20"/>
                <w:color w:val="auto"/>
              </w:rPr>
            </w:pPr>
            <w:r>
              <w:rPr>
                <w:rFonts w:ascii="Arial" w:cs="Arial" w:eastAsia="Arial" w:hAnsi="Arial"/>
                <w:sz w:val="18"/>
                <w:szCs w:val="18"/>
                <w:color w:val="auto"/>
              </w:rPr>
              <w:t>Ranking</w:t>
            </w:r>
          </w:p>
        </w:tc>
        <w:tc>
          <w:tcPr>
            <w:tcW w:w="8360" w:type="dxa"/>
            <w:vAlign w:val="bottom"/>
          </w:tcPr>
          <w:p>
            <w:pPr>
              <w:ind w:left="1340"/>
              <w:spacing w:after="0"/>
              <w:rPr>
                <w:sz w:val="20"/>
                <w:szCs w:val="20"/>
                <w:color w:val="auto"/>
              </w:rPr>
            </w:pPr>
            <w:r>
              <w:rPr>
                <w:rFonts w:ascii="Arial" w:cs="Arial" w:eastAsia="Arial" w:hAnsi="Arial"/>
                <w:sz w:val="18"/>
                <w:szCs w:val="18"/>
                <w:color w:val="auto"/>
              </w:rPr>
              <w:t>The Exchange Notes will be unsecured and will rank equally with all of our and the</w:t>
            </w:r>
          </w:p>
        </w:tc>
        <w:tc>
          <w:tcPr>
            <w:tcW w:w="6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guarantors’ unsecured and unsubordinated indebtedness.</w:t>
            </w:r>
          </w:p>
        </w:tc>
        <w:tc>
          <w:tcPr>
            <w:tcW w:w="60" w:type="dxa"/>
            <w:vAlign w:val="bottom"/>
          </w:tcPr>
          <w:p>
            <w:pPr>
              <w:spacing w:after="0"/>
              <w:rPr>
                <w:sz w:val="20"/>
                <w:szCs w:val="20"/>
                <w:color w:val="auto"/>
              </w:rPr>
            </w:pPr>
          </w:p>
        </w:tc>
      </w:tr>
      <w:tr>
        <w:trPr>
          <w:trHeight w:val="432"/>
        </w:trPr>
        <w:tc>
          <w:tcPr>
            <w:tcW w:w="3000" w:type="dxa"/>
            <w:vAlign w:val="bottom"/>
          </w:tcPr>
          <w:p>
            <w:pPr>
              <w:ind w:left="100"/>
              <w:spacing w:after="0"/>
              <w:rPr>
                <w:sz w:val="20"/>
                <w:szCs w:val="20"/>
                <w:color w:val="auto"/>
              </w:rPr>
            </w:pPr>
            <w:r>
              <w:rPr>
                <w:rFonts w:ascii="Arial" w:cs="Arial" w:eastAsia="Arial" w:hAnsi="Arial"/>
                <w:sz w:val="18"/>
                <w:szCs w:val="18"/>
                <w:color w:val="auto"/>
              </w:rPr>
              <w:t>Guarantors</w:t>
            </w:r>
          </w:p>
        </w:tc>
        <w:tc>
          <w:tcPr>
            <w:tcW w:w="8360" w:type="dxa"/>
            <w:vAlign w:val="bottom"/>
          </w:tcPr>
          <w:p>
            <w:pPr>
              <w:ind w:left="1340"/>
              <w:spacing w:after="0"/>
              <w:rPr>
                <w:sz w:val="20"/>
                <w:szCs w:val="20"/>
                <w:color w:val="auto"/>
              </w:rPr>
            </w:pPr>
            <w:r>
              <w:rPr>
                <w:rFonts w:ascii="Arial" w:cs="Arial" w:eastAsia="Arial" w:hAnsi="Arial"/>
                <w:sz w:val="18"/>
                <w:szCs w:val="18"/>
                <w:color w:val="auto"/>
              </w:rPr>
              <w:t>Comcast Cable Communications and NBCUniversal.</w:t>
            </w:r>
          </w:p>
        </w:tc>
        <w:tc>
          <w:tcPr>
            <w:tcW w:w="60" w:type="dxa"/>
            <w:vAlign w:val="bottom"/>
          </w:tcPr>
          <w:p>
            <w:pPr>
              <w:spacing w:after="0"/>
              <w:rPr>
                <w:sz w:val="24"/>
                <w:szCs w:val="24"/>
                <w:color w:val="auto"/>
              </w:rPr>
            </w:pPr>
          </w:p>
        </w:tc>
      </w:tr>
      <w:tr>
        <w:trPr>
          <w:trHeight w:val="418"/>
        </w:trPr>
        <w:tc>
          <w:tcPr>
            <w:tcW w:w="3000" w:type="dxa"/>
            <w:vAlign w:val="bottom"/>
          </w:tcPr>
          <w:p>
            <w:pPr>
              <w:ind w:left="100"/>
              <w:spacing w:after="0"/>
              <w:rPr>
                <w:sz w:val="20"/>
                <w:szCs w:val="20"/>
                <w:color w:val="auto"/>
              </w:rPr>
            </w:pPr>
            <w:r>
              <w:rPr>
                <w:rFonts w:ascii="Arial" w:cs="Arial" w:eastAsia="Arial" w:hAnsi="Arial"/>
                <w:sz w:val="18"/>
                <w:szCs w:val="18"/>
                <w:color w:val="auto"/>
              </w:rPr>
              <w:t>Guarantees</w:t>
            </w:r>
          </w:p>
        </w:tc>
        <w:tc>
          <w:tcPr>
            <w:tcW w:w="8360" w:type="dxa"/>
            <w:vAlign w:val="bottom"/>
          </w:tcPr>
          <w:p>
            <w:pPr>
              <w:ind w:left="1340"/>
              <w:spacing w:after="0"/>
              <w:rPr>
                <w:sz w:val="20"/>
                <w:szCs w:val="20"/>
                <w:color w:val="auto"/>
              </w:rPr>
            </w:pPr>
            <w:r>
              <w:rPr>
                <w:rFonts w:ascii="Arial" w:cs="Arial" w:eastAsia="Arial" w:hAnsi="Arial"/>
                <w:sz w:val="18"/>
                <w:szCs w:val="18"/>
                <w:color w:val="auto"/>
                <w:w w:val="98"/>
              </w:rPr>
              <w:t>The guarantors will fully and unconditionally guarantee the Exchange Notes, including the</w:t>
            </w:r>
          </w:p>
        </w:tc>
        <w:tc>
          <w:tcPr>
            <w:tcW w:w="6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w w:val="96"/>
              </w:rPr>
              <w:t>payment of principal, premium, if any, and interest. The guarantees will rank equally with all</w:t>
            </w:r>
          </w:p>
        </w:tc>
        <w:tc>
          <w:tcPr>
            <w:tcW w:w="6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other general unsecured and unsubordinated obligations of the guarantors.</w:t>
            </w:r>
          </w:p>
        </w:tc>
        <w:tc>
          <w:tcPr>
            <w:tcW w:w="60" w:type="dxa"/>
            <w:vAlign w:val="bottom"/>
          </w:tcPr>
          <w:p>
            <w:pPr>
              <w:spacing w:after="0"/>
              <w:rPr>
                <w:sz w:val="20"/>
                <w:szCs w:val="20"/>
                <w:color w:val="auto"/>
              </w:rPr>
            </w:pPr>
          </w:p>
        </w:tc>
      </w:tr>
      <w:tr>
        <w:trPr>
          <w:trHeight w:val="418"/>
        </w:trPr>
        <w:tc>
          <w:tcPr>
            <w:tcW w:w="3000" w:type="dxa"/>
            <w:vAlign w:val="bottom"/>
          </w:tcPr>
          <w:p>
            <w:pPr>
              <w:ind w:left="100"/>
              <w:spacing w:after="0"/>
              <w:rPr>
                <w:sz w:val="20"/>
                <w:szCs w:val="20"/>
                <w:color w:val="auto"/>
              </w:rPr>
            </w:pPr>
            <w:r>
              <w:rPr>
                <w:rFonts w:ascii="Arial" w:cs="Arial" w:eastAsia="Arial" w:hAnsi="Arial"/>
                <w:sz w:val="18"/>
                <w:szCs w:val="18"/>
                <w:color w:val="auto"/>
              </w:rPr>
              <w:t>Optional Redemption</w:t>
            </w:r>
          </w:p>
        </w:tc>
        <w:tc>
          <w:tcPr>
            <w:tcW w:w="8360" w:type="dxa"/>
            <w:vAlign w:val="bottom"/>
          </w:tcPr>
          <w:p>
            <w:pPr>
              <w:ind w:left="1340"/>
              <w:spacing w:after="0"/>
              <w:rPr>
                <w:sz w:val="20"/>
                <w:szCs w:val="20"/>
                <w:color w:val="auto"/>
              </w:rPr>
            </w:pPr>
            <w:r>
              <w:rPr>
                <w:rFonts w:ascii="Arial" w:cs="Arial" w:eastAsia="Arial" w:hAnsi="Arial"/>
                <w:sz w:val="18"/>
                <w:szCs w:val="18"/>
                <w:color w:val="auto"/>
                <w:w w:val="94"/>
              </w:rPr>
              <w:t>We may, at our option, redeem any series of Exchange Notes, in whole or in part, at any time</w:t>
            </w:r>
          </w:p>
        </w:tc>
        <w:tc>
          <w:tcPr>
            <w:tcW w:w="6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w w:val="94"/>
              </w:rPr>
              <w:t>at the applicable Redemption Price determined as set forth under the heading “Description of</w:t>
            </w:r>
          </w:p>
        </w:tc>
        <w:tc>
          <w:tcPr>
            <w:tcW w:w="6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the Notes—Optional Redemption of the Exchange Notes”.</w:t>
            </w:r>
          </w:p>
        </w:tc>
        <w:tc>
          <w:tcPr>
            <w:tcW w:w="60" w:type="dxa"/>
            <w:vAlign w:val="bottom"/>
          </w:tcPr>
          <w:p>
            <w:pPr>
              <w:spacing w:after="0"/>
              <w:rPr>
                <w:sz w:val="20"/>
                <w:szCs w:val="20"/>
                <w:color w:val="auto"/>
              </w:rPr>
            </w:pPr>
          </w:p>
        </w:tc>
      </w:tr>
      <w:tr>
        <w:trPr>
          <w:trHeight w:val="418"/>
        </w:trPr>
        <w:tc>
          <w:tcPr>
            <w:tcW w:w="3000" w:type="dxa"/>
            <w:vAlign w:val="bottom"/>
          </w:tcPr>
          <w:p>
            <w:pPr>
              <w:ind w:left="100"/>
              <w:spacing w:after="0"/>
              <w:rPr>
                <w:sz w:val="20"/>
                <w:szCs w:val="20"/>
                <w:color w:val="auto"/>
              </w:rPr>
            </w:pPr>
            <w:r>
              <w:rPr>
                <w:rFonts w:ascii="Arial" w:cs="Arial" w:eastAsia="Arial" w:hAnsi="Arial"/>
                <w:sz w:val="18"/>
                <w:szCs w:val="18"/>
                <w:color w:val="auto"/>
              </w:rPr>
              <w:t>Book-Entry</w:t>
            </w:r>
          </w:p>
        </w:tc>
        <w:tc>
          <w:tcPr>
            <w:tcW w:w="8360" w:type="dxa"/>
            <w:vAlign w:val="bottom"/>
          </w:tcPr>
          <w:p>
            <w:pPr>
              <w:ind w:left="1340"/>
              <w:spacing w:after="0"/>
              <w:rPr>
                <w:sz w:val="20"/>
                <w:szCs w:val="20"/>
                <w:color w:val="auto"/>
              </w:rPr>
            </w:pPr>
            <w:r>
              <w:rPr>
                <w:rFonts w:ascii="Arial" w:cs="Arial" w:eastAsia="Arial" w:hAnsi="Arial"/>
                <w:sz w:val="18"/>
                <w:szCs w:val="18"/>
                <w:color w:val="auto"/>
              </w:rPr>
              <w:t>The Exchange Notes will be issued in book-entry form and will be represented by global</w:t>
            </w:r>
          </w:p>
        </w:tc>
        <w:tc>
          <w:tcPr>
            <w:tcW w:w="6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notes deposited with, or on behalf of, DTC and registered in the name of DTC or its</w:t>
            </w: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nominees. Beneficial interests in any of the notes will be shown on, and transfers will be</w:t>
            </w: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effected only through, records maintained by DTC or its nominee or indirectly through</w:t>
            </w: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w w:val="95"/>
              </w:rPr>
              <w:t>organizations that have accounts with DTC, including Euroclear and Clearstream, and these</w:t>
            </w: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beneficial interests may not be exchanged for certificated notes, except in limited</w:t>
            </w: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circumstances. See “Description of the Notes—Book-Entry System” in this prospectus</w:t>
            </w:r>
          </w:p>
        </w:tc>
        <w:tc>
          <w:tcPr>
            <w:tcW w:w="6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supplement.</w:t>
            </w:r>
          </w:p>
        </w:tc>
        <w:tc>
          <w:tcPr>
            <w:tcW w:w="60" w:type="dxa"/>
            <w:vAlign w:val="bottom"/>
          </w:tcPr>
          <w:p>
            <w:pPr>
              <w:spacing w:after="0"/>
              <w:rPr>
                <w:sz w:val="20"/>
                <w:szCs w:val="20"/>
                <w:color w:val="auto"/>
              </w:rPr>
            </w:pPr>
          </w:p>
        </w:tc>
      </w:tr>
      <w:tr>
        <w:trPr>
          <w:trHeight w:val="415"/>
        </w:trPr>
        <w:tc>
          <w:tcPr>
            <w:tcW w:w="30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63"/>
        </w:trPr>
        <w:tc>
          <w:tcPr>
            <w:tcW w:w="30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2640"/>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99" w:right="2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Any investment in the Exchange Notes involves a high degree of risk, including but not limited to the risks described below. In addition, you should carefully consider, among other things, the matters discussed under “Item 1A—Risk Factors” beginning on page 25 of our Annual Report on Form 10-K for the fiscal year ended December 31, 2016, as well as the other information incorporated by reference in this prospectus. The risks and uncertainties described below and in our Annual Report are not the only risks and uncertainties we face. Additional risks and uncertainties not presently known to us or that we currently deem immaterial may also impair our business operations. If any of the following risks actually occur, our business, financial condition and results of operations could suffer. As a result, the trading price of the Exchange Notes could decline, perhaps significantly, and you could lose all or part of your investment. The risks discussed below also include forward-looking statements and our actual results may differ substantially from those discussed in these forward-looking statements. See “Forward-Looking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Exchange Offers</w:t>
      </w:r>
    </w:p>
    <w:p>
      <w:pPr>
        <w:spacing w:after="0" w:line="229" w:lineRule="exact"/>
        <w:rPr>
          <w:sz w:val="20"/>
          <w:szCs w:val="20"/>
          <w:color w:val="auto"/>
        </w:rPr>
      </w:pPr>
    </w:p>
    <w:p>
      <w:pPr>
        <w:ind w:left="180" w:right="180"/>
        <w:spacing w:after="0" w:line="342" w:lineRule="auto"/>
        <w:rPr>
          <w:sz w:val="20"/>
          <w:szCs w:val="20"/>
          <w:color w:val="auto"/>
        </w:rPr>
      </w:pPr>
      <w:r>
        <w:rPr>
          <w:rFonts w:ascii="Arial" w:cs="Arial" w:eastAsia="Arial" w:hAnsi="Arial"/>
          <w:sz w:val="16"/>
          <w:szCs w:val="16"/>
          <w:b w:val="1"/>
          <w:bCs w:val="1"/>
          <w:i w:val="1"/>
          <w:iCs w:val="1"/>
          <w:color w:val="auto"/>
        </w:rPr>
        <w:t>Our board of directors has not made a recommendation as to whether you should tender your Original Notes in exchange for Exchange Notes in the Exchange Offers, and we have not obtained a third-party determination that the Exchange Offers are fair to holders of our Original Notes.</w:t>
      </w:r>
    </w:p>
    <w:p>
      <w:pPr>
        <w:spacing w:after="0" w:line="12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board of directors has not made, and will not make, any recommendation as to whether holders of Original Notes should tender their Original Notes in exchange for Exchange Notes pursuant to the Exchange Offers. We have not retained, and do not intend to retain, any unaffiliated representative to act solely on behalf of the holders of the Original Notes for purposes of negotiating the terms of these Exchange Offers, or preparing a report or making any recommendation concerning the fairness of these Exchange Offers. Therefore, if you tender your Original Notes, you may not receive more than or as much value as if you chose to keep them. Holders of Original Notes must make their own independent decisions regarding their participation in the Exchange Offers.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Exchange Offers may be cancelled or delayed.</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consummation of the Exchange Offers is subject to, and conditional upon, the satisfaction or waiver of the conditions discussed under “The Exchange Offers — Conditions to the Exchange Offers”. We may, at our option and in our sole discretion, waive any such conditions. Even if the Exchange Offers are completed, the Exchange Offers may not be completed on the schedule described in this prospectus. Accordingly, holders participating in the Exchange Offers may have to wait longer than expected to receive their Exchange Notes during which time those holders of the Original Notes will not be able to effect transfers of their Original Notes tendered for exchange.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you fail to exchange your Original Notes, they will continue to be restricted securities and may become less liquid.</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Original Notes that you do not tender or that we do not accept will, following the Exchange Offers, continue to be restricted securities, and you may not offer to sell them except pursuant to an exemption from, or in a transaction not subject to, the Securities Act and applicable state securities law. We will issue Exchange Notes in exchange for the Original Notes pursuant to the Exchange Offers only following the satisfaction of the procedures and conditions set forth in “The Exchange Offers — Conditions to the Exchange Offers” and “The Exchange Offers — Procedures for Tendering Original Notes”. These procedures and conditions include timely receipt by the Exchange Agent of confirmation of book-entry transfer of such Original Notes and of an agent’s message from DTC. Therefore, holders of the Original Notes desiring to tender such Original Notes in exchange for Exchange Notes should allow sufficient time to ensure timely delivery. Additionally, we are under no duty to give notification of defects or irregularities of tenders of Original Notes for exchange.</w:t>
      </w:r>
    </w:p>
    <w:p>
      <w:pPr>
        <w:spacing w:after="0" w:line="16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Because we anticipate that most holders of Original Notes will elect to exchange their Original Notes, we expect that the liquidity of the market for any Original Notes remaining after the completion of the Exchange Offers will be substantially limited. Any Original Notes tendered and exchanged in the Exchange Offers will reduce the aggregate principal amount of the applicable series of Original Notes outstanding. Following the Exchange Offers, if you do not tender your Original Notes, you generally will not have any further registration rights, and your Original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72" w:right="29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Notes will continue to be subject to certain transfer restrictions. Accordingly, the liquidity of the market for the Original Notes could be adversely affected.</w:t>
      </w:r>
    </w:p>
    <w:p>
      <w:pPr>
        <w:spacing w:after="0" w:line="248"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If an active trading market does not develop for the Exchange Notes, you may be unable to sell the Exchange Notes or to sell them at a price you deem sufficient.</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Exchange Notes are a new issue of securities for which there is currently no public trading market. We do not intend to list the Exchange Notes on any national securities exchange. Accordingly, there can be no assurances that an active trading market will develop upon completion of the Exchange Offers or, if it develops, that such market will be sustained, or as to the liquidity of any market. If an active trading market does not develop or is not sustained, the market price and the liquidity of the Exchange Notes may be adversely affected. In addition, the liquidity of the trading market for the Exchange Notes, if it develops, and the market price quoted for the Exchange Notes, may be adversely affected by changes in the overall market for those securities and by changes in our financial performance or prospects or in the prospects for companies in our industry generally.</w:t>
      </w:r>
    </w:p>
    <w:p>
      <w:pPr>
        <w:spacing w:after="0" w:line="178" w:lineRule="exact"/>
        <w:rPr>
          <w:sz w:val="20"/>
          <w:szCs w:val="20"/>
          <w:color w:val="auto"/>
        </w:rPr>
      </w:pPr>
    </w:p>
    <w:p>
      <w:pPr>
        <w:ind w:left="180" w:right="200"/>
        <w:spacing w:after="0" w:line="277" w:lineRule="auto"/>
        <w:rPr>
          <w:sz w:val="20"/>
          <w:szCs w:val="20"/>
          <w:color w:val="auto"/>
        </w:rPr>
      </w:pPr>
      <w:r>
        <w:rPr>
          <w:rFonts w:ascii="Arial" w:cs="Arial" w:eastAsia="Arial" w:hAnsi="Arial"/>
          <w:sz w:val="18"/>
          <w:szCs w:val="18"/>
          <w:b w:val="1"/>
          <w:bCs w:val="1"/>
          <w:i w:val="1"/>
          <w:iCs w:val="1"/>
          <w:color w:val="auto"/>
        </w:rPr>
        <w:t>We may repurchase any Original Notes that are not accepted for purchase and exchange in the Exchange Offers in future transactions on terms that are more favorable to the holders of the Original Notes than the terms of the Exchange Offers.</w:t>
      </w:r>
    </w:p>
    <w:p>
      <w:pPr>
        <w:spacing w:after="0" w:line="170"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We may, from time to time after completion of the Exchange Offers, purchase additional Original Notes in the open market, in privately negotiated transactions, through tender offers, exchange offers or otherwise. Any future purchases or exchanges may be on the same terms or on terms that are more or less favorable to holders of Original Notes than the terms of the Exchange Offers. Any future purchases or exchanges by us will depend on various factors existing at that time. There can be no assurance as to which, if any, of these alternatives (or combinations thereof) we may choose to pursue in the future.</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Some noteholders may be required to comply with the registration and prospectus delivery requirements of the Securities Act.</w:t>
      </w:r>
    </w:p>
    <w:p>
      <w:pPr>
        <w:spacing w:after="0" w:line="225"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If you exchange your Original Notes in the Exchange Offers for the purpose of participating in a distribution of the Exchange Notes, you may be deemed to have received restricted securities and, if so, you will be required to comply with the registration and prospectus delivery requirements of the Securities Act in connection with any resale transaction. In addition, 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 Our obligation to keep the registration statement of which this prospectus forms a part effective is limited. Accordingly, we cannot guarantee that a current prospectus will be available at all times to broker-dealers wishing to resell their Exchange Notes.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4" w:name="page15"/>
    <w:bookmarkEnd w:id="14"/>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Exchange Offers are intended to satisfy our obligations under the Registration Rights Agreement entered into in connection with the issuance of the Original Notes. We will not receive any cash proceeds from the issuance of the Exchange Notes in the Exchange Offers. The Original Notes surrendered and exchanged for the Exchange Notes will be retired and canceled.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20" w:type="dxa"/>
            <w:vAlign w:val="bottom"/>
            <w:gridSpan w:val="8"/>
          </w:tcPr>
          <w:p>
            <w:pPr>
              <w:ind w:left="40"/>
              <w:spacing w:after="0"/>
              <w:rPr>
                <w:sz w:val="20"/>
                <w:szCs w:val="20"/>
                <w:color w:val="auto"/>
              </w:rPr>
            </w:pPr>
            <w:r>
              <w:rPr>
                <w:rFonts w:ascii="Arial" w:cs="Arial" w:eastAsia="Arial" w:hAnsi="Arial"/>
                <w:sz w:val="18"/>
                <w:szCs w:val="18"/>
                <w:b w:val="1"/>
                <w:bCs w:val="1"/>
                <w:color w:val="auto"/>
              </w:rPr>
              <w:t>RATIOS OF EARNINGS TO FIXED CHARGES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8580" w:type="dxa"/>
            <w:vAlign w:val="bottom"/>
            <w:gridSpan w:val="11"/>
          </w:tcPr>
          <w:p>
            <w:pPr>
              <w:ind w:left="340"/>
              <w:spacing w:after="0"/>
              <w:rPr>
                <w:sz w:val="20"/>
                <w:szCs w:val="20"/>
                <w:color w:val="auto"/>
              </w:rPr>
            </w:pPr>
            <w:r>
              <w:rPr>
                <w:rFonts w:ascii="Arial" w:cs="Arial" w:eastAsia="Arial" w:hAnsi="Arial"/>
                <w:sz w:val="18"/>
                <w:szCs w:val="18"/>
                <w:color w:val="auto"/>
              </w:rPr>
              <w:t>Our ratio of earnings to fixed charges was as follows for the respective periods indicated: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4"/>
        </w:trPr>
        <w:tc>
          <w:tcPr>
            <w:tcW w:w="2640" w:type="dxa"/>
            <w:vAlign w:val="bottom"/>
            <w:gridSpan w:val="2"/>
          </w:tcPr>
          <w:p>
            <w:pPr>
              <w:ind w:left="460"/>
              <w:spacing w:after="0"/>
              <w:rPr>
                <w:sz w:val="20"/>
                <w:szCs w:val="20"/>
                <w:color w:val="auto"/>
              </w:rPr>
            </w:pPr>
            <w:r>
              <w:rPr>
                <w:rFonts w:ascii="Arial" w:cs="Arial" w:eastAsia="Arial" w:hAnsi="Arial"/>
                <w:sz w:val="18"/>
                <w:szCs w:val="18"/>
                <w:b w:val="1"/>
                <w:bCs w:val="1"/>
                <w:color w:val="auto"/>
              </w:rPr>
              <w:t>For the Nine Months</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2640" w:type="dxa"/>
            <w:vAlign w:val="bottom"/>
            <w:gridSpan w:val="2"/>
          </w:tcPr>
          <w:p>
            <w:pPr>
              <w:ind w:left="440"/>
              <w:spacing w:after="0"/>
              <w:rPr>
                <w:sz w:val="20"/>
                <w:szCs w:val="20"/>
                <w:color w:val="auto"/>
              </w:rPr>
            </w:pPr>
            <w:r>
              <w:rPr>
                <w:rFonts w:ascii="Arial" w:cs="Arial" w:eastAsia="Arial" w:hAnsi="Arial"/>
                <w:sz w:val="18"/>
                <w:szCs w:val="18"/>
                <w:b w:val="1"/>
                <w:bCs w:val="1"/>
                <w:color w:val="auto"/>
              </w:rPr>
              <w:t>Ended September 30,</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60" w:type="dxa"/>
            <w:vAlign w:val="bottom"/>
            <w:gridSpan w:val="5"/>
          </w:tcPr>
          <w:p>
            <w:pPr>
              <w:ind w:left="80"/>
              <w:spacing w:after="0"/>
              <w:rPr>
                <w:sz w:val="20"/>
                <w:szCs w:val="20"/>
                <w:color w:val="auto"/>
              </w:rPr>
            </w:pPr>
            <w:r>
              <w:rPr>
                <w:rFonts w:ascii="Arial" w:cs="Arial" w:eastAsia="Arial" w:hAnsi="Arial"/>
                <w:sz w:val="18"/>
                <w:szCs w:val="18"/>
                <w:b w:val="1"/>
                <w:bCs w:val="1"/>
                <w:color w:val="auto"/>
                <w:w w:val="96"/>
              </w:rPr>
              <w:t>For the Years Ended December 31,</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0"/>
        </w:trPr>
        <w:tc>
          <w:tcPr>
            <w:tcW w:w="252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8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2420" w:type="dxa"/>
            <w:vAlign w:val="bottom"/>
            <w:tcBorders>
              <w:top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10"/>
        </w:trPr>
        <w:tc>
          <w:tcPr>
            <w:tcW w:w="252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90"/>
              </w:rPr>
              <w:t>5.50x</w:t>
            </w:r>
          </w:p>
        </w:tc>
        <w:tc>
          <w:tcPr>
            <w:tcW w:w="12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shd w:val="clear" w:color="auto" w:fill="D5EAEA"/>
          </w:tcPr>
          <w:p>
            <w:pPr>
              <w:jc w:val="center"/>
              <w:ind w:left="510"/>
              <w:spacing w:after="0"/>
              <w:rPr>
                <w:sz w:val="20"/>
                <w:szCs w:val="20"/>
                <w:color w:val="auto"/>
              </w:rPr>
            </w:pPr>
            <w:r>
              <w:rPr>
                <w:rFonts w:ascii="Arial" w:cs="Arial" w:eastAsia="Arial" w:hAnsi="Arial"/>
                <w:sz w:val="18"/>
                <w:szCs w:val="18"/>
                <w:color w:val="auto"/>
                <w:w w:val="90"/>
              </w:rPr>
              <w:t>5.26x</w:t>
            </w:r>
          </w:p>
        </w:tc>
        <w:tc>
          <w:tcPr>
            <w:tcW w:w="60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jc w:val="center"/>
              <w:ind w:left="490"/>
              <w:spacing w:after="0"/>
              <w:rPr>
                <w:sz w:val="20"/>
                <w:szCs w:val="20"/>
                <w:color w:val="auto"/>
              </w:rPr>
            </w:pPr>
            <w:r>
              <w:rPr>
                <w:rFonts w:ascii="Arial" w:cs="Arial" w:eastAsia="Arial" w:hAnsi="Arial"/>
                <w:sz w:val="18"/>
                <w:szCs w:val="18"/>
                <w:color w:val="auto"/>
                <w:w w:val="90"/>
              </w:rPr>
              <w:t>5.48x</w:t>
            </w:r>
          </w:p>
        </w:tc>
        <w:tc>
          <w:tcPr>
            <w:tcW w:w="5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72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90"/>
              </w:rPr>
              <w:t>5.22x</w:t>
            </w:r>
          </w:p>
        </w:tc>
        <w:tc>
          <w:tcPr>
            <w:tcW w:w="100" w:type="dxa"/>
            <w:vAlign w:val="bottom"/>
            <w:tcBorders>
              <w:top w:val="single" w:sz="8" w:color="D5EAEA"/>
            </w:tcBorders>
            <w:shd w:val="clear" w:color="auto" w:fill="D5EAEA"/>
          </w:tcPr>
          <w:p>
            <w:pPr>
              <w:spacing w:after="0"/>
              <w:rPr>
                <w:sz w:val="18"/>
                <w:szCs w:val="18"/>
                <w:color w:val="auto"/>
              </w:rPr>
            </w:pPr>
          </w:p>
        </w:tc>
        <w:tc>
          <w:tcPr>
            <w:tcW w:w="440" w:type="dxa"/>
            <w:vAlign w:val="bottom"/>
            <w:tcBorders>
              <w:top w:val="single" w:sz="8" w:color="auto"/>
            </w:tcBorders>
            <w:shd w:val="clear" w:color="auto" w:fill="D5EAEA"/>
          </w:tcPr>
          <w:p>
            <w:pPr>
              <w:spacing w:after="0"/>
              <w:rPr>
                <w:sz w:val="18"/>
                <w:szCs w:val="18"/>
                <w:color w:val="auto"/>
              </w:rPr>
            </w:pPr>
          </w:p>
        </w:tc>
        <w:tc>
          <w:tcPr>
            <w:tcW w:w="1260" w:type="dxa"/>
            <w:vAlign w:val="bottom"/>
            <w:tcBorders>
              <w:top w:val="single" w:sz="8" w:color="auto"/>
            </w:tcBorders>
            <w:shd w:val="clear" w:color="auto" w:fill="D5EAEA"/>
          </w:tcPr>
          <w:p>
            <w:pPr>
              <w:jc w:val="center"/>
              <w:ind w:right="350"/>
              <w:spacing w:after="0"/>
              <w:rPr>
                <w:sz w:val="20"/>
                <w:szCs w:val="20"/>
                <w:color w:val="auto"/>
              </w:rPr>
            </w:pPr>
            <w:r>
              <w:rPr>
                <w:rFonts w:ascii="Arial" w:cs="Arial" w:eastAsia="Arial" w:hAnsi="Arial"/>
                <w:sz w:val="18"/>
                <w:szCs w:val="18"/>
                <w:color w:val="auto"/>
                <w:w w:val="95"/>
              </w:rPr>
              <w:t>4.85x</w:t>
            </w:r>
          </w:p>
        </w:tc>
        <w:tc>
          <w:tcPr>
            <w:tcW w:w="100" w:type="dxa"/>
            <w:vAlign w:val="bottom"/>
            <w:tcBorders>
              <w:top w:val="single" w:sz="8" w:color="D5EAEA"/>
            </w:tcBorders>
            <w:shd w:val="clear" w:color="auto" w:fill="D5EAEA"/>
          </w:tcPr>
          <w:p>
            <w:pPr>
              <w:spacing w:after="0"/>
              <w:rPr>
                <w:sz w:val="18"/>
                <w:szCs w:val="18"/>
                <w:color w:val="auto"/>
              </w:rPr>
            </w:pPr>
          </w:p>
        </w:tc>
        <w:tc>
          <w:tcPr>
            <w:tcW w:w="148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90"/>
              </w:rPr>
              <w:t>4.82x</w:t>
            </w:r>
          </w:p>
        </w:tc>
      </w:tr>
    </w:tbl>
    <w:p>
      <w:pPr>
        <w:spacing w:after="0" w:line="202"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For purposes of calculating the ratio, earnings is the amount resulting from (1) adding (a) pretax income from continuing operations before adjustment for noncontrolling interests in consolidated subsidiaries or income or loss from equity investees, (b) fixed charges, (c) amortization of capitalized interest,</w:t>
      </w:r>
    </w:p>
    <w:p>
      <w:pPr>
        <w:ind w:firstLine="8"/>
        <w:spacing w:after="0" w:line="292"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Interest associated with our uncertain tax positions is a component of income tax expense.</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THE EXCHANGE OFFERS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Offers</w:t>
      </w:r>
    </w:p>
    <w:p>
      <w:pPr>
        <w:spacing w:after="0" w:line="229" w:lineRule="exact"/>
        <w:rPr>
          <w:sz w:val="20"/>
          <w:szCs w:val="20"/>
          <w:color w:val="auto"/>
        </w:rPr>
      </w:pPr>
    </w:p>
    <w:p>
      <w:pPr>
        <w:ind w:right="300" w:firstLine="324"/>
        <w:spacing w:after="0" w:line="291" w:lineRule="auto"/>
        <w:rPr>
          <w:sz w:val="20"/>
          <w:szCs w:val="20"/>
          <w:color w:val="auto"/>
        </w:rPr>
      </w:pPr>
      <w:r>
        <w:rPr>
          <w:rFonts w:ascii="Arial" w:cs="Arial" w:eastAsia="Arial" w:hAnsi="Arial"/>
          <w:sz w:val="16"/>
          <w:szCs w:val="16"/>
          <w:color w:val="auto"/>
        </w:rPr>
        <w:t>We are offering to exchange our (i) 3.969% Notes due 2047, which have been registered under the Securities Act and which we refer to as the “2047 Exchange Notes”, for our outstanding 3.969% Notes due 2047, which have not been so registered and which we refer to as the “2047 Original Notes”, (ii)</w:t>
      </w:r>
    </w:p>
    <w:p>
      <w:pPr>
        <w:spacing w:after="0"/>
        <w:rPr>
          <w:sz w:val="20"/>
          <w:szCs w:val="20"/>
          <w:color w:val="auto"/>
        </w:rPr>
      </w:pPr>
      <w:r>
        <w:rPr>
          <w:rFonts w:ascii="Arial" w:cs="Arial" w:eastAsia="Arial" w:hAnsi="Arial"/>
          <w:sz w:val="17"/>
          <w:szCs w:val="17"/>
          <w:color w:val="auto"/>
        </w:rPr>
        <w:t>3.999% Notes due 2049, which have been registered under the Securities Act and which we refer to as the “2049 Exchange Notes”, for our outstanding</w:t>
      </w:r>
    </w:p>
    <w:p>
      <w:pPr>
        <w:spacing w:after="0" w:line="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3.999% Notes due 2049, which have not been so registered and which we refer to as the “2049 Original Notes” and (iii) 4.049% Notes due 2052, which have been registered under the Securities Act and which we refer to as the “2052 Exchange Notes”, for our outstanding 4.049% Notes due 2052, which have not been so registered and which we refer to as the “2052 Original Notes”. We refer to these exchange offers as the “Exchange Offers”.</w:t>
      </w:r>
    </w:p>
    <w:p>
      <w:pPr>
        <w:spacing w:after="0" w:line="15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On October 19, 2017, Comcast and NBCUniversal consummated a previous exchange offer to exchange up to $4.0 billion in aggregate principal amount of (i) Comcast’s outstanding 6.950% Notes due 2037, 6.550% Notes due 2039, 6.400% Notes due March 1, 2040, 6.450% Notes due 2037, 6.400% Notes due 2038, 6.500% Notes due 2035 and 5.650% Notes due 2035, and (ii) NBCUniversal’s outstanding 6.400% Notes due April 30, 2040 and 5.950% Notes due 2041, for up to $2,000,000,000 in aggregate principal amount of 2047 Original Notes, up to $2,000,000,000 in aggregate principal amount of Original 2049 Notes and up to $1,500,000,000 in aggregate principal amount of 2052 Original Notes.</w:t>
      </w:r>
    </w:p>
    <w:p>
      <w:pPr>
        <w:spacing w:after="0" w:line="17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connection with the previous exchange offer, Comcast and the guarantors entered into the Registration Rights Agreement, with Credit Suisse Securities (USA) LLC, Goldman Sachs &amp; Co. LLC, Citigroup Global Markets Inc., Deutsche Bank Securities Inc. and Wells Fargo Securities LLC, as joint-lead dealer managers and as representatives of the several dealer managers for the previous exchange offer, whom we refer to collectively as the “Dealer Managers”. Under the Registration Rights Agreement, we agreed to file and to use our reasonable efforts to have declared effective the exchange offer registration statement under the Securities Act and to consummate the Exchange Offers.</w:t>
      </w:r>
    </w:p>
    <w:p>
      <w:pPr>
        <w:spacing w:after="0" w:line="18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We are making the Exchange Offers in reliance on the position of the SEC as set forth in </w:t>
      </w:r>
      <w:r>
        <w:rPr>
          <w:rFonts w:ascii="Arial" w:cs="Arial" w:eastAsia="Arial" w:hAnsi="Arial"/>
          <w:sz w:val="16"/>
          <w:szCs w:val="16"/>
          <w:i w:val="1"/>
          <w:iCs w:val="1"/>
          <w:color w:val="auto"/>
        </w:rPr>
        <w:t>Exxon Capital Holdings Corporation</w:t>
      </w:r>
      <w:r>
        <w:rPr>
          <w:rFonts w:ascii="Arial" w:cs="Arial" w:eastAsia="Arial" w:hAnsi="Arial"/>
          <w:sz w:val="16"/>
          <w:szCs w:val="16"/>
          <w:color w:val="auto"/>
        </w:rPr>
        <w:t xml:space="preserve"> and similar no-action letters. However, we have not sought our own no-action letter. Based upon these interpretations by the SEC, we believe that a holder of Exchange Notes who is not our “affiliate” within the meaning of Rule 405 of the Securities Act and who exchanges Original Notes for Exchange Notes in the Exchange Offers generally may offer the Exchange Notes for resale, sell the Exchange Notes and otherwise transfer the Exchange Notes without further registration under the Securities Act and without delivery of a prospectus that satisfies the requirements of Section 10 of the Securities Act. This does not apply, however, to a holder who is our “affiliate” within the meaning of Rule 405 of the Securities Act. We also believe that a holder may offer, sell or transfer the Exchange Notes only if the holder acknowledges that the holder is acquiring the Exchange Notes in the ordinary course of its business and is not participating, does not intend to participate and has no arrangement or understanding with any person to participate in a distribution of the Exchange Notes.</w:t>
      </w:r>
    </w:p>
    <w:p>
      <w:pPr>
        <w:spacing w:after="0" w:line="166"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Any holder of the Original Notes using the Exchange Offers to participate in a distribution of Exchange Notes cannot rely on the no-action letters referred to above. 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 See “Plan of Distribution”. You may not participate in the Exchange Offers if you are a broker-dealer tendering Original Notes that you acquired directly from us for your own account.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Except as set forth in this prospectus, this prospectus may not be used for an offer to resell, resale or other transfer of Exchange Notes.</w:t>
      </w:r>
    </w:p>
    <w:p>
      <w:pPr>
        <w:spacing w:after="0" w:line="225"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The Exchange Offers are not being made to, nor will we accept tenders for exchange from, holders of Original Notes in any jurisdiction in which the Exchange Offers or the acceptance of them would not be in compliance with the securities or blue sky laws of such jurisdiction.</w:t>
      </w:r>
    </w:p>
    <w:p>
      <w:pPr>
        <w:spacing w:after="0" w:line="14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Each broker-dealer that receives Exchange Notes for its own account in exchange for Original Notes, where such Original Notes were acquired by such broker-dealer as a result of market-making activities or other trading</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7" w:name="page18"/>
    <w:bookmarkEnd w:id="17"/>
    <w:p>
      <w:pPr>
        <w:spacing w:after="0" w:line="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activities, shall be deemed to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 We have agreed that, for a period of 90 days after the Expiration Date (as defined herein), we will make this prospectus available to any broker-dealer for use in connection with any such resale. See “Plan of Distribution”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Exchange Notes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not entered into any arrangement or understanding with any person to distribute the Exchange Notes to be received in the Exchange Offers and, to the best of our information and belief, each person that will participate in the Exchange Offers will acquire the Exchange Notes in its ordinary course of business and has no arrangement or understanding with any person to participate in the distribution of the Exchange Notes to be received in the Exchange Offer.</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Based upon the position of the staff of the SEC as described in previous no-action letters and subject to the immediately following sentence, we believe that Exchange Notes issued pursuant to the Exchange Offers in exchange for Original Notes may be offered for resale, resold and otherwise transferred by you without compliance with the registration and prospectus delivery provisions of the Securities Act, provided that you will be deemed to acknowledge in writing at the time of the consummation of the Exchange Offers that:</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are not a broker-dealer tendering Original Notes that you acquired directly from us for your own account;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are acquiring the Exchange Notes in the ordinary course of your business;</w:t>
      </w:r>
    </w:p>
    <w:p>
      <w:pPr>
        <w:spacing w:after="0" w:line="252"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have not participated in, do not intend to participate in, and have no arrangement or understanding with any person to participate in, a distribution of the Exchange Notes;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are not our “affiliate” as defined under Rule 405 of the Securities Act.</w:t>
      </w:r>
    </w:p>
    <w:p>
      <w:pPr>
        <w:spacing w:after="0" w:line="25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However, any purchaser of Exchange Notes who is an affiliate of ours or who intends to participate in the Exchange Offers for the purpose of distributing the Exchange Notes (i) will not be able to rely on the interpretations of the SEC staff set forth in the above-mentioned no-action letters, (ii) will not be entitled to tender its Original Notes in the Exchange Offers and (iii) must comply with the registration and prospectus delivery requirements of the Securities Act in connection with any sale or transfer of the Exchange Notes unless such sale or transfer is made pursuant to an exemption from such requirements.</w:t>
      </w:r>
    </w:p>
    <w:p>
      <w:pPr>
        <w:spacing w:after="0" w:line="1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With regard to broker-dealers, any broker-dealer who holds any Original Notes acquired for its own account as a result of market-making activities or other trading activities may participate in the Exchange Offers so long as the broker-dealer has not entered into any arrangement or understanding with us or an affiliate of ours to distribute the Exchange Notes.</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Offers</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Based on the terms and subject to the conditions of the Exchange Offers, we will accept any and all Original Notes validly tendered prior to 11:59 p.m., New York City time, on the Expiration Date for the Exchange Offers. Subject to the minimum denomination requirements of the Exchange Notes, we will issue $1,000 principal amount of Exchange Notes in exchange for each $1,000 principal amount of outstanding Original Notes validly tendered pursuant to the Exchange Offers on or before the Expiration Date and not validly withdrawn. Holders may tender some or all of the Original Notes pursuant to the Exchange Offers. However, Original Notes may be tendered only in minimum denominations of $2,000 and multiples of $1,000 thereafter. Promptly after the Expiration Date (unless extended as described in this prospectus), we will issue an aggregate principal amount of up to $2,000,000,000 of 2047 Exchange Notes for a like principal amount of outstanding 2047 Original Notes tendered and accepted in connection with the Exchange Offers, up to $1,999,999,000 of 2049 Exchange Notes for a like principal amount of outstanding 2049 Original Notes tendered and accepted in connection with the Exchange Offers and up to $1,499,967,000 of 2052 Exchange Notes for a like principal amount of outstanding 2052 Original Notes tendered and accepted in connection with the Exchange Offers. The Exchange Notes issued in connection with the Exchange Offers will be delivered promptly after the Expiration Date.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terms of the Exchange Notes will be substantially identical to the terms of the Original Notes, except that:</w:t>
      </w:r>
    </w:p>
    <w:p>
      <w:pPr>
        <w:spacing w:after="0" w:line="225" w:lineRule="exact"/>
        <w:rPr>
          <w:sz w:val="20"/>
          <w:szCs w:val="20"/>
          <w:color w:val="auto"/>
        </w:rPr>
      </w:pPr>
    </w:p>
    <w:p>
      <w:pPr>
        <w:ind w:left="660" w:right="1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offer and sale of the Exchange Notes will have been registered under the Securities Act and, therefore, the Exchange Notes will not bear legends restricting the transfer of the Exchange Notes; and</w:t>
      </w:r>
    </w:p>
    <w:p>
      <w:pPr>
        <w:spacing w:after="0" w:line="170" w:lineRule="exact"/>
        <w:rPr>
          <w:rFonts w:ascii="Arial" w:cs="Arial" w:eastAsia="Arial" w:hAnsi="Arial"/>
          <w:sz w:val="18"/>
          <w:szCs w:val="18"/>
          <w:color w:val="auto"/>
        </w:rPr>
      </w:pPr>
    </w:p>
    <w:p>
      <w:pPr>
        <w:ind w:left="660" w:right="50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holders of the Exchange Notes will not be entitled to any rights under the Registration Rights Agreement, which rights will terminate upon the consummation of the Exchange Offers, or to the additional interest provisions of the Registration Rights Agreement.</w:t>
      </w:r>
    </w:p>
    <w:p>
      <w:pPr>
        <w:spacing w:after="0" w:line="147"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The Exchange Notes will evidence the same debt as the Original Notes and will be issued under the same indenture and be entitled to the same benefits under that indenture as the Original Notes being exchanged. As of the date of this prospectus, $5,499,966,000 in aggregate principal amount of the Original Notes is outstanding.</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connection with the issuance of the Original Notes, we arranged for the Original Notes purchased by qualified institutional buyers and those sold in reliance on Regulation S under the Securities Act to be issued and transferable in book-entry form through the facilities of DTC, acting as depositary. Except as described under “Description of Exchange Notes — Book-Entry System”, Exchange Notes will be issued in the form of one or more global notes registered in the name of DTC or its nominee and each beneficial owner’s interest in it will be transferable in book-entry form through DTC. See “Description of Exchange Notes — Book-Entry System”.</w:t>
      </w:r>
    </w:p>
    <w:p>
      <w:pPr>
        <w:spacing w:after="0" w:line="188"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Holders of Original Notes do not have any appraisal or dissenters’ rights in connection with the Exchange Offers. Original Notes that are not tendered for exchange or are tendered but not accepted in connection with the Exchange Offers will remain outstanding and be entitled to the benefits of our Indenture (as</w:t>
      </w:r>
    </w:p>
    <w:p>
      <w:pPr>
        <w:sectPr>
          <w:pgSz w:w="11900" w:h="16867" w:orient="portrait"/>
          <w:cols w:equalWidth="0" w:num="1">
            <w:col w:w="11420"/>
          </w:cols>
          <w:pgMar w:left="240" w:top="476" w:right="239" w:bottom="0" w:gutter="0" w:footer="0" w:header="0"/>
        </w:sectPr>
      </w:pPr>
    </w:p>
    <w:bookmarkStart w:id="18" w:name="page19"/>
    <w:bookmarkEnd w:id="18"/>
    <w:p>
      <w:pPr>
        <w:ind w:right="240"/>
        <w:spacing w:after="0" w:line="264" w:lineRule="auto"/>
        <w:rPr>
          <w:sz w:val="20"/>
          <w:szCs w:val="20"/>
          <w:color w:val="auto"/>
        </w:rPr>
      </w:pPr>
      <w:r>
        <w:rPr>
          <w:rFonts w:ascii="Arial" w:cs="Arial" w:eastAsia="Arial" w:hAnsi="Arial"/>
          <w:sz w:val="18"/>
          <w:szCs w:val="18"/>
          <w:color w:val="auto"/>
        </w:rPr>
        <w:t>defined below), but certain registration and other rights under the Registration Rights Agreement will terminate and holders of the Original Notes will generally not be entitled to any registration rights under the Registration Rights Agreement. See “— Consequences of Failure to Properly Tender Original Notes in the Exchange Offers”.</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shall be considered to have accepted validly tendered Original Notes if and when we have given oral (to be followed by prompt written notice) or written notice to the Exchange Agent. The Exchange Agent will act as agent for the tendering holders for the purposes of receiving the Exchange Notes from us.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9" w:name="page20"/>
    <w:bookmarkEnd w:id="19"/>
    <w:p>
      <w:pPr>
        <w:ind w:right="440" w:firstLine="324"/>
        <w:spacing w:after="0" w:line="264" w:lineRule="auto"/>
        <w:rPr>
          <w:sz w:val="20"/>
          <w:szCs w:val="20"/>
          <w:color w:val="auto"/>
        </w:rPr>
      </w:pPr>
      <w:r>
        <w:rPr>
          <w:rFonts w:ascii="Arial" w:cs="Arial" w:eastAsia="Arial" w:hAnsi="Arial"/>
          <w:sz w:val="18"/>
          <w:szCs w:val="18"/>
          <w:color w:val="auto"/>
        </w:rPr>
        <w:t>If any tendered Original Notes are not accepted for exchange because of an invalid tender, the occurrence of certain other events described in this prospectus or otherwise, we will return the Original Notes, without expense, to the tendering holder promptly after the Expiration Date for the Exchange Offers.</w:t>
      </w:r>
    </w:p>
    <w:p>
      <w:pPr>
        <w:spacing w:after="0" w:line="18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Holders who tender Original Notes will not be required to pay brokerage commissions or fees or transfer taxes on exchange of Original Notes in connection with the Exchange Offers, except as described under “—Fees and Expenses” and “—Transfer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 Extension; Termination; Amendment</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Exchange Offers will remain open for at least 20 full business days. The Expiration Date for the Exchange Offers is 11:59 p.m., New York City time, on December 14, 2017, unless extended by us in our sole discretion, in which case the term “Expiration Date” shall mean the latest date and time to which the Exchange Offers are extended with respect to either or both series of Exchange Notes.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Subject to applicable law, we reserve the right, in our sole discretion:</w:t>
      </w:r>
    </w:p>
    <w:p>
      <w:pPr>
        <w:spacing w:after="0" w:line="225" w:lineRule="exact"/>
        <w:rPr>
          <w:sz w:val="20"/>
          <w:szCs w:val="20"/>
          <w:color w:val="auto"/>
        </w:rPr>
      </w:pPr>
    </w:p>
    <w:p>
      <w:pPr>
        <w:ind w:left="660" w:right="1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delay accepting any Original Notes, to extend any Exchange Offer or to terminate any Exchange Offer if, in our reasonable judgment, any of the conditions described below shall not have been satisfied, by giving oral (to be followed by prompt written notice) or written notice of the delay, extension or termination to the Exchange Agent; or</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amend the terms of any Exchange Offer in any manner.</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If we amend any Exchange Offer in a manner that we consider material, we will disclose such amendment by means of a prospectus supplement, and we will extend such Exchange Offer for a period of five to ten business days. No Exchange Offer is conditioned upon the other Exchange Offers, and we may terminate any Exchange Offer without terminating the other Exchange Offers.</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If we determine to extend, amend or terminate any Exchange Offer, we will publicly announce this determination by making a timely release through an appropriate news agency.</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If we delay accepting any Original Notes or terminate any Exchange Offer, we promptly will pay the consideration offered, or return any Original Notes deposited, pursuant to the Exchange Offers as required by Rule 14e-1(c).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the Exchange Notes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2047 Exchange Notes will bear interest at the rate of 3.969% per annum, the 2049 Exchange Notes will bear interest at the rate of 3.999% per annum and the 2052 Exchange Notes will bear interest at the rate of 4.049% per annum, each from the date of original issuance of the Original Notes (October 19, 2017) or from the most recent date on which interest on the Original Notes has been paid, whichever is later. Interest will be payable semiannually in arrears on May 1 and November 1 of each year, commencing on May 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Offers</w:t>
      </w:r>
    </w:p>
    <w:p>
      <w:pPr>
        <w:spacing w:after="0" w:line="229"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Notwithstanding any other provisions of the Exchange Offers, or any extension of the Exchange Offers, we will not be required to accept for exchange, or to exchange any Exchange Notes for, any Original Notes and we may terminate any Exchange Offer or, at our option, modify, extend or otherwise amend any Exchange Offer, if any of the following conditions are not satisfied at or prior to the Expiration Date:</w:t>
      </w:r>
    </w:p>
    <w:p>
      <w:pPr>
        <w:spacing w:after="0" w:line="181" w:lineRule="exact"/>
        <w:rPr>
          <w:sz w:val="20"/>
          <w:szCs w:val="20"/>
          <w:color w:val="auto"/>
        </w:rPr>
      </w:pPr>
    </w:p>
    <w:p>
      <w:pPr>
        <w:ind w:left="1300" w:hanging="644"/>
        <w:spacing w:after="0" w:line="276"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our reasonable judgment, no action or event has occurred or been threatened (including a default under an agreement, indenture or other instrument or obligation to which we or one of our affiliates is a party or by which we or on of our affiliates is bound), no action is pending, no action has been taken, and no statute, rule, regulation, judgment, order, stay, decree or injunction has been promulgated, enacted, entered, enforced or deemed applicable to the Exchange Offers or the exchange of Original Notes for Exchange Notes under the Exchange Offers by or before any court or governmental regulatory or administrative agency, authority, or tribunal, which either:</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0" w:name="page21"/>
    <w:bookmarkEnd w:id="20"/>
    <w:p>
      <w:pPr>
        <w:ind w:left="1620" w:right="200" w:hanging="315"/>
        <w:spacing w:after="0" w:line="312" w:lineRule="auto"/>
        <w:tabs>
          <w:tab w:leader="none" w:pos="16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challenges the making of the Exchange Offers or the exchange of Original Notes for Exchange Notes under the Exchange Offers or might, directly or indirectly, prohibit, prevent, restrict or delay consummation of, or might otherwise adversely affect in any material manner, the Exchange Offers or the exchange of Original Notes for Exchange Notes under the Exchange Offers; or</w:t>
      </w:r>
    </w:p>
    <w:p>
      <w:pPr>
        <w:spacing w:after="0" w:line="146" w:lineRule="exact"/>
        <w:rPr>
          <w:rFonts w:ascii="Arial" w:cs="Arial" w:eastAsia="Arial" w:hAnsi="Arial"/>
          <w:sz w:val="16"/>
          <w:szCs w:val="16"/>
          <w:color w:val="auto"/>
        </w:rPr>
      </w:pPr>
    </w:p>
    <w:p>
      <w:pPr>
        <w:ind w:left="1620" w:right="340" w:hanging="315"/>
        <w:spacing w:after="0" w:line="312" w:lineRule="auto"/>
        <w:tabs>
          <w:tab w:leader="none" w:pos="16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in our reasonable judgment, could materially affect the business, condition (financial or otherwise), income, operations, properties, assets, liabilities or prospects of Comcast and its subsidiaries, taken as a whole, or materially impair the contemplated benefits to Comcast of the Exchange Offers or the exchange of Original Notes for Exchange Notes under the Exchange Offers;</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 of the following has occurred:</w:t>
      </w:r>
    </w:p>
    <w:p>
      <w:pPr>
        <w:spacing w:after="0" w:line="225" w:lineRule="exact"/>
        <w:rPr>
          <w:rFonts w:ascii="Arial" w:cs="Arial" w:eastAsia="Arial" w:hAnsi="Arial"/>
          <w:sz w:val="18"/>
          <w:szCs w:val="18"/>
          <w:color w:val="auto"/>
        </w:rPr>
      </w:pPr>
    </w:p>
    <w:p>
      <w:pPr>
        <w:ind w:left="1620" w:right="180" w:hanging="315"/>
        <w:spacing w:after="0" w:line="342" w:lineRule="auto"/>
        <w:tabs>
          <w:tab w:leader="none" w:pos="16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SEC has issued a stop order which would suspend the effectiveness of the registration statement of which this prospectus forms a part or the qualification of the applicable indenture governing the Exchange Notes under the Trust Indenture Act of 1939;</w:t>
      </w:r>
    </w:p>
    <w:p>
      <w:pPr>
        <w:spacing w:after="0" w:line="123" w:lineRule="exact"/>
        <w:rPr>
          <w:rFonts w:ascii="Arial" w:cs="Arial" w:eastAsia="Arial" w:hAnsi="Arial"/>
          <w:sz w:val="16"/>
          <w:szCs w:val="16"/>
          <w:color w:val="auto"/>
        </w:rPr>
      </w:pPr>
    </w:p>
    <w:p>
      <w:pPr>
        <w:ind w:left="1620" w:right="200" w:hanging="315"/>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general suspension of, or limitation on, trading in securities on any United States national securities exchanges or in the over the counter market (whether or not mandatory);</w:t>
      </w:r>
    </w:p>
    <w:p>
      <w:pPr>
        <w:spacing w:after="0" w:line="170" w:lineRule="exact"/>
        <w:rPr>
          <w:rFonts w:ascii="Arial" w:cs="Arial" w:eastAsia="Arial" w:hAnsi="Arial"/>
          <w:sz w:val="18"/>
          <w:szCs w:val="18"/>
          <w:color w:val="auto"/>
        </w:rPr>
      </w:pPr>
    </w:p>
    <w:p>
      <w:pPr>
        <w:ind w:left="1620" w:right="200" w:hanging="315"/>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declaration of a banking moratorium or any suspension of payments in respect of banks by federal or state authorities in the United States (whether or not mandatory);</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material adverse change in the United States’ securities or financial markets generally; or</w:t>
      </w:r>
    </w:p>
    <w:p>
      <w:pPr>
        <w:spacing w:after="0" w:line="225" w:lineRule="exact"/>
        <w:rPr>
          <w:rFonts w:ascii="Arial" w:cs="Arial" w:eastAsia="Arial" w:hAnsi="Arial"/>
          <w:sz w:val="18"/>
          <w:szCs w:val="18"/>
          <w:color w:val="auto"/>
        </w:rPr>
      </w:pPr>
    </w:p>
    <w:p>
      <w:pPr>
        <w:ind w:left="1620" w:right="600" w:hanging="315"/>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the case of any of the foregoing existing at the time of the commencement of the Exchange Offers, a material acceleration or worsening thereof; and</w:t>
      </w:r>
    </w:p>
    <w:p>
      <w:pPr>
        <w:spacing w:after="0" w:line="170" w:lineRule="exact"/>
        <w:rPr>
          <w:rFonts w:ascii="Arial" w:cs="Arial" w:eastAsia="Arial" w:hAnsi="Arial"/>
          <w:sz w:val="18"/>
          <w:szCs w:val="18"/>
          <w:color w:val="auto"/>
        </w:rPr>
      </w:pPr>
    </w:p>
    <w:p>
      <w:pPr>
        <w:ind w:left="1300" w:right="40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Trustee (as defined below) under our Indenture has not objected in any respect to, or taken any action that could in our reasonable judgment adversely affect the consummation of, any of the Exchange Offers, nor has the Trustee taken any action that challenges the validity or effectiveness of the procedures used by us in making the Exchange Offers.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expressly reserve the right to amend or terminate any Exchange Offer and to reject for exchange any Original Notes not previously accepted for exchange, upon the occurrence of any of the conditions of the Exchange Offers specified above. We will give oral or written notice (with any oral notice to be promptly confirmed in writing) of any amendment, non-acceptance, termination or waiver to the Exchange Agent as promptly as practicable, followed by a timely press release.</w:t>
      </w:r>
    </w:p>
    <w:p>
      <w:pPr>
        <w:spacing w:after="0" w:line="187"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These conditions are for our sole benefit, and except as set forth below, may be waived by us, in whole or in part in our sole discretion. Any determination made by us concerning these events, developments or circumstances shall be conclusive and binding. We may, at our option and in our sole discretion, waive any such conditions except for the condition that the registration statement of which this prospectus forms a part is not subject to a stop order or any proceedings for that purpose.</w:t>
      </w:r>
    </w:p>
    <w:p>
      <w:pPr>
        <w:spacing w:after="0" w:line="18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All conditions to the Exchange Offers must be satisfied or, where permitted, waived, at or by the Expiration Date. In addition, we may in our absolute discretion, subject to applicable law, terminate any Exchange Offer for any other reason.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any of the foregoing conditions are not satisfied, we may, at any time at or prior to the Expiration Date:</w:t>
      </w:r>
    </w:p>
    <w:p>
      <w:pPr>
        <w:spacing w:after="0" w:line="225" w:lineRule="exact"/>
        <w:rPr>
          <w:sz w:val="20"/>
          <w:szCs w:val="20"/>
          <w:color w:val="auto"/>
        </w:rPr>
      </w:pPr>
    </w:p>
    <w:p>
      <w:pPr>
        <w:ind w:left="660" w:right="5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terminate any Exchange Offer and promptly return all tendered Original Notes with respect to that Exchange Offer to the respective tendering holders;</w:t>
      </w:r>
    </w:p>
    <w:p>
      <w:pPr>
        <w:spacing w:after="0" w:line="170"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modify, extend or otherwise amend any Exchange Offer and retain all tendered Original Notes with respect to that Exchange Offer until the Expiration Date, as extended, subject, however, to the withdrawal rights of holders;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21" w:name="page22"/>
    <w:bookmarkEnd w:id="21"/>
    <w:p>
      <w:pPr>
        <w:ind w:left="660" w:right="8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waive the unsatisfied conditions, except for the condition that the registration statement of which this prospectus forms a part is not subject to a stop order or any proceedings for that purpose, with respect to any Exchange Offer and accept all Original Notes tendered and not previously validly withdrawn.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Tender</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Any tender by a holder, and our subsequent acceptance of that tender, of Original Notes will constitute a binding agreement between that holder and us upon the terms and subject to the conditions of the Exchange Offers described in this prospectus. The participation in the Exchange Offers by a tendering holder of Original Notes will constitute the agreement by that holder to deliver good and marketable title to the tendered Original Notes, free and clear of any and all liens, restrictions, charges, pledges, security interests, encumbrances or rights of any kind of third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Absence of Dissenters’ Rights of Appraisal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Holders of the Original Notes do not have any dissenters’ rights of appraisal in connection with the Exchange Offers.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Original Notes</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If you hold Original Notes and wish to have those notes exchanged for Exchange Notes, you must validly tender (or cause the valid tender of) your Original Notes using the procedures described in this prospectus.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procedures by which you may tender or cause to be tendered Original Notes will depend upon the manner in which you hold the Original Notes, as described below.</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you are a beneficial owner which holds Original Notes through Euroclear or Clearstream Luxembourg and wish to tender your Original Notes, you must instruct Euroclear or Clearstream Luxembourg, as the case may be, to block the account in respect of the tendered Original Notes in accordance with the procedures established by Euroclear or Clearstream Luxembourg. You are encouraged to contact Euroclear and Clearstream Luxembourg directly to ascertain their procedure for tendering Original Notes.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Original Notes Held with DTC by a DTC Participant</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Pursuant to authority granted by DTC, if you are a DTC participant that has Original Notes credited to your DTC account and thereby held of record by DTC’s nominee, you may directly tender your Original Notes as if you were the record holder. Accordingly, references herein to record holders include DTC participants with Original Notes credited to their accounts. Within two business days after the date of this prospectus, the Exchange Agent will establish accounts with respect to the Original Notes at DTC for purposes of the Exchange Offers.</w:t>
      </w:r>
    </w:p>
    <w:p>
      <w:pPr>
        <w:spacing w:after="0" w:line="18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Tenders of Original Notes will be accepted only in minimum denominations of $2,000 and multiples of $1,000 thereafter. No alternative, conditional or contingent tenders will be accepted. Holders who tender less than all of their Original Notes must continue to hold Original Notes in at least the minimum authorized denomination of $2,000 principal amount.</w:t>
      </w:r>
    </w:p>
    <w:p>
      <w:pPr>
        <w:spacing w:after="0" w:line="181"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Any DTC participant may tender Original Notes by effecting a book-entry transfer of the Original Notes to be tendered in the Exchange Offers into the account of the Exchange Agent at DTC and electronically transmitting its acceptance of the Exchange Offers through DTC’s ATOP procedures for transfer before the Expiration Date of the Exchange Offers. No letter of transmittal will be used in connection with the Exchange Offers. The valid electronic transmission of acceptance through ATOP shall constitute delivery of Original Notes in connection with the Exchange Offers.</w:t>
      </w:r>
    </w:p>
    <w:p>
      <w:pPr>
        <w:spacing w:after="0" w:line="15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DTC will verify each acceptance transmitted to it, execute a book-entry delivery to the Exchange Agent’s account at DTC and send an agent’s message to the Exchange Agent. An “agent’s message” is a message, transmitted by DTC to and received by the Exchange Agent and forming part of a book-entry confirmation, which states that DTC has received an express acknowledgement from a DTC participant tendering Original Notes that the participant has received and agrees to be bound by the terms of the Exchange Offers and that Comcast may enforce the agreement against the participant. DTC participants following this procedure should allow sufficient time for completion of the ATOP procedures prior to the Expiration Date of the Exchange Offers.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2" w:name="page23"/>
    <w:bookmarkEnd w:id="22"/>
    <w:p>
      <w:pPr>
        <w:ind w:right="220" w:firstLine="324"/>
        <w:spacing w:after="0" w:line="264" w:lineRule="auto"/>
        <w:rPr>
          <w:sz w:val="20"/>
          <w:szCs w:val="20"/>
          <w:color w:val="auto"/>
        </w:rPr>
      </w:pPr>
      <w:r>
        <w:rPr>
          <w:rFonts w:ascii="Arial" w:cs="Arial" w:eastAsia="Arial" w:hAnsi="Arial"/>
          <w:sz w:val="18"/>
          <w:szCs w:val="18"/>
          <w:color w:val="auto"/>
        </w:rPr>
        <w:t>An agent’s message, and any other required documents, must be transmitted to and received by the Exchange Agent prior to the Expiration Date of the Exchange Offers at one of its addresses set forth on the back cover page of this prospectus. Delivery of these documents to Comcast or DTC does not constitute delivery to the Exchange Agent.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Original Notes Held Through a Nominee by a Beneficial Owner</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Currently, all of the Original Notes are held in book-entry form and can only be tendered by following the procedures described under “— Procedures for Tendering Original Notes — Original Notes Held with DTC by a DTC Participant”. However, any beneficial owner whose Original Notes are registered in the name of a broker, dealer, commercial bank, trust company or other nominee and who wishes to tender should contact the registered holder promptly and instruct it to tender on the owner’s behalf if it wishes to participate in the Exchange Offers. You should keep in mind that your intermediary may require you to take action with respect to the Exchange Offers a number of days before the Expiration Date in order for such entity to tender Original Notes on your behalf at or prior to the Expiration Date in accordance with the terms of the Exchange Offers.</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Beneficial owners should be aware that their broker, dealer, commercial bank, trust company or other nominee may establish its own earlier deadlines for participation in the Exchange Offers. Accordingly, beneficial owners wishing to participate in the Exchange Offers should contact their broker, dealer, commercial bank, trust company or other nominee as soon as possible in order to determine the times by which such owner must take action in order to participate in the Exchange Offers.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Warranties, Acknowledgements and Undertakings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By tendering Original Notes through the submission of an electronic acceptance instruction in accordance with the requirements of ATOP, a tendering holder of Original Notes:</w:t>
      </w:r>
    </w:p>
    <w:p>
      <w:pPr>
        <w:spacing w:after="0" w:line="170" w:lineRule="exact"/>
        <w:rPr>
          <w:sz w:val="20"/>
          <w:szCs w:val="20"/>
          <w:color w:val="auto"/>
        </w:rPr>
      </w:pPr>
    </w:p>
    <w:p>
      <w:pPr>
        <w:ind w:left="660" w:right="2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acknowledges receipt of this prospectus (as it may be amended or supplemented from time to time), and agrees to all of the terms of the Exchange Offers;</w:t>
      </w:r>
    </w:p>
    <w:p>
      <w:pPr>
        <w:spacing w:after="0" w:line="17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understands, acknowledges and agrees that tenders of Original Notes pursuant to the Exchange Offers will, upon Comcast’s acceptance for exchange of such tendered Original Notes, constitute a binding agreement between such holder and Comcast upon the terms and subject to the conditions of the Exchange Offers;</w:t>
      </w:r>
    </w:p>
    <w:p>
      <w:pPr>
        <w:spacing w:after="0" w:line="181"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irrevocably constitutes and appoints the Exchange Agent the true and lawful agent and attorney-in-fact of the holder with respect to any tendered Original Notes (with full knowledge that the Exchange Agent also acts as the agent of Comcast and an affiliate of the Exchange Agent acts as Trustee under the Indenture), with full powers of substitution and revocation (such power of attorney being deemed to be an irrevocable power coupled with an interest) to (a) transfer ownership of such Original Notes on the account books maintained by DTC with all accompanying evidences of transfer and authenticity to, or upon the order of, Comcast and (2) present such Original Notes for transfer on the books of Comcast and receive all benefits and otherwise exercise all rights of beneficial ownership of such Original Notes, all in accordance with the terms of the Exchange Offers;</w:t>
      </w:r>
    </w:p>
    <w:p>
      <w:pPr>
        <w:spacing w:after="0" w:line="189"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and warrants that such holder has full power and authority to tender, sell, assign and transfer the Original Notes tendered thereby and that Comcast will acquire good and unencumbered title thereto, free and clear of all liens, restrictions, charges and encumbrances and not subject to any adverse claim when the same are accepted by Comcast;</w:t>
      </w:r>
    </w:p>
    <w:p>
      <w:pPr>
        <w:spacing w:after="0" w:line="181"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and agrees that such holder is not an “affiliate” of Comcast or the guarantors, any Exchange Notes to be received by such holder are being acquired in the ordinary course of its business and such holder has no arrangement or understanding with any person to participate, and is not engaged and does not intend to engage, in a distribution (within the meaning of the Securities Act) of such Exchange Notes;</w:t>
      </w:r>
    </w:p>
    <w:p>
      <w:pPr>
        <w:spacing w:after="0" w:line="165" w:lineRule="exact"/>
        <w:rPr>
          <w:rFonts w:ascii="Arial" w:cs="Arial" w:eastAsia="Arial" w:hAnsi="Arial"/>
          <w:sz w:val="17"/>
          <w:szCs w:val="17"/>
          <w:color w:val="auto"/>
        </w:rPr>
      </w:pPr>
    </w:p>
    <w:p>
      <w:pPr>
        <w:ind w:left="660" w:right="140" w:hanging="328"/>
        <w:spacing w:after="0" w:line="27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such holder is a broker-dealer that will receive Exchange Notes for its own account in exchange for Original Notes, it represents that the Original Notes to be exchanged for Exchange Notes were acquired by it as a result of market-making activities or other trading activities and acknowledges that it will deliver a prospectus in connection with any resale of such Exchange Notes; however, by so acknowledging and by delivering a prospectus, such holder will not be deemed to admit that it is an “underwriter” within the meaning of the Securities Act;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3" w:name="page24"/>
    <w:bookmarkEnd w:id="23"/>
    <w:p>
      <w:pPr>
        <w:ind w:left="660" w:right="1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undertakes, upon request, to execute and deliver any additional documents deemed by Comcast or the Exchange Agent to be necessary or desirable to complete the exchange, assignment and transfer of the Original Notes tendered thereby;</w:t>
      </w:r>
    </w:p>
    <w:p>
      <w:pPr>
        <w:spacing w:after="0" w:line="170"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understands, acknowledges and agrees that all authority herein conferred or agreed to be conferred through the submission of an electronic acceptance instruction in accordance with the requirements of ATOP shall survive the death or incapacity of such holder and any obligation of such holder hereunder shall be binding upon the heirs, executors, administrators, personal representatives, trustees in bankruptcy, legal representatives successors and assigns of such holder;</w:t>
      </w:r>
    </w:p>
    <w:p>
      <w:pPr>
        <w:spacing w:after="0" w:line="186"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understands, acknowledges and agrees that for purposes of the Exchange Offers, Comcast shall be deemed to have accepted validly tendered Original Notes when and if Comcast has given oral or written notice thereof to the Exchange Agent;</w:t>
      </w:r>
    </w:p>
    <w:p>
      <w:pPr>
        <w:spacing w:after="0" w:line="170"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understands, acknowledges and agrees that, subject to, and effective upon, the acceptance for exchange of the Original Notes tendered thereby, such holder thereby sells, assigns and transfers to, or upon the order of, Comcast, all right, title and interest in and to such Original Notes as are being tendered thereby upon the terms and subject to the conditions set forth in this prospectus (as the same may be amended or supplemented from time to time); and</w:t>
      </w:r>
    </w:p>
    <w:p>
      <w:pPr>
        <w:spacing w:after="0" w:line="186"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understands, acknowledges and agrees that, except as stated in this prospectus in connection with a valid withdrawal, the tender of such holders Original Notes is irrevocable.</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Comcast has agreed that, subject to the provisions of the Registration Rights Agreement, dated as of October 19, 2017, the prospectus, as it may be amended or supplemented from time to time, may be used by a broker-dealer who acquired the Original Notes for its own account as a result of market making or other trading activities (a “participating broker-dealer”) in connection with resales of Exchange Notes received in exchange for Original Notes, where such Original Notes were acquired by such participating broker-dealer for its own account as a result of market-making activities or other trading activities, for a period ending 90 days after the Expiration Date or, if earlier, when all such Exchange Notes have been disposed of by such participating broker-dealer. In that regard, each participating broker-dealer, by tendering such Original Notes through the submission of an electronic acceptance instruction in accordance with the requirements of ATOP, agrees that, upon receipt of notice from Comcast of the occurrence of any event or the discovery of any fact which makes any statement contained or incorporated by reference in the prospectus untrue in any material respect or which causes the prospectus to omit to state a material fact necessary in order to make the statements contained or incorporated by reference therein, in light of the circumstances under which they were made, not misleading, or of the occurrence of certain other events specified in the Registration Rights Agreement, such participating broker-dealer will suspend the sale of Exchange Notes pursuant to the prospectus until Comcast has amended or supplemented the prospectus to correct such misstatement or omission and has furnished copies of the amended or supplemented prospectus to the participating broker-dealer or Comcast has given notice that the sale of the Exchange Notes may be resumed, as the case may be. If Comcast gives such notice to suspend the sale of the Exchange Notes, it shall extend the 90-day period referred to above during which participating broker-dealers are entitled to use the prospectus in connection with the resale of Exchange Notes by the number of days during the period from and including the date of the giving of such notice to and including the date when participating broker-dealers shall have received copies of the supplemented or amended prospectus necessary to permit resales of the Exchange Notes or to and including the date on which Comcast has given notice that the sale of Exchange Notes may be resumed, as the case may be.</w:t>
      </w:r>
    </w:p>
    <w:p>
      <w:pPr>
        <w:spacing w:after="0" w:line="17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By tendering Original Notes through the submission of an electronic acceptance instruction in accordance with the requirements of ATOP, a tendering holder of Original Notes also acknowledges that the Exchange Offers are being made by Comcast based upon Comcast’s understanding of an interpretation by the staff of the SEC as set forth in no-action letters issued to third parties, that the Exchange Notes issued in exchange for the Original Notes pursuant to the Exchange Offers may be offered for resale, resold and otherwise transferred by holders thereof, without compliance with the registration and prospectus delivery provisions of the Securities Act, provided that: (1) such holders are not affiliates of Comcast or the guarantors within the meaning of Rule 405 under the Securities Act; (2) such Exchange Notes are acquired in the ordinary course of such holders’ business; (3) such holders are not engaged in, and do not intend to engage in, a distribution of such Exchange Notes and have no arrangement or understanding with any person to participate in the distribution of such Exchange Notes and (4) such holders are not broker-dealers tendering Original Notes that have been acquired from Comcast for their own account. However, the staff of the SEC has not considered the Exchange Offers in the context of a no-action letter, and there can be no assurance that the staff of the SEC would make a similar determination with respect to the Exchange Offers as in other circumstances. If a holder of Original Notes is an affiliate of Comcast or the guarantors, acquires the Exchange Notes other than in the ordinary course of such holder’s business or is engaged in or intends to engage in a distribution of the Exchange Notes or has any arrangement or understanding with respect to the distribution of the Exchange Notes to be acquired pursuant to the Exchange Offers, such holder could not rely on the applicable interpretations of the staff of the SEC and must comply with the registration and prospectus delivery requirements of the Securities Act in connection with any secondary resale transaction.</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ind w:right="320" w:firstLine="324"/>
        <w:spacing w:after="0" w:line="264" w:lineRule="auto"/>
        <w:rPr>
          <w:sz w:val="20"/>
          <w:szCs w:val="20"/>
          <w:color w:val="auto"/>
        </w:rPr>
      </w:pPr>
      <w:r>
        <w:rPr>
          <w:rFonts w:ascii="Arial" w:cs="Arial" w:eastAsia="Arial" w:hAnsi="Arial"/>
          <w:sz w:val="18"/>
          <w:szCs w:val="18"/>
          <w:color w:val="auto"/>
        </w:rPr>
        <w:t>No alternative, conditional, irregular or contingent tenders will be accepted. By tendering Original Notes through the submission of an electronic acceptance instruction in accordance with the requirements of ATOP, the tendering holders of Original Notes waive any right to receive any notice of the acceptance for exchange of their Original Notes.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Miscellaneous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All questions as to the validity, form, eligibility, including time of receipt, and acceptance and withdrawal of tendered Original Notes will be determined by us in our absolute discretion, which determination will be final and binding. We reserve the absolute right to reject any and all tendered Original Notes determined by us not to be in proper form or not to be tendered properly or any tendered Original Notes our acceptance of which would, in the opinion of our counsel, be unlawful. We also reserve the right to waive, in our absolute discretion, any defects, irregularities or conditions of tender as to particular Original Notes, whether or not waived in the case of other Original Notes. Our interpretation of the terms and conditions of the Exchange Offers will be final and binding on all parties.</w:t>
      </w:r>
    </w:p>
    <w:p>
      <w:pPr>
        <w:spacing w:after="0" w:line="19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Unless waived, any defects or irregularities in connection with tenders of Original Notes must be cured within the time we determine. Although we intend to notify holders of defects or irregularities with respect to tenders of Original Notes, none of we, the Exchange Agent or any other person will be under any duty to give that notification or shall incur any liability for failure to give that notification. Tenders of Original Notes will not be deemed to have been made until any defects or irregularities therein have been cured or waived.</w:t>
      </w:r>
    </w:p>
    <w:p>
      <w:pPr>
        <w:spacing w:after="0" w:line="18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 addition, we reserve the right, as set forth above under the caption “— Conditions to the Exchange Offers”, to terminate any Exchange Offer. By tendering, each holder represents and acknowledges to us, among other things, that:</w:t>
      </w:r>
    </w:p>
    <w:p>
      <w:pPr>
        <w:spacing w:after="0" w:line="170" w:lineRule="exact"/>
        <w:rPr>
          <w:sz w:val="20"/>
          <w:szCs w:val="20"/>
          <w:color w:val="auto"/>
        </w:rPr>
      </w:pPr>
    </w:p>
    <w:p>
      <w:pPr>
        <w:ind w:left="660" w:right="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full power and authority to tender, sell, assign and transfer the Original Notes it is tendering and that we will acquire good and unencumbered title thereto, free and clear of all liens, restrictions, charges and encumbrances and not subject to any adverse claim when the same are accepted by us;</w:t>
      </w:r>
    </w:p>
    <w:p>
      <w:pPr>
        <w:spacing w:after="0" w:line="18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Exchange Notes acquired in connection with the Exchange Offers are being obtained in the ordinary course of business of the person receiving the Exchange Notes;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the time of commencement of the Exchange Offers it had no arrangement with any person to participate in a distribution of such Exchange Notes;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not an “affiliate” (as defined in Rule 405 under the Securities Act) of our company; and</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holder is a broker-dealer, it is not engaged in, and does not intend to engage in, a distribution of the Exchange Notes, and that it will receive Exchange Notes for its own account in exchange for Original Notes that were acquired by such broker-dealer as a result of market-making activities or other trading activities and that it will be required to acknowledge that it will deliver a prospectus in connection with any resale of such Exchange Notes. See “Plan of Distribution”.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92" w:right="319" w:bottom="1440" w:gutter="0" w:footer="0" w:header="0"/>
        </w:sectPr>
      </w:pPr>
    </w:p>
    <w:bookmarkStart w:id="25" w:name="page26"/>
    <w:bookmarkEnd w:id="25"/>
    <w:p>
      <w:pPr>
        <w:ind w:right="260" w:firstLine="324"/>
        <w:spacing w:after="0" w:line="266" w:lineRule="auto"/>
        <w:rPr>
          <w:sz w:val="20"/>
          <w:szCs w:val="20"/>
          <w:color w:val="auto"/>
        </w:rPr>
      </w:pPr>
      <w:r>
        <w:rPr>
          <w:rFonts w:ascii="Arial" w:cs="Arial" w:eastAsia="Arial" w:hAnsi="Arial"/>
          <w:sz w:val="18"/>
          <w:szCs w:val="18"/>
          <w:b w:val="1"/>
          <w:bCs w:val="1"/>
          <w:color w:val="auto"/>
        </w:rPr>
        <w:t>No letter of transmittal will be used in connection with the Exchange Offers. The valid electronic transmission of acceptance through ATOP shall constitute delivery of Original Notes in connection with the Exchange Offers. There are no guaranteed delivery procedures for the Exchange Offers.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Tenders of Original Notes in the Exchange Offers may be validly withdrawn at any time prior to the Expiration Date.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Beneficial owners desiring to withdraw a tender of Original Notes previously tendered through the ATOP procedures should contact the DTC participant through which they hold their Original Notes. In order to withdraw Original Notes previously tendered, a DTC participant may, prior to the Expiration Date of the Exchange Offers, withdraw its instruction previously transmitted through ATOP by withdrawing its acceptance through ATOP.</w:t>
      </w:r>
    </w:p>
    <w:p>
      <w:pPr>
        <w:spacing w:after="0" w:line="166"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Withdrawal of tenders of Original Notes may not be rescinded, and any Original Notes validly withdrawn will thereafter be deemed not to have been validly tendered for purposes of the Exchange Offers. Validly withdrawn Original Notes may, however, be re-tendered by again following one of the procedures described in “— Procedures for Tendering Original Notes” at or prior to the Expiration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Bank of New York Mellon has been appointed as Exchange Agent in connection with the Exchange Offers. Questions and requests for assistance, as well as requests for additional copies of this prospectus, should be directed to the Exchange Agent at its offices at The Bank of New York Mellon, as Exchange Agent, c/o The Bank of New York Mellon Corporation, Corporate Trust Operations — Reorganization Unit, 111 Sanders Creek Parkway, East Syracuse, NY 13057, Attention: Melissa Vollick, Telephone Number: (315) 414-3349. The Exchange Agent’s e-mail address is CT_REORG_UNIT_INQUIRIES@bnymellon.com and facsimile number is (732) 667-9408.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We will not make any payment to brokers, dealers or others soliciting acceptances of the Exchange Offers. We will pay certain other expenses to be incurred in connection with the Exchange Offers, including the fees and expenses of the Exchange Agent and certain accounting and legal fees.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You will not be obligated to pay any transfer taxes in connection with the tender of Original Notes in the Exchange Offers unless you instruct us to issue Exchange Notes, or request that Original Notes not tendered or accepted in the Exchange Offers be returned, to a person other than the tendering holder. In those cases, you will be responsible for the payment of any applicable transfer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Exchange Notes will be recorded at the same carrying value as the Original Notes as reflected in our accounting records on the date of the exchange. Accordingly, we will not recognize any gain or loss for accounting purposes upon the completion of the Exchange Offers. Payments made to other third parties will be expensed as incurred in accordance with GAAP.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Properly Tender Original Notes in the Exchange Offers</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Issuance of the Exchange Notes in exchange for the Original Notes under the Exchange Offers will be made only after timely receipt by the Exchange Agent of an agent’s message from DTC through ATOP and confirmation of book-entry transfer of such Original Notes, and all other required documents. Therefore, holders of the Original Notes desiring to tender such Original Notes in exchange for Exchange Notes should allow sufficient time to ensure timely delivery. We are under no duty to give notification of defects or irregularities of tenders of Original Notes for exchange. Original Notes that are not tendered or that are tendered but not accepted by us will, following completion of the Exchange Offers, continue to be subject to the existing restrictions upon transfer thereof under the Securities Act, and, upon completion of the Exchange Offers, certain registration rights under the Registration Rights Agreement will terminate.</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6" w:name="page27"/>
    <w:bookmarkEnd w:id="26"/>
    <w:p>
      <w:pPr>
        <w:ind w:right="200" w:firstLine="324"/>
        <w:spacing w:after="0" w:line="277" w:lineRule="auto"/>
        <w:rPr>
          <w:sz w:val="20"/>
          <w:szCs w:val="20"/>
          <w:color w:val="auto"/>
        </w:rPr>
      </w:pPr>
      <w:r>
        <w:rPr>
          <w:rFonts w:ascii="Arial" w:cs="Arial" w:eastAsia="Arial" w:hAnsi="Arial"/>
          <w:sz w:val="18"/>
          <w:szCs w:val="18"/>
          <w:color w:val="auto"/>
        </w:rPr>
        <w:t>In the event the Exchange Offers are completed, we generally will not be required to register the remaining Original Notes. Remaining Original Notes will continue to be subject to the following restrictions on transfer:</w:t>
      </w:r>
    </w:p>
    <w:p>
      <w:pPr>
        <w:spacing w:after="0" w:line="170" w:lineRule="exact"/>
        <w:rPr>
          <w:sz w:val="20"/>
          <w:szCs w:val="20"/>
          <w:color w:val="auto"/>
        </w:rPr>
      </w:pPr>
    </w:p>
    <w:p>
      <w:pPr>
        <w:ind w:left="660" w:right="2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remaining Original Notes may be resold only if registered pursuant to the Securities Act, if any exemption from registration is available, or if neither such registration nor such exemption is required by law;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remaining Original Notes will bear a legend restricting transfer in the absence of registration or an exemption.</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do not currently anticipate that we will register the remaining Original Notes under the Securities Act. To the extent that Original Notes are tendered and accepted in connection with the Exchange Offers, any trading market for remaining Original Notes could be adversely affected. See “Risk</w:t>
      </w:r>
    </w:p>
    <w:p>
      <w:pPr>
        <w:spacing w:after="0" w:line="261" w:lineRule="auto"/>
        <w:rPr>
          <w:sz w:val="20"/>
          <w:szCs w:val="20"/>
          <w:color w:val="auto"/>
        </w:rPr>
      </w:pPr>
      <w:r>
        <w:rPr>
          <w:rFonts w:ascii="Arial" w:cs="Arial" w:eastAsia="Arial" w:hAnsi="Arial"/>
          <w:sz w:val="18"/>
          <w:szCs w:val="18"/>
          <w:color w:val="auto"/>
        </w:rPr>
        <w:t>Factors — Risks Relating to Participation in the Exchange Offers — If you fail to exchange your Original Notes, they will continue to be restricted securities and may become less liquid”.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76" w:right="31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DESCRIPTION OF THE EXCHANGE NOTES AND THE GUARANTEES</w:t>
      </w:r>
    </w:p>
    <w:p>
      <w:pPr>
        <w:spacing w:after="0" w:line="22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 xml:space="preserve">The Exchange Notes will be our direct unsecured and unsubordinated obligations and will be fully and unconditionally guaranteed by Comcast Cable Communications and NBCUniversal, referred to as the guarantors, as described below. The Exchange Notes will be issued under an indenture dated as of September 18, 2013, entered into among us, the guarantors named therein and The Bank of New York Mellon, as trustee, as amended by the first supplemental indenture dated as of November 17, 2015, entered into among us, the guarantors, and The Bank of New York Mellon, as trustee (as amended, the “indenture”). The terms of the Exchange Notes include those stated in the indenture and those made part of the indenture by reference to the Trust Indenture Act of 1939, as amended. The indenture provides that we will have the ability to issue securities with terms different from those of the Exchange Notes. We also have the ability to “reopen” a series of Exchange Notes and issue additional notes of such series. Additional notes of such series will be consolidated with and form a single series with the notes then outstanding of such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additional notes are not fungible with the notes of the applicable series offered hereby for U.S. federal income tax purposes, such additional notes will have one or more separate CUSIP numbers. Copies of the indenture and the form of Exchange Notes are available from us upon request.</w:t>
      </w:r>
    </w:p>
    <w:p>
      <w:pPr>
        <w:spacing w:after="0" w:line="178"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 following is a summary of the material provisions of the indenture, the Exchange Notes and the guarantees. Because this is a summary, it may not contain all the information that is important to you. For further information, you should read the Exchange Notes and the indenture.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Exchange Notes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Exchange Notes: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will rank equally with all of our other unsecured and unsubordinated debt and will be entitled to the benefits of the guarantees described below;</w:t>
      </w:r>
    </w:p>
    <w:p>
      <w:pPr>
        <w:spacing w:after="0" w:line="236" w:lineRule="exact"/>
        <w:rPr>
          <w:rFonts w:ascii="Arial" w:cs="Arial" w:eastAsia="Arial" w:hAnsi="Arial"/>
          <w:sz w:val="17"/>
          <w:szCs w:val="17"/>
          <w:color w:val="auto"/>
        </w:rPr>
      </w:pPr>
    </w:p>
    <w:p>
      <w:pPr>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be issued in an aggregate principal amount of 2047 Exchange Notes, 2049 Exchange Notes and 2052 Exchange Notes not to exceed the aggregate principal amount of the 2047 Original Notes, 2049 Original Notes and 2052 Original Notes, respectively, validly tendered and accepted for exchange in the Exchange Offers, comprised as follows:</w:t>
      </w:r>
    </w:p>
    <w:p>
      <w:pPr>
        <w:spacing w:after="0" w:line="181" w:lineRule="exact"/>
        <w:rPr>
          <w:rFonts w:ascii="Arial" w:cs="Arial" w:eastAsia="Arial" w:hAnsi="Arial"/>
          <w:sz w:val="18"/>
          <w:szCs w:val="18"/>
          <w:color w:val="auto"/>
        </w:rPr>
      </w:pPr>
    </w:p>
    <w:p>
      <w:pPr>
        <w:ind w:left="980" w:right="20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3.969% 2047 Exchange Notes, maturing on November 1, 2047 with interest payable semiannually on each May 1 and November 1, beginning May 1, 2018, to holders of record on the preceding April 15 and October 15;</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3.999% 2049 Exchange Notes, maturing on November 1, 2049 with interest payable semiannually on each May 1 and November 1, beginning May 1, 2018, to holders of record on the preceding April 15 and October 15; and</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4.049% 2052 Exchange Notes, maturing on November 1, 2052 with interest payable semiannually on each May 1 and November 1, beginning May 1, 2018, to holders of record on the preceding April 15 and October 15;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multiples of $1,000 in excess thereof.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Interest for the Exchange Notes will be computed on the basis of a 360-day year consisting of twelve 30-day months. Interest on the Exchange Notes will accrue from the date of original issuance (October 19, 2017) or from the most recent interest payment date to which interest has been paid and will be payable semiannually on interest payment dates described of each year.</w:t>
      </w:r>
    </w:p>
    <w:p>
      <w:pPr>
        <w:spacing w:after="0" w:line="18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payment and transfer procedures for the Exchange Notes, see “—Book-Entry System”.</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obligations under the Exchange Notes and the indenture, including, without limitation the payment of principal, premium, if any, and interest, will be fully and unconditionally guaranteed by each of the guarantors. The guarantees will rank equally with all other general unsecured and unsubordinated obligations of the guarantors.</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guarantees will not contain any restrictions on the ability of any of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will have the right at our option to redeem any of the Exchange Notes of each series in whole or in part, at any time or from time to time prior to their maturity, on at least 15 days, but not more than 60 days, prior notice mailed to the registered address of each holder of Exchange Notes, at the applicable Redemption Price.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“Redemption Price” means:</w:t>
      </w:r>
    </w:p>
    <w:p>
      <w:pPr>
        <w:spacing w:after="0" w:line="225" w:lineRule="exact"/>
        <w:rPr>
          <w:sz w:val="20"/>
          <w:szCs w:val="20"/>
          <w:color w:val="auto"/>
        </w:rPr>
      </w:pPr>
    </w:p>
    <w:p>
      <w:pPr>
        <w:ind w:right="100" w:firstLine="332"/>
        <w:spacing w:after="0" w:line="255" w:lineRule="auto"/>
        <w:tabs>
          <w:tab w:leader="none" w:pos="5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the 2047 Exchange Notes, at any time prior to May 1, 2047 (six months prior to the maturity of the 2047 Exchange Notes) (the “2047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2047 Par Call Date, in each case discounted to the redemption date on a semiannual basis (assuming a 360-day year consisting of twelve 30-day months) at the Treasury Rate plus 20 basis points; provided that, if the 2047 Exchange Notes are redeemed on or after the 2047 Par Call Date, the Redemption Price will equal 100% of the principal amount of such notes;</w:t>
      </w:r>
    </w:p>
    <w:p>
      <w:pPr>
        <w:spacing w:after="0" w:line="193" w:lineRule="exact"/>
        <w:rPr>
          <w:rFonts w:ascii="Arial" w:cs="Arial" w:eastAsia="Arial" w:hAnsi="Arial"/>
          <w:sz w:val="18"/>
          <w:szCs w:val="18"/>
          <w:color w:val="auto"/>
        </w:rPr>
      </w:pPr>
    </w:p>
    <w:p>
      <w:pPr>
        <w:ind w:right="100" w:firstLine="332"/>
        <w:spacing w:after="0" w:line="255" w:lineRule="auto"/>
        <w:tabs>
          <w:tab w:leader="none" w:pos="579"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the 2049 Exchange Notes, at any time prior to May 1, 2049 (six months prior to the maturity of the 2049 Exchange Notes) (the “2049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2049 Par Call Date, in each case discounted to the redemption date on a semiannual basis (assuming a 360-day year consisting of twelve 30-day months) at the Treasury Rate plus 20 basis points; provided that, if the 2049 Exchange Notes are redeemed on or after the 2049 Par Call Date, the Redemption Price will equal 100% of the principal amount of such notes;</w:t>
      </w:r>
    </w:p>
    <w:p>
      <w:pPr>
        <w:spacing w:after="0" w:line="193" w:lineRule="exact"/>
        <w:rPr>
          <w:rFonts w:ascii="Arial" w:cs="Arial" w:eastAsia="Arial" w:hAnsi="Arial"/>
          <w:sz w:val="18"/>
          <w:szCs w:val="18"/>
          <w:color w:val="auto"/>
        </w:rPr>
      </w:pPr>
    </w:p>
    <w:p>
      <w:pPr>
        <w:ind w:right="100" w:firstLine="332"/>
        <w:spacing w:after="0" w:line="255" w:lineRule="auto"/>
        <w:tabs>
          <w:tab w:leader="none" w:pos="5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the 2052 Exchange Notes, at any time prior to May 1, 2052 (six months prior to the maturity of the 2052 Exchange Notes) (the “2052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2052 Par Call Date, in each case discounted to the redemption date on a semiannual basis (assuming a 360-day year consisting of twelve 30-day months) at the Treasury Rate plus 25 basis points; provided that, if the 2052 Exchange Notes are redeemed on or after the 2052 Par Call Date, the Redemption Price will equal 100% of the principal amount of such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to the date of redemption.</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Exchange Notes to be redeemed calculated as if the maturity date of such series of Exchange Notes were the applicable Par Call Date (the “Remaining Life”) that would be utilized, at the time of selection and in accordance with customary financial practice, in pricing new issues of corporate debt securities of comparable maturity to the Remaining Life of such Exchange Notes.</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29" w:name="page30"/>
    <w:bookmarkEnd w:id="29"/>
    <w:p>
      <w:pPr>
        <w:ind w:right="20" w:firstLine="324"/>
        <w:spacing w:after="0" w:line="264"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“Reference Treasury Dealer” means each of Credit Suisse Securities (USA) LLC, Goldman Sachs &amp; Co. LLC, Citigroup Global Markets Inc., Deutsche Bank Securities Inc.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however, that if any of the foregoing shall cease to be a primary United States government securities dealer in the United States (a “Primary Treasury Dealer”), we will substitute therefor another Primary Treasury Dealer.</w:t>
      </w:r>
    </w:p>
    <w:p>
      <w:pPr>
        <w:spacing w:after="0" w:line="1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and after the redemption date, interest will cease to accrue on the Exchange Notes or any portion of the Exchange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Exchange Notes to be redeemed on such date. If less than all of the Exchange Notes of any series are to be redeemed, the Exchange Notes to be redeemed shall be selected by lot (provided that interests in Exchange Notes represented by a Global Note will be selected for redemption by The Depository Trust Company in accordance with its standard procedures therefor). Additionally, we may at any time repurchase Exchange Notes in the open market and may hold or surrender such Exchange Notes to the trustee for cancellation.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will be no mandatory redemption prior to maturity or sinking fund payments for the Exchange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“Aggregate Debt” means, with respect to an Obligor, the sum of the following as of the date of determination:</w:t>
      </w:r>
    </w:p>
    <w:p>
      <w:pPr>
        <w:spacing w:after="0" w:line="225" w:lineRule="exact"/>
        <w:rPr>
          <w:sz w:val="20"/>
          <w:szCs w:val="20"/>
          <w:color w:val="auto"/>
        </w:rPr>
      </w:pPr>
    </w:p>
    <w:p>
      <w:pPr>
        <w:ind w:right="180" w:firstLine="332"/>
        <w:spacing w:after="0" w:line="277" w:lineRule="auto"/>
        <w:tabs>
          <w:tab w:leader="none" w:pos="5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“—Certain Covenants—Limitation on Liens Securing Indebtedness”; and</w:t>
      </w:r>
    </w:p>
    <w:p>
      <w:pPr>
        <w:spacing w:after="0" w:line="170" w:lineRule="exact"/>
        <w:rPr>
          <w:rFonts w:ascii="Arial" w:cs="Arial" w:eastAsia="Arial" w:hAnsi="Arial"/>
          <w:sz w:val="18"/>
          <w:szCs w:val="18"/>
          <w:color w:val="auto"/>
        </w:rPr>
      </w:pPr>
    </w:p>
    <w:p>
      <w:pPr>
        <w:ind w:right="400" w:firstLine="332"/>
        <w:spacing w:after="0" w:line="277" w:lineRule="auto"/>
        <w:tabs>
          <w:tab w:leader="none" w:pos="579"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“—Certain Covenants—Limitation on Sale and Leaseback Transactions.”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“Attributable Liens” means in connection with a sale and leaseback transaction of an Obligor the lesser of:</w:t>
      </w:r>
    </w:p>
    <w:p>
      <w:pPr>
        <w:spacing w:after="0" w:line="225" w:lineRule="exact"/>
        <w:rPr>
          <w:sz w:val="20"/>
          <w:szCs w:val="20"/>
          <w:color w:val="auto"/>
        </w:rPr>
      </w:pPr>
    </w:p>
    <w:p>
      <w:pPr>
        <w:ind w:right="320" w:firstLine="332"/>
        <w:spacing w:after="0" w:line="277" w:lineRule="auto"/>
        <w:tabs>
          <w:tab w:leader="none" w:pos="5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70" w:lineRule="exact"/>
        <w:rPr>
          <w:rFonts w:ascii="Arial" w:cs="Arial" w:eastAsia="Arial" w:hAnsi="Arial"/>
          <w:sz w:val="18"/>
          <w:szCs w:val="18"/>
          <w:color w:val="auto"/>
        </w:rPr>
      </w:pPr>
    </w:p>
    <w:p>
      <w:pPr>
        <w:ind w:right="300" w:firstLine="332"/>
        <w:spacing w:after="0" w:line="264" w:lineRule="auto"/>
        <w:tabs>
          <w:tab w:leader="none" w:pos="57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30" w:name="page31"/>
    <w:bookmarkEnd w:id="30"/>
    <w:p>
      <w:pPr>
        <w:ind w:right="120" w:firstLine="324"/>
        <w:spacing w:after="0" w:line="264" w:lineRule="auto"/>
        <w:rPr>
          <w:sz w:val="20"/>
          <w:szCs w:val="20"/>
          <w:color w:val="auto"/>
        </w:rPr>
      </w:pPr>
      <w:r>
        <w:rPr>
          <w:rFonts w:ascii="Arial" w:cs="Arial" w:eastAsia="Arial" w:hAnsi="Arial"/>
          <w:sz w:val="18"/>
          <w:szCs w:val="18"/>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indenture, whether entered into before or after the date of the indenture.</w:t>
      </w:r>
    </w:p>
    <w:p>
      <w:pPr>
        <w:spacing w:after="0" w:line="18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70"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indenture, for purposes of the definition of “Capital Lease” and (ii) the date of determination, for all other purposes under the indenture.</w:t>
      </w:r>
    </w:p>
    <w:p>
      <w:pPr>
        <w:spacing w:after="0" w:line="15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9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7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“Obligor” means us and the guarantors.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“Permitted Liens” means, with respect to an Obligor:</w:t>
      </w:r>
    </w:p>
    <w:p>
      <w:pPr>
        <w:spacing w:after="0" w:line="225" w:lineRule="exact"/>
        <w:rPr>
          <w:sz w:val="20"/>
          <w:szCs w:val="20"/>
          <w:color w:val="auto"/>
        </w:rPr>
      </w:pPr>
    </w:p>
    <w:p>
      <w:pPr>
        <w:ind w:right="20" w:firstLine="332"/>
        <w:spacing w:after="0" w:line="264" w:lineRule="auto"/>
        <w:tabs>
          <w:tab w:leader="none" w:pos="5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8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1" w:name="page32"/>
    <w:bookmarkEnd w:id="31"/>
    <w:p>
      <w:pPr>
        <w:ind w:left="580" w:hanging="248"/>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210" w:lineRule="exact"/>
        <w:rPr>
          <w:rFonts w:ascii="Arial" w:cs="Arial" w:eastAsia="Arial" w:hAnsi="Arial"/>
          <w:sz w:val="16"/>
          <w:szCs w:val="16"/>
          <w:color w:val="auto"/>
        </w:rPr>
      </w:pPr>
    </w:p>
    <w:p>
      <w:pPr>
        <w:ind w:right="160" w:firstLine="332"/>
        <w:spacing w:after="0" w:line="277" w:lineRule="auto"/>
        <w:tabs>
          <w:tab w:leader="none" w:pos="5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70" w:lineRule="exact"/>
        <w:rPr>
          <w:rFonts w:ascii="Arial" w:cs="Arial" w:eastAsia="Arial" w:hAnsi="Arial"/>
          <w:sz w:val="18"/>
          <w:szCs w:val="18"/>
          <w:color w:val="auto"/>
        </w:rPr>
      </w:pPr>
    </w:p>
    <w:p>
      <w:pPr>
        <w:ind w:firstLine="332"/>
        <w:spacing w:after="0" w:line="277" w:lineRule="auto"/>
        <w:tabs>
          <w:tab w:leader="none" w:pos="5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70" w:lineRule="exact"/>
        <w:rPr>
          <w:rFonts w:ascii="Arial" w:cs="Arial" w:eastAsia="Arial" w:hAnsi="Arial"/>
          <w:sz w:val="18"/>
          <w:szCs w:val="18"/>
          <w:color w:val="auto"/>
        </w:rPr>
      </w:pPr>
    </w:p>
    <w:p>
      <w:pPr>
        <w:jc w:val="both"/>
        <w:ind w:right="200" w:firstLine="332"/>
        <w:spacing w:after="0" w:line="264" w:lineRule="auto"/>
        <w:tabs>
          <w:tab w:leader="none" w:pos="5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81"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225" w:lineRule="exact"/>
        <w:rPr>
          <w:rFonts w:ascii="Arial" w:cs="Arial" w:eastAsia="Arial" w:hAnsi="Arial"/>
          <w:sz w:val="18"/>
          <w:szCs w:val="18"/>
          <w:color w:val="auto"/>
        </w:rPr>
      </w:pPr>
    </w:p>
    <w:p>
      <w:pPr>
        <w:ind w:right="20" w:firstLine="332"/>
        <w:spacing w:after="0" w:line="264" w:lineRule="auto"/>
        <w:tabs>
          <w:tab w:leader="none" w:pos="5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81" w:lineRule="exact"/>
        <w:rPr>
          <w:rFonts w:ascii="Arial" w:cs="Arial" w:eastAsia="Arial" w:hAnsi="Arial"/>
          <w:sz w:val="18"/>
          <w:szCs w:val="18"/>
          <w:color w:val="auto"/>
        </w:rPr>
      </w:pPr>
    </w:p>
    <w:p>
      <w:pPr>
        <w:ind w:right="200" w:firstLine="332"/>
        <w:spacing w:after="0" w:line="277" w:lineRule="auto"/>
        <w:tabs>
          <w:tab w:leader="none" w:pos="5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70" w:lineRule="exact"/>
        <w:rPr>
          <w:rFonts w:ascii="Arial" w:cs="Arial" w:eastAsia="Arial" w:hAnsi="Arial"/>
          <w:sz w:val="18"/>
          <w:szCs w:val="18"/>
          <w:color w:val="auto"/>
        </w:rPr>
      </w:pPr>
    </w:p>
    <w:p>
      <w:pPr>
        <w:ind w:right="220" w:firstLine="332"/>
        <w:spacing w:after="0" w:line="277" w:lineRule="auto"/>
        <w:tabs>
          <w:tab w:leader="none" w:pos="5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70" w:lineRule="exact"/>
        <w:rPr>
          <w:rFonts w:ascii="Arial" w:cs="Arial" w:eastAsia="Arial" w:hAnsi="Arial"/>
          <w:sz w:val="18"/>
          <w:szCs w:val="18"/>
          <w:color w:val="auto"/>
        </w:rPr>
      </w:pPr>
    </w:p>
    <w:p>
      <w:pPr>
        <w:ind w:right="20" w:firstLine="332"/>
        <w:spacing w:after="0" w:line="264" w:lineRule="auto"/>
        <w:tabs>
          <w:tab w:leader="none" w:pos="5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81" w:lineRule="exact"/>
        <w:rPr>
          <w:rFonts w:ascii="Arial" w:cs="Arial" w:eastAsia="Arial" w:hAnsi="Arial"/>
          <w:sz w:val="18"/>
          <w:szCs w:val="18"/>
          <w:color w:val="auto"/>
        </w:rPr>
      </w:pPr>
    </w:p>
    <w:p>
      <w:pPr>
        <w:ind w:left="540" w:hanging="208"/>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225" w:lineRule="exact"/>
        <w:rPr>
          <w:rFonts w:ascii="Arial" w:cs="Arial" w:eastAsia="Arial" w:hAnsi="Arial"/>
          <w:sz w:val="18"/>
          <w:szCs w:val="18"/>
          <w:color w:val="auto"/>
        </w:rPr>
      </w:pPr>
    </w:p>
    <w:p>
      <w:pPr>
        <w:ind w:right="220" w:firstLine="332"/>
        <w:spacing w:after="0" w:line="277" w:lineRule="auto"/>
        <w:tabs>
          <w:tab w:leader="none" w:pos="629"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225" w:lineRule="exact"/>
        <w:rPr>
          <w:rFonts w:ascii="Arial" w:cs="Arial" w:eastAsia="Arial" w:hAnsi="Arial"/>
          <w:sz w:val="18"/>
          <w:szCs w:val="18"/>
          <w:color w:val="auto"/>
        </w:rPr>
      </w:pPr>
    </w:p>
    <w:p>
      <w:pPr>
        <w:ind w:right="160" w:firstLine="332"/>
        <w:spacing w:after="0" w:line="277" w:lineRule="auto"/>
        <w:tabs>
          <w:tab w:leader="none" w:pos="5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70" w:lineRule="exact"/>
        <w:rPr>
          <w:rFonts w:ascii="Arial" w:cs="Arial" w:eastAsia="Arial" w:hAnsi="Arial"/>
          <w:sz w:val="18"/>
          <w:szCs w:val="18"/>
          <w:color w:val="auto"/>
        </w:rPr>
      </w:pPr>
    </w:p>
    <w:p>
      <w:pPr>
        <w:ind w:right="480" w:firstLine="332"/>
        <w:spacing w:after="0" w:line="277" w:lineRule="auto"/>
        <w:tabs>
          <w:tab w:leader="none" w:pos="5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70" w:lineRule="exact"/>
        <w:rPr>
          <w:rFonts w:ascii="Arial" w:cs="Arial" w:eastAsia="Arial" w:hAnsi="Arial"/>
          <w:sz w:val="18"/>
          <w:szCs w:val="18"/>
          <w:color w:val="auto"/>
        </w:rPr>
      </w:pPr>
    </w:p>
    <w:p>
      <w:pPr>
        <w:ind w:right="220" w:firstLine="332"/>
        <w:spacing w:after="0" w:line="342" w:lineRule="auto"/>
        <w:tabs>
          <w:tab w:leader="none" w:pos="579"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123" w:lineRule="exact"/>
        <w:rPr>
          <w:rFonts w:ascii="Arial" w:cs="Arial" w:eastAsia="Arial" w:hAnsi="Arial"/>
          <w:sz w:val="16"/>
          <w:szCs w:val="16"/>
          <w:color w:val="auto"/>
        </w:rPr>
      </w:pPr>
    </w:p>
    <w:p>
      <w:pPr>
        <w:ind w:right="140" w:firstLine="332"/>
        <w:spacing w:after="0" w:line="264" w:lineRule="auto"/>
        <w:tabs>
          <w:tab w:leader="none" w:pos="5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81" w:lineRule="exact"/>
        <w:rPr>
          <w:rFonts w:ascii="Arial" w:cs="Arial" w:eastAsia="Arial" w:hAnsi="Arial"/>
          <w:sz w:val="18"/>
          <w:szCs w:val="18"/>
          <w:color w:val="auto"/>
        </w:rPr>
      </w:pPr>
    </w:p>
    <w:p>
      <w:pPr>
        <w:ind w:left="560" w:hanging="228"/>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2" w:name="page33"/>
    <w:bookmarkEnd w:id="32"/>
    <w:p>
      <w:pPr>
        <w:ind w:right="120" w:firstLine="324"/>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“Property” means with respect to any Person any property or asset, whether real, personal or mixed, or tangible or intangible, including shares of capital stock.</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indenture. The restrictive covenants summarized below will apply, unless the covenants are waived or amended, so long as any of the senior debt securities are outstanding</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indenture does not contain any financial covenants other than those summarized below and does not restrict us or our subsidiaries from paying dividends or incurring additional debt. In addition, the indenture will not protect holders of notes issued under it in the event of a highly leveraged transaction or a change in control.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on Liens Securing Indebtedness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With respect to the senior debt securities of each series, each Obligor will covenant under the indenture not to create or incur any Lien on any of its Properties, whether owned at the time the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187"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170" w:lineRule="exact"/>
        <w:rPr>
          <w:rFonts w:ascii="Arial" w:cs="Arial" w:eastAsia="Arial" w:hAnsi="Arial"/>
          <w:sz w:val="18"/>
          <w:szCs w:val="18"/>
          <w:color w:val="auto"/>
        </w:rPr>
      </w:pPr>
    </w:p>
    <w:p>
      <w:pPr>
        <w:ind w:left="980" w:right="120" w:hanging="324"/>
        <w:spacing w:after="0" w:line="25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225"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With respect to the senior debt securities of each series, each Obligor will covenant under the indenture not to enter into any sale and leaseback transaction for the sale and leasing back of any Property, whether owned at the time the indenture is executed or acquired afterward, unless:</w:t>
      </w:r>
    </w:p>
    <w:p>
      <w:pPr>
        <w:spacing w:after="0" w:line="124"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225" w:lineRule="exact"/>
        <w:rPr>
          <w:rFonts w:ascii="Arial" w:cs="Arial" w:eastAsia="Arial" w:hAnsi="Arial"/>
          <w:sz w:val="18"/>
          <w:szCs w:val="18"/>
          <w:color w:val="auto"/>
        </w:rPr>
      </w:pPr>
    </w:p>
    <w:p>
      <w:pPr>
        <w:jc w:val="both"/>
        <w:ind w:left="980" w:right="12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above; or</w:t>
      </w:r>
    </w:p>
    <w:p>
      <w:pPr>
        <w:spacing w:after="0" w:line="181"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Exchange Notes of such series.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Consolidation, Merger and Sale of Assets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181" w:lineRule="exact"/>
        <w:rPr>
          <w:sz w:val="20"/>
          <w:szCs w:val="20"/>
          <w:color w:val="auto"/>
        </w:rPr>
      </w:pPr>
    </w:p>
    <w:p>
      <w:pPr>
        <w:ind w:left="980" w:right="8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181" w:lineRule="exact"/>
        <w:rPr>
          <w:rFonts w:ascii="Arial" w:cs="Arial" w:eastAsia="Arial" w:hAnsi="Arial"/>
          <w:sz w:val="18"/>
          <w:szCs w:val="18"/>
          <w:color w:val="auto"/>
        </w:rPr>
      </w:pPr>
    </w:p>
    <w:p>
      <w:pPr>
        <w:ind w:left="980" w:right="94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248" w:lineRule="exact"/>
        <w:rPr>
          <w:rFonts w:ascii="Arial" w:cs="Arial" w:eastAsia="Arial" w:hAnsi="Arial"/>
          <w:sz w:val="16"/>
          <w:szCs w:val="16"/>
          <w:color w:val="auto"/>
        </w:rPr>
      </w:pPr>
    </w:p>
    <w:p>
      <w:pPr>
        <w:ind w:left="980" w:right="8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4" w:name="page35"/>
    <w:bookmarkEnd w:id="34"/>
    <w:p>
      <w:pPr>
        <w:ind w:left="980" w:right="4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170" w:lineRule="exact"/>
        <w:rPr>
          <w:rFonts w:ascii="Arial" w:cs="Arial" w:eastAsia="Arial" w:hAnsi="Arial"/>
          <w:sz w:val="18"/>
          <w:szCs w:val="18"/>
          <w:color w:val="auto"/>
        </w:rPr>
      </w:pPr>
    </w:p>
    <w:p>
      <w:pPr>
        <w:ind w:left="980" w:right="14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 as if such successor person had been named in our place in the indenture. We will (except in the case of a lease) be discharged from all obligations and covenants under the indenture and any debt securities issued thereunder (including the Exchange Notes).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Existence</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the guarantors and the trustee may amend or modify the indenture or the senior debt securities of any series issued under the indenture without notice to or the consent of any holder in order to:</w:t>
      </w:r>
    </w:p>
    <w:p>
      <w:pPr>
        <w:spacing w:after="0" w:line="170" w:lineRule="exact"/>
        <w:rPr>
          <w:sz w:val="20"/>
          <w:szCs w:val="20"/>
          <w:color w:val="auto"/>
        </w:rPr>
      </w:pPr>
    </w:p>
    <w:p>
      <w:pPr>
        <w:ind w:left="980" w:right="2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indenture in a manner that does not adversely affect the interests of the holders in any material respect;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5" w:name="page36"/>
    <w:bookmarkEnd w:id="35"/>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Exchange Notes and Guarantees”;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Other amendments and modifications of the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Exchange Notes)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165" w:lineRule="exact"/>
        <w:rPr>
          <w:sz w:val="20"/>
          <w:szCs w:val="20"/>
          <w:color w:val="auto"/>
        </w:rPr>
      </w:pPr>
    </w:p>
    <w:p>
      <w:pPr>
        <w:ind w:left="980" w:right="4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Each of the following will constitute an event of default in the indenture with respect to the senior debt securities of any series issued under the indenture:</w:t>
      </w:r>
    </w:p>
    <w:p>
      <w:pPr>
        <w:spacing w:after="0" w:line="170" w:lineRule="exact"/>
        <w:rPr>
          <w:sz w:val="20"/>
          <w:szCs w:val="20"/>
          <w:color w:val="auto"/>
        </w:rPr>
      </w:pPr>
    </w:p>
    <w:p>
      <w:pPr>
        <w:ind w:left="1300" w:right="12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in paying interest on the senior debt securities of such series when it becomes due and the default continues for a period of 30 days or more;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225" w:lineRule="exact"/>
        <w:rPr>
          <w:rFonts w:ascii="Arial" w:cs="Arial" w:eastAsia="Arial" w:hAnsi="Arial"/>
          <w:sz w:val="18"/>
          <w:szCs w:val="18"/>
          <w:color w:val="auto"/>
        </w:rPr>
      </w:pPr>
    </w:p>
    <w:p>
      <w:pPr>
        <w:ind w:left="1300" w:right="160" w:hanging="644"/>
        <w:spacing w:after="0" w:line="302"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default by any Obligor in the performance, or breach, of any covenant in the indenture (other than defaults specified in clause (1) or (2)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indenture (voting together as a single class);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36" w:name="page37"/>
    <w:bookmarkEnd w:id="36"/>
    <w:p>
      <w:pPr>
        <w:ind w:left="1300" w:right="50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events of bankruptcy, insolvency, reorganization, administration or similar proceedings with respect to us or any Obligor have occurred;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If an event of default (other than an event of default specified in clause (4) above) under the indenture occurs and is continuing, then the trustee may and, at the direction of the holders of at least 25% in aggregate principal amount of the senior debt securities of all affected series and the debt securities of all other affected series outstanding under the indenture (voting together as a single class), will by written notice, require us to repay immediately the entire principal amount of the outstanding debt securities of each affected series, together with all accrued and unpaid interest.</w:t>
      </w:r>
    </w:p>
    <w:p>
      <w:pPr>
        <w:spacing w:after="0" w:line="171"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If an event of default under the indenture specified in clause (4) occurs and is continuing, then the entire principal amount of the outstanding senior debt securities will automatically become due immediately and payable without any declaration or other act on the part of the trustee or any holder.</w:t>
      </w:r>
    </w:p>
    <w:p>
      <w:pPr>
        <w:spacing w:after="0" w:line="12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After a declaration of acceleration or any automatic acceleration under clause (4)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w:t>
      </w:r>
    </w:p>
    <w:p>
      <w:pPr>
        <w:spacing w:after="0" w:line="165"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The holders of a majority in principal amount of the senior debt securities of all affected series and the debt securities of all other affected series outstanding under the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7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holders of at least 25% in aggregate principal amount of the senior debt securities of all affected series and the debt securities of all other affected series outstanding under the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7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w:t>
      </w:r>
    </w:p>
    <w:p>
      <w:pPr>
        <w:spacing w:after="0" w:line="179"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7" w:name="page38"/>
    <w:bookmarkEnd w:id="37"/>
    <w:p>
      <w:pPr>
        <w:ind w:right="220" w:firstLine="324"/>
        <w:spacing w:after="0" w:line="277"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indenture within 120 days of the end of each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and Defeasance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17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980" w:right="720" w:hanging="324"/>
        <w:spacing w:after="0" w:line="277"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170" w:lineRule="exact"/>
        <w:rPr>
          <w:rFonts w:ascii="Arial" w:cs="Arial" w:eastAsia="Arial" w:hAnsi="Arial"/>
          <w:sz w:val="18"/>
          <w:szCs w:val="18"/>
          <w:color w:val="auto"/>
        </w:rPr>
      </w:pPr>
    </w:p>
    <w:p>
      <w:pPr>
        <w:ind w:left="980" w:hanging="324"/>
        <w:spacing w:after="0" w:line="276" w:lineRule="auto"/>
        <w:tabs>
          <w:tab w:leader="none" w:pos="9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172"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170" w:lineRule="exact"/>
        <w:rPr>
          <w:rFonts w:ascii="Arial" w:cs="Arial" w:eastAsia="Arial" w:hAnsi="Arial"/>
          <w:sz w:val="18"/>
          <w:szCs w:val="18"/>
          <w:color w:val="auto"/>
        </w:rPr>
      </w:pPr>
    </w:p>
    <w:p>
      <w:pPr>
        <w:ind w:left="660" w:right="48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12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166" w:lineRule="exact"/>
        <w:rPr>
          <w:sz w:val="20"/>
          <w:szCs w:val="20"/>
          <w:color w:val="auto"/>
        </w:rPr>
      </w:pPr>
    </w:p>
    <w:p>
      <w:pPr>
        <w:ind w:left="1620" w:hanging="315"/>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225" w:lineRule="exact"/>
        <w:rPr>
          <w:rFonts w:ascii="Arial" w:cs="Arial" w:eastAsia="Arial" w:hAnsi="Arial"/>
          <w:sz w:val="18"/>
          <w:szCs w:val="18"/>
          <w:color w:val="auto"/>
        </w:rPr>
      </w:pPr>
    </w:p>
    <w:p>
      <w:pPr>
        <w:jc w:val="both"/>
        <w:ind w:left="1620" w:right="80" w:hanging="315"/>
        <w:spacing w:after="0" w:line="286" w:lineRule="auto"/>
        <w:tabs>
          <w:tab w:leader="none" w:pos="1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165" w:lineRule="exact"/>
        <w:rPr>
          <w:rFonts w:ascii="Arial" w:cs="Arial" w:eastAsia="Arial" w:hAnsi="Arial"/>
          <w:sz w:val="17"/>
          <w:szCs w:val="17"/>
          <w:color w:val="auto"/>
        </w:rPr>
      </w:pPr>
    </w:p>
    <w:p>
      <w:pPr>
        <w:ind w:left="1620" w:right="180" w:hanging="315"/>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If covenant defeasance occurs, certain events, not including nonpayment, bankruptcy and insolvency events, described under “—Events of Default” will no longer constitute an event of default for that series.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248" w:lineRule="exact"/>
        <w:rPr>
          <w:sz w:val="20"/>
          <w:szCs w:val="20"/>
          <w:color w:val="auto"/>
        </w:rPr>
      </w:pPr>
    </w:p>
    <w:p>
      <w:pPr>
        <w:ind w:left="660" w:right="44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8" w:name="page39"/>
    <w:bookmarkEnd w:id="38"/>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22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187" w:lineRule="exact"/>
        <w:rPr>
          <w:sz w:val="20"/>
          <w:szCs w:val="20"/>
          <w:color w:val="auto"/>
        </w:rPr>
      </w:pPr>
    </w:p>
    <w:p>
      <w:pPr>
        <w:ind w:left="980" w:right="220" w:hanging="324"/>
        <w:spacing w:after="0" w:line="279"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171" w:lineRule="exact"/>
        <w:rPr>
          <w:rFonts w:ascii="Arial" w:cs="Arial" w:eastAsia="Arial" w:hAnsi="Arial"/>
          <w:sz w:val="17"/>
          <w:szCs w:val="17"/>
          <w:color w:val="auto"/>
        </w:rPr>
      </w:pPr>
    </w:p>
    <w:p>
      <w:pPr>
        <w:ind w:left="980" w:right="80" w:hanging="324"/>
        <w:spacing w:after="0" w:line="259"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186" w:lineRule="exact"/>
        <w:rPr>
          <w:rFonts w:ascii="Arial" w:cs="Arial" w:eastAsia="Arial" w:hAnsi="Arial"/>
          <w:sz w:val="18"/>
          <w:szCs w:val="18"/>
          <w:color w:val="auto"/>
        </w:rPr>
      </w:pPr>
    </w:p>
    <w:p>
      <w:pPr>
        <w:ind w:left="980" w:right="80" w:hanging="324"/>
        <w:spacing w:after="0" w:line="25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188"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170" w:lineRule="exact"/>
        <w:rPr>
          <w:rFonts w:ascii="Arial" w:cs="Arial" w:eastAsia="Arial" w:hAnsi="Arial"/>
          <w:sz w:val="18"/>
          <w:szCs w:val="18"/>
          <w:color w:val="auto"/>
        </w:rPr>
      </w:pPr>
    </w:p>
    <w:p>
      <w:pPr>
        <w:ind w:left="980" w:right="16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181"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123" w:lineRule="exact"/>
        <w:rPr>
          <w:rFonts w:ascii="Arial" w:cs="Arial" w:eastAsia="Arial" w:hAnsi="Arial"/>
          <w:sz w:val="16"/>
          <w:szCs w:val="16"/>
          <w:color w:val="auto"/>
        </w:rPr>
      </w:pPr>
    </w:p>
    <w:p>
      <w:pPr>
        <w:ind w:left="980" w:right="14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Incorporators, Stockholders, Officers, Directors or Employees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indenture provides that no recourse shall be had under or upon any obligation, covenant or agreement contained in the indenture, the guarantees or in any note,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Except during the continuance of an event of default, the trustee need perform only those duties that are specifically set forth in the indenture and no others, and no implied covenants or obligations will be read into the indenture against the trustee. In case an event of default of which certain officers of the trustee shall have actual knowledge or shall have received written notice from us or any holder of our senior debt securities of any series has occurred and is continuing, the trustee shall exercise those rights and powers vested in it by the indenture, and use the same degree of care and skill in their exercise, as a prudent person would exercise or use under the circumstances in the conduct of such person’s own affairs.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Gerald L. Hassell, one of our directors, is the Chairman of the board of directors of the trustee.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indenture, including any guarantee, and the Exchange Notes will be governed by and construed in accordance with the laws of the State of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22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We will initially issue the Exchange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54"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Holders may hold interests in the Exchange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DTC</w:t>
      </w:r>
    </w:p>
    <w:p>
      <w:pPr>
        <w:spacing w:after="0" w:line="2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9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expect that pursuant to procedures established by DTC, upon the deposit of the Global Notes with DTC, DTC will credit on its book-entry registration and transfer system the principal amount of Exchange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0" w:name="page41"/>
    <w:bookmarkEnd w:id="40"/>
    <w:p>
      <w:pPr>
        <w:ind w:right="240" w:firstLine="324"/>
        <w:spacing w:after="0" w:line="277"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67"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We will make payments of principal of, premium, if any, and interest on the Exchange Notes represented by the Global Notes registered in the name of and held by DTC or its nominee to DTC or its nominee, as the case may be, as the registered owner and holder of the Global Notes.</w:t>
      </w:r>
    </w:p>
    <w:p>
      <w:pPr>
        <w:spacing w:after="0" w:line="14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6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Subject to certain conditions, the Exchange Notes represented by the Global Notes are exchangeable for certificated Exchange Notes in definitive form of like tenor in denominations of $2,000 principal amount and multiples of $1,000 in excess thereof if:</w:t>
      </w:r>
    </w:p>
    <w:p>
      <w:pPr>
        <w:spacing w:after="0" w:line="170" w:lineRule="exact"/>
        <w:rPr>
          <w:sz w:val="20"/>
          <w:szCs w:val="20"/>
          <w:color w:val="auto"/>
        </w:rPr>
      </w:pPr>
    </w:p>
    <w:p>
      <w:pPr>
        <w:ind w:left="1300" w:right="520" w:hanging="644"/>
        <w:spacing w:after="0" w:line="308" w:lineRule="auto"/>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Exchange Notes represented by the Global Notes;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default entitling the holders of the applicable Exchange Notes to accelerate the maturity thereof has occurred and is continuing.</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ind w:right="100" w:firstLine="324"/>
        <w:spacing w:after="0" w:line="264" w:lineRule="auto"/>
        <w:rPr>
          <w:sz w:val="20"/>
          <w:szCs w:val="20"/>
          <w:color w:val="auto"/>
        </w:rPr>
      </w:pPr>
      <w:r>
        <w:rPr>
          <w:rFonts w:ascii="Arial" w:cs="Arial" w:eastAsia="Arial" w:hAnsi="Arial"/>
          <w:sz w:val="18"/>
          <w:szCs w:val="18"/>
          <w:color w:val="auto"/>
        </w:rPr>
        <w:t>Any Exchange Note that is exchangeable as above is for certificated Exchange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Same-Day Payment</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indenture requires payments to be made in respect of the applicable Exchange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2" w:name="page43"/>
    <w:bookmarkEnd w:id="42"/>
    <w:p>
      <w:pPr>
        <w:jc w:val="center"/>
        <w:ind w:right="-13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exchange of Original Notes for Exchange Notes in the Exchange Offers will not result in any United States federal income tax consequences to holders. The tax consequences of holding the Exchange Notes are identical to those of holding the Original Notes. Accordingly, when a holder exchanges an Original Note for an Exchange Note in the Exchange Offer, the holder will have the same adjusted basis and holding period in the Exchange Note as in the Original Note immediately before the exchange.</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472" w:right="37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want to participate in the Exchange Offers, you must represent, among other things, that you:</w:t>
      </w:r>
    </w:p>
    <w:p>
      <w:pPr>
        <w:spacing w:after="0" w:line="225"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are not a broker-dealer tendering Original Notes that you acquired directly from us for your own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are acquiring the Exchange Notes in the ordinary course of your business;</w:t>
      </w:r>
    </w:p>
    <w:p>
      <w:pPr>
        <w:spacing w:after="0" w:line="225"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have not participated in, do not intend to participate in, and have no arrangement or understanding with any person to participate in, a distribution of the Exchange Notes;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are not an “affiliate” as defined under Rule 405 of the Securities Act.</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If you fail to satisfy any of these conditions, you cannot rely on the position of the SEC set forth in the no-action letters referred to above under “Summary — The Exchange Offers — Resale of Exchange Notes” and you must comply with the registration and prospectus delivery requirements of the Securities Act in connection with a resale of the Exchange Notes.</w:t>
      </w:r>
    </w:p>
    <w:p>
      <w:pPr>
        <w:spacing w:after="0" w:line="18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Each broker-dealer that receives Exchange Notes for its own account pursuant to the Exchange Offers will be deemed to acknowledge that it will deliver a prospectus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activities or other trading activities. Comcast has agreed that, for a period of 90 days after the Expiration Date, it will make this prospectus, as amended or supplemented, available to any broker-dealer for use in connection with any such resale.</w:t>
      </w:r>
    </w:p>
    <w:p>
      <w:pPr>
        <w:spacing w:after="0" w:line="1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Comcast will not receive any proceeds from any sale of Exchange Notes by broker-dealers. Exchange Notes received by broker-dealers for their own account pursuant to the Exchange Offers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Notes. Any broker-dealer that resells Exchange Notes that were received by it for its own account pursuant to the Exchange Offers and any broker or dealer that participates in a distribution of such Exchange Notes may be deemed to be an “underwriter” within the meaning of the Securities Act and any profit on any such resale of Exchange Notes and any commission or concessions received by any such persons may be deemed to be underwriting compensation under the Securities Act. By acknowledging that it will deliver and by delivering a prospectus, a broker-dealer will not be deemed to admit that it is an “underwriter” within the meaning of the Securities Act.</w:t>
      </w:r>
    </w:p>
    <w:p>
      <w:pPr>
        <w:spacing w:after="0" w:line="17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a period of 90 days after the Expiration Date, Comcast will promptly send additional copies of this prospectus and any amendment or supplement to this prospectus to any broker-dealer that requests such documents. We have agreed to pay all expenses incident to the Exchange Offers other than commissions or concessions of any brokers or dealers, and will indemnify the holders of the Exchange Notes (including any broker-dealers) against certain liabilities, including liabilities under the Securities 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THE EXCHANGE AGENT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Bank of New York Mellon has been appointed as the Exchange Agent for the Exchange Offers. All correspondence in connection with the Exchange Offers should be sent or delivered by each holder of Original Notes, or a beneficial owner’s commercial bank, broker, dealer, trust company or other nominee, to the Exchange Agent at the address and telephone number set forth on the back cover of this prospectus.</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Questions concerning tender procedures and requests for additional copies of this prospectus should be directed to the Exchange Agent at the address and telephone numbers listed below. Holders of Original Notes may also contact their commercial bank, broker, dealer, trust company or other nominee for assistance concerning the Exchange Offers.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will pay the Exchange Agent reasonable and customary fees for its services and will reimburse it for its reasonable out-of-pocket expenses.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address for The Bank of New York Mellon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Bank of New York Mellon, as Exchange Agent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The Bank of New York Mellon Corporation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Trust Operations — Reorganization Unit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111 Sanders Creek Parkway,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East Syracuse, NY 13057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Melissa Vollick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(315) 414-3349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(732) 667-9408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CT_REORG_UNIT_INQUIRIES@bnymellon.com</w:t>
      </w:r>
    </w:p>
    <w:p>
      <w:pPr>
        <w:spacing w:after="0" w:line="21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Questions and requests for assistance related to the Exchange Offers or for additional copies of this prospectus may be directed to the Exchange Agent at the telephone number and address listed above.</w:t>
      </w:r>
    </w:p>
    <w:p>
      <w:pPr>
        <w:spacing w:after="0" w:line="166" w:lineRule="exact"/>
        <w:rPr>
          <w:sz w:val="20"/>
          <w:szCs w:val="20"/>
          <w:color w:val="auto"/>
        </w:rPr>
      </w:pPr>
    </w:p>
    <w:p>
      <w:pPr>
        <w:ind w:right="660" w:firstLine="324"/>
        <w:spacing w:after="0" w:line="282" w:lineRule="auto"/>
        <w:rPr>
          <w:sz w:val="20"/>
          <w:szCs w:val="20"/>
          <w:color w:val="auto"/>
        </w:rPr>
      </w:pPr>
      <w:r>
        <w:rPr>
          <w:rFonts w:ascii="Arial" w:cs="Arial" w:eastAsia="Arial" w:hAnsi="Arial"/>
          <w:sz w:val="18"/>
          <w:szCs w:val="18"/>
          <w:b w:val="1"/>
          <w:bCs w:val="1"/>
          <w:color w:val="auto"/>
        </w:rPr>
        <w:t>TRANSMISSION OF INSTRUCTIONS TO AN ADDRESS OR FACSIMILE NUMBER OTHER THAN THAT OF THE EXCHANGE AGENT AS SET FORTH ON THE BACK COVER OF THIS PROSPECTUS DOES NOT CONSTITUTE VALID DELIVERY.</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2016, and the effectiveness of Comcast Corporation and subsidiaries’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subsidiaries, incorporated herein by reference from NBCUniversal Media, LLC’s Annual Report on Form 10-K for the year ended December 31, 2016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46" w:name="page47"/>
    <w:bookmarkEnd w:id="46"/>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3081655</wp:posOffset>
            </wp:positionH>
            <wp:positionV relativeFrom="page">
              <wp:posOffset>311785</wp:posOffset>
            </wp:positionV>
            <wp:extent cx="1397635" cy="488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5"/>
          <w:szCs w:val="25"/>
          <w:b w:val="1"/>
          <w:bCs w:val="1"/>
          <w:color w:val="auto"/>
        </w:rPr>
        <w:t>OFFERS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Exchange Agent for the Exchange Offers is:</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The Bank of New York Mellon Trust</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Company, N.A.</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By Facsimile (Eligible Institutions Only):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(732) 667-9408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By Mail or Hand: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 The Bank of New York Mellon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Corporate Trust Operations — Reorganization Unit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 Sanders Creek Parkway,</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East Syracuse, NY 13057</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Attention: Melissa Vollick</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(315) 414-3349</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CT_REORG_UNIT_INQUIRIES@bnymellon.com</w:t>
      </w:r>
    </w:p>
    <w:p>
      <w:pPr>
        <w:spacing w:after="0" w:line="21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Requests for additional copies of this prospectus may be directed to the Exchange Agent at the address or telephone number set forth above. Beneficial owners may also contact their custodian for assistance concerning the Exchange Offers.</w:t>
      </w:r>
    </w:p>
    <w:p>
      <w:pPr>
        <w:spacing w:after="0" w:line="16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Until December 26, 2017, all dealers that effect transactions in the Exchange Notes, whether or not participating in the Exchange Offers,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215"/>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lowerRoman"/>
      <w:start w:val="3"/>
    </w:lvl>
  </w:abstractNum>
  <w:abstractNum w:abstractNumId="5">
    <w:nsid w:val="2443A858"/>
    <w:multiLevelType w:val="hybridMultilevel"/>
    <w:lvl w:ilvl="0">
      <w:lvlJc w:val="left"/>
      <w:lvlText w:val="(%1)"/>
      <w:numFmt w:val="lowerLetter"/>
      <w:start w:val="4"/>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lvl w:ilvl="1">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lvl w:ilvl="1">
      <w:lvlJc w:val="left"/>
      <w:lvlText w:val="·"/>
      <w:numFmt w:val="bullet"/>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3"/>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4"/>
    </w:lvl>
  </w:abstractNum>
  <w:abstractNum w:abstractNumId="32">
    <w:nsid w:val="5072367"/>
    <w:multiLevelType w:val="hybridMultilevel"/>
    <w:lvl w:ilvl="0">
      <w:lvlJc w:val="left"/>
      <w:lvlText w:val="·"/>
      <w:numFmt w:val="bullet"/>
      <w:start w:val="1"/>
    </w:lvl>
    <w:lvl w:ilvl="1">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2019-12-16T12:07:10Z</dcterms:created>
  <dcterms:modified xsi:type="dcterms:W3CDTF">2019-12-16T12:07:10Z</dcterms:modified>
</cp:coreProperties>
</file>