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ind w:left="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5"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3"/>
              </w:rPr>
              <w:t>Registration Fee (1)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4.250% Notes due 2053</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$800,000,000</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89"/>
              </w:rPr>
              <w:t>$99,600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tabs>
          <w:tab w:leader="none" w:pos="440" w:val="left"/>
        </w:tabs>
        <w:rPr>
          <w:sz w:val="20"/>
          <w:szCs w:val="20"/>
          <w:color w:val="auto"/>
        </w:rPr>
      </w:pPr>
      <w:r>
        <w:rPr>
          <w:rFonts w:ascii="Arial" w:cs="Arial" w:eastAsia="Arial" w:hAnsi="Arial"/>
          <w:sz w:val="18"/>
          <w:szCs w:val="18"/>
          <w:color w:val="auto"/>
        </w:rPr>
        <w:t>(1)</w:t>
        <w:tab/>
        <w:t>Calculated in accordance with Rule 457(r) under the Securities Act of 1933, as amended.</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333-212719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July 28,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83185</wp:posOffset>
            </wp:positionV>
            <wp:extent cx="1397635" cy="488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$800,000,000 4.250% Notes due 2053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177165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2" w:lineRule="exact"/>
        <w:rPr>
          <w:sz w:val="20"/>
          <w:szCs w:val="20"/>
          <w:color w:val="auto"/>
        </w:rPr>
      </w:pPr>
    </w:p>
    <w:p>
      <w:pPr>
        <w:ind w:right="500" w:firstLine="342"/>
        <w:spacing w:after="0" w:line="253" w:lineRule="auto"/>
        <w:rPr>
          <w:sz w:val="20"/>
          <w:szCs w:val="20"/>
          <w:color w:val="auto"/>
        </w:rPr>
      </w:pPr>
      <w:r>
        <w:rPr>
          <w:rFonts w:ascii="Arial" w:cs="Arial" w:eastAsia="Arial" w:hAnsi="Arial"/>
          <w:sz w:val="14"/>
          <w:szCs w:val="14"/>
          <w:color w:val="auto"/>
        </w:rPr>
        <w:t>We are offering U.S. $800,000,000 of 4.250% Notes due 2053 (the “notes”). The notes will bear interest at a rate of 4.250% per year and will mature on January 31, 2053 unless earlier redeemed. We will pay interest on the notes on February 15 and August 15 of each year, beginning on August 15, 2018.</w:t>
      </w:r>
    </w:p>
    <w:p>
      <w:pPr>
        <w:spacing w:after="0" w:line="66" w:lineRule="exact"/>
        <w:rPr>
          <w:sz w:val="20"/>
          <w:szCs w:val="20"/>
          <w:color w:val="auto"/>
        </w:rPr>
      </w:pPr>
    </w:p>
    <w:p>
      <w:pPr>
        <w:ind w:right="20" w:firstLine="342"/>
        <w:spacing w:after="0" w:line="296" w:lineRule="auto"/>
        <w:rPr>
          <w:sz w:val="20"/>
          <w:szCs w:val="20"/>
          <w:color w:val="auto"/>
        </w:rPr>
      </w:pPr>
      <w:r>
        <w:rPr>
          <w:rFonts w:ascii="Arial" w:cs="Arial" w:eastAsia="Arial" w:hAnsi="Arial"/>
          <w:sz w:val="12"/>
          <w:szCs w:val="12"/>
          <w:color w:val="auto"/>
        </w:rPr>
        <w:t>We may redeem the notes, in whole but not in part, on each February 15 on or after February 15, 2023 at a redemption price equal to 100% of the principal amount of the notes being redeemed plus accrued and unpaid interest to, but not including, the redemption date. See “Description of Notes—Optional Redemption” on page S-10 of this prospectus supplement. In addition, we may redeem the notes, in whole but not in part, at any time at our option, in the event of certain developments affecting United States taxation. See “Description of Notes—Redemption for Tax Reasons.”</w:t>
      </w:r>
    </w:p>
    <w:p>
      <w:pPr>
        <w:spacing w:after="0" w:line="43" w:lineRule="exact"/>
        <w:rPr>
          <w:sz w:val="20"/>
          <w:szCs w:val="20"/>
          <w:color w:val="auto"/>
        </w:rPr>
      </w:pPr>
    </w:p>
    <w:p>
      <w:pPr>
        <w:ind w:right="220" w:firstLine="342"/>
        <w:spacing w:after="0" w:line="253" w:lineRule="auto"/>
        <w:rPr>
          <w:sz w:val="20"/>
          <w:szCs w:val="20"/>
          <w:color w:val="auto"/>
        </w:rPr>
      </w:pPr>
      <w:r>
        <w:rPr>
          <w:rFonts w:ascii="Arial" w:cs="Arial" w:eastAsia="Arial" w:hAnsi="Arial"/>
          <w:sz w:val="14"/>
          <w:szCs w:val="14"/>
          <w:color w:val="auto"/>
        </w:rPr>
        <w:t>The notes will be unsecured and will rank equally with all of our and the guarantors’ unsecured and unsubordinated indebtedness. The notes will be fully and unconditionally guaranteed by our wholly-owned subsidiaries named in this prospectus supplement and in the accompanying prospectus.</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There is no sinking fund for the notes. The notes will be issued in minimum denominations of U.S. $100,000 and multiples of U.S. $1,000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149860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9" w:lineRule="exact"/>
        <w:rPr>
          <w:sz w:val="20"/>
          <w:szCs w:val="20"/>
          <w:color w:val="auto"/>
        </w:rPr>
      </w:pPr>
    </w:p>
    <w:p>
      <w:pPr>
        <w:jc w:val="both"/>
        <w:ind w:right="300" w:firstLine="45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these securities involves certain risks. See “</w:t>
      </w:r>
      <w:hyperlink w:anchor="page11">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S-6 of this prospectus supplement and “Item 1A— Risk Factors” beginning on page 20 of Comcast Corporation’s (“Comcast”) Annual Report on Form 10-K for the year ended December 31, 2017, which is incorporated by reference herein.</w:t>
      </w:r>
    </w:p>
    <w:p>
      <w:pPr>
        <w:spacing w:after="0" w:line="68" w:lineRule="exact"/>
        <w:rPr>
          <w:sz w:val="20"/>
          <w:szCs w:val="20"/>
          <w:color w:val="auto"/>
        </w:rPr>
      </w:pPr>
    </w:p>
    <w:p>
      <w:pPr>
        <w:ind w:right="160" w:firstLine="342"/>
        <w:spacing w:after="0" w:line="249" w:lineRule="auto"/>
        <w:rPr>
          <w:sz w:val="20"/>
          <w:szCs w:val="20"/>
          <w:color w:val="auto"/>
        </w:rPr>
      </w:pPr>
      <w:r>
        <w:rPr>
          <w:rFonts w:ascii="Arial" w:cs="Arial" w:eastAsia="Arial" w:hAnsi="Arial"/>
          <w:sz w:val="13"/>
          <w:szCs w:val="13"/>
          <w:color w:val="auto"/>
        </w:rPr>
        <w:t>Application will be made to the Taipei Exchange (the “TPEx”) for the listing of, and permission to deal in, the notes by way of debt issues only to “professional institutional investors” as defined under Paragraph 2 of Article 4 of the Financial Consumer Protection Act of the Republic of China (the “ROC”), and such permission is expected to become effective on or about February 12, 2018. The TPEx is not responsible for the content of this prospectus supplement or the accompanying prospectus, and no representation is made by the TPEx as to the accuracy or completeness of this prospectus supplement or the accompanying prospectus. The TPEx expressly disclaims any and all liability for any losses arising from, or as a result of the reliance on, all or part of the contents of this prospectus supplement or the accompanying prospectus. Admission to the listing and trading of the notes on the TPEx shall not be taken as an indication of the merits of us or the notes. No assurance can be given that such application will be approved, or that the TPEx listing will be maintained.</w:t>
      </w:r>
    </w:p>
    <w:p>
      <w:pPr>
        <w:spacing w:after="0" w:line="69" w:lineRule="exact"/>
        <w:rPr>
          <w:sz w:val="20"/>
          <w:szCs w:val="20"/>
          <w:color w:val="auto"/>
        </w:rPr>
      </w:pPr>
    </w:p>
    <w:p>
      <w:pPr>
        <w:ind w:firstLine="342"/>
        <w:spacing w:after="0" w:line="228" w:lineRule="auto"/>
        <w:rPr>
          <w:sz w:val="20"/>
          <w:szCs w:val="20"/>
          <w:color w:val="auto"/>
        </w:rPr>
      </w:pPr>
      <w:r>
        <w:rPr>
          <w:rFonts w:ascii="Arial" w:cs="Arial" w:eastAsia="Arial" w:hAnsi="Arial"/>
          <w:sz w:val="14"/>
          <w:szCs w:val="14"/>
          <w:color w:val="auto"/>
        </w:rPr>
        <w:t>The notes have not been, and shall not be, offered, sold or re-sold, directly or indirectly, to investors other than “professional institutional investors” as defined under Paragraph 2 of Article 4 of the Financial Consumer Protection Act of the ROC, which currently include: (i) overseas or domestic banks, securities firms, futures firms and insurance companies (excluding insurance agencies, insurance brokers and insurance surveyors), the foregoing as further defined in more details in Paragraph 3 of Article 2 of the Organization Act of the Financial Supervisory Commission of the ROC, (ii) overseas or domestic fund management companies, government investment institutions, government funds, pension funds, mutual funds, unit trusts, and funds managed by financial service enterprises pursuant to the ROC Securities Investment Trust and Consulting Act, the ROC Future Trading Act or the ROC Trust Enterprise Act or investment assets mandated and delivered by or transferred for trust by financial consumers, and (iii) other institutions recognized by the Financial Supervisory Commission of the ROC. Purchasers of the notes are not permitted to sell or otherwise dispose of the notes except by transfer to the aforementioned professional institutional investors.</w:t>
      </w:r>
    </w:p>
    <w:p>
      <w:pPr>
        <w:spacing w:after="0" w:line="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Price to Investors</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Underwriting</w:t>
            </w:r>
          </w:p>
        </w:tc>
        <w:tc>
          <w:tcPr>
            <w:tcW w:w="42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Proceeds to Us Before</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Commission</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Expenses(2)</w:t>
            </w:r>
          </w:p>
        </w:tc>
        <w:tc>
          <w:tcPr>
            <w:tcW w:w="0" w:type="dxa"/>
            <w:vAlign w:val="bottom"/>
          </w:tcPr>
          <w:p>
            <w:pPr>
              <w:spacing w:after="0"/>
              <w:rPr>
                <w:sz w:val="1"/>
                <w:szCs w:val="1"/>
                <w:color w:val="auto"/>
              </w:rPr>
            </w:pPr>
          </w:p>
        </w:tc>
      </w:tr>
      <w:tr>
        <w:trPr>
          <w:trHeight w:val="20"/>
        </w:trPr>
        <w:tc>
          <w:tcPr>
            <w:tcW w:w="26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Per note due 2053</w:t>
            </w:r>
            <w:r>
              <w:rPr>
                <w:rFonts w:ascii="Arial" w:cs="Arial" w:eastAsia="Arial" w:hAnsi="Arial"/>
                <w:sz w:val="12"/>
                <w:szCs w:val="12"/>
                <w:color w:val="auto"/>
              </w:rPr>
              <w:t>(1)</w:t>
            </w:r>
          </w:p>
        </w:tc>
        <w:tc>
          <w:tcPr>
            <w:tcW w:w="14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vMerge w:val="continue"/>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880"/>
              <w:spacing w:after="0" w:line="142" w:lineRule="exact"/>
              <w:rPr>
                <w:sz w:val="20"/>
                <w:szCs w:val="20"/>
                <w:color w:val="auto"/>
              </w:rPr>
            </w:pPr>
            <w:r>
              <w:rPr>
                <w:rFonts w:ascii="Arial" w:cs="Arial" w:eastAsia="Arial" w:hAnsi="Arial"/>
                <w:sz w:val="14"/>
                <w:szCs w:val="14"/>
                <w:color w:val="auto"/>
              </w:rPr>
              <w:t>100.000%</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color w:val="auto"/>
              </w:rPr>
              <w:t>0.100%</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99.900%</w:t>
            </w:r>
          </w:p>
        </w:tc>
        <w:tc>
          <w:tcPr>
            <w:tcW w:w="0" w:type="dxa"/>
            <w:vAlign w:val="bottom"/>
          </w:tcPr>
          <w:p>
            <w:pPr>
              <w:spacing w:after="0"/>
              <w:rPr>
                <w:sz w:val="1"/>
                <w:szCs w:val="1"/>
                <w:color w:val="auto"/>
              </w:rPr>
            </w:pPr>
          </w:p>
        </w:tc>
      </w:tr>
      <w:tr>
        <w:trPr>
          <w:trHeight w:val="182"/>
        </w:trPr>
        <w:tc>
          <w:tcPr>
            <w:tcW w:w="2680" w:type="dxa"/>
            <w:vAlign w:val="bottom"/>
          </w:tcPr>
          <w:p>
            <w:pPr>
              <w:spacing w:after="0"/>
              <w:rPr>
                <w:sz w:val="20"/>
                <w:szCs w:val="20"/>
                <w:color w:val="auto"/>
              </w:rPr>
            </w:pPr>
            <w:r>
              <w:rPr>
                <w:rFonts w:ascii="Arial" w:cs="Arial" w:eastAsia="Arial" w:hAnsi="Arial"/>
                <w:sz w:val="14"/>
                <w:szCs w:val="14"/>
                <w:color w:val="auto"/>
              </w:rPr>
              <w:t>Total</w:t>
            </w:r>
          </w:p>
        </w:tc>
        <w:tc>
          <w:tcPr>
            <w:tcW w:w="1700" w:type="dxa"/>
            <w:vAlign w:val="bottom"/>
            <w:gridSpan w:val="2"/>
          </w:tcPr>
          <w:p>
            <w:pPr>
              <w:ind w:left="14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800,000,000</w:t>
            </w:r>
          </w:p>
        </w:tc>
        <w:tc>
          <w:tcPr>
            <w:tcW w:w="100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4"/>
                <w:szCs w:val="14"/>
                <w:color w:val="auto"/>
              </w:rPr>
              <w:t>800,000</w:t>
            </w:r>
          </w:p>
        </w:tc>
        <w:tc>
          <w:tcPr>
            <w:tcW w:w="6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799,200,000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Plus accrued interest, if any, from February 12, 2018, if settlement occurs after that date.</w:t>
      </w:r>
    </w:p>
    <w:p>
      <w:pPr>
        <w:ind w:left="340" w:right="20" w:hanging="332"/>
        <w:spacing w:after="0" w:line="227"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net proceeds to us reflect the initial price to investors set forth above as reduced by (a) the underwriting commission set forth above and (b) an aggregate fee of $5,200,000 that we will pay to Morgan Stanley &amp; Co. LLC, Deutsche Bank AG, Taipei Branch and MUFG Securities Americas Inc. (each a “structuring agent” and, together, the “structuring agents”) in connection with structuring services that they provided in connection with the notes. Morgan Stanley &amp; Co. LLC and Deutsche Bank AG, Taipei Branch (only in its capacity as structuring agent and not as manager) have agreed to reimburse us for certain of our expenses. Each structuring agent, other than Deutsche Bank AG, Taipei Branch, is an entity not licensed in the ROC, has not offered or sold, and will not subscribe for or sell or underwrite, any notes offered hereby. See “Selling.”</w:t>
      </w:r>
    </w:p>
    <w:p>
      <w:pPr>
        <w:spacing w:after="0" w:line="73" w:lineRule="exact"/>
        <w:rPr>
          <w:sz w:val="20"/>
          <w:szCs w:val="20"/>
          <w:color w:val="auto"/>
        </w:rPr>
      </w:pPr>
    </w:p>
    <w:p>
      <w:pPr>
        <w:ind w:right="160" w:firstLine="342"/>
        <w:spacing w:after="0" w:line="259"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2" w:lineRule="exact"/>
        <w:rPr>
          <w:sz w:val="20"/>
          <w:szCs w:val="20"/>
          <w:color w:val="auto"/>
        </w:rPr>
      </w:pPr>
    </w:p>
    <w:p>
      <w:pPr>
        <w:ind w:right="280" w:firstLine="342"/>
        <w:spacing w:after="0" w:line="291" w:lineRule="auto"/>
        <w:rPr>
          <w:sz w:val="20"/>
          <w:szCs w:val="20"/>
          <w:color w:val="auto"/>
        </w:rPr>
      </w:pPr>
      <w:r>
        <w:rPr>
          <w:rFonts w:ascii="Arial" w:cs="Arial" w:eastAsia="Arial" w:hAnsi="Arial"/>
          <w:sz w:val="13"/>
          <w:szCs w:val="13"/>
          <w:color w:val="auto"/>
        </w:rPr>
        <w:t xml:space="preserve">The manager expects to deliver the notes to investors in book-entry delivery only form through the facilities of Clearstream Banking, </w:t>
      </w:r>
      <w:r>
        <w:rPr>
          <w:rFonts w:ascii="Arial" w:cs="Arial" w:eastAsia="Arial" w:hAnsi="Arial"/>
          <w:sz w:val="13"/>
          <w:szCs w:val="13"/>
          <w:i w:val="1"/>
          <w:iCs w:val="1"/>
          <w:color w:val="auto"/>
        </w:rPr>
        <w:t>société anonyme</w:t>
      </w:r>
      <w:r>
        <w:rPr>
          <w:rFonts w:ascii="Arial" w:cs="Arial" w:eastAsia="Arial" w:hAnsi="Arial"/>
          <w:sz w:val="13"/>
          <w:szCs w:val="13"/>
          <w:color w:val="auto"/>
        </w:rPr>
        <w:t xml:space="preserve"> (“Clearstream”) and Euroclear Bank S.A./N.V. as operator of the Euroclear System (“Euroclear”), on or about February 12, 2018, which is the seventh business day following the date of this prospectus supplement. See “Selling.”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Book-Running Manager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Deutsche Bank AG, Taipei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date of this prospectus supplement is February 1, 2018.</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20" w:type="dxa"/>
            <w:vAlign w:val="bottom"/>
            <w:gridSpan w:val="4"/>
          </w:tcPr>
          <w:p>
            <w:pPr>
              <w:ind w:left="24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417"/>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20" w:type="dxa"/>
            <w:vAlign w:val="bottom"/>
            <w:gridSpan w:val="5"/>
            <w:vMerge w:val="restart"/>
          </w:tcPr>
          <w:p>
            <w:pPr>
              <w:jc w:val="center"/>
              <w:ind w:right="3820"/>
              <w:spacing w:after="0"/>
              <w:rPr>
                <w:sz w:val="20"/>
                <w:szCs w:val="20"/>
                <w:color w:val="auto"/>
              </w:rPr>
            </w:pPr>
            <w:r>
              <w:rPr>
                <w:rFonts w:ascii="Arial" w:cs="Arial" w:eastAsia="Arial" w:hAnsi="Arial"/>
                <w:sz w:val="18"/>
                <w:szCs w:val="18"/>
                <w:b w:val="1"/>
                <w:bCs w:val="1"/>
                <w:color w:val="auto"/>
                <w:w w:val="88"/>
              </w:rPr>
              <w:t>Prospectus Supplement</w:t>
            </w:r>
          </w:p>
        </w:tc>
        <w:tc>
          <w:tcPr>
            <w:tcW w:w="4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320" w:type="dxa"/>
            <w:vAlign w:val="bottom"/>
            <w:gridSpan w:val="5"/>
            <w:vMerge w:val="continue"/>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88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Where You Can Find More Information</w:t>
              </w:r>
            </w:hyperlink>
          </w:p>
        </w:tc>
        <w:tc>
          <w:tcPr>
            <w:tcW w:w="806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Information Incorporated By Reference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4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Supplement Summary</w:t>
              </w:r>
            </w:hyperlink>
          </w:p>
        </w:tc>
        <w:tc>
          <w:tcPr>
            <w:tcW w:w="420" w:type="dxa"/>
            <w:vAlign w:val="bottom"/>
            <w:tcBorders>
              <w:top w:val="single" w:sz="8" w:color="0000EE"/>
            </w:tcBorders>
          </w:tcPr>
          <w:p>
            <w:pPr>
              <w:spacing w:after="0"/>
              <w:rPr>
                <w:sz w:val="17"/>
                <w:szCs w:val="17"/>
                <w:color w:val="auto"/>
              </w:rPr>
            </w:pPr>
          </w:p>
        </w:tc>
        <w:tc>
          <w:tcPr>
            <w:tcW w:w="808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Risk Factors</w:t>
              </w:r>
            </w:hyperlink>
          </w:p>
        </w:tc>
        <w:tc>
          <w:tcPr>
            <w:tcW w:w="10020" w:type="dxa"/>
            <w:vAlign w:val="bottom"/>
            <w:gridSpan w:val="1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Use of Proceeds</w:t>
              </w:r>
            </w:hyperlink>
          </w:p>
        </w:tc>
        <w:tc>
          <w:tcPr>
            <w:tcW w:w="9760" w:type="dxa"/>
            <w:vAlign w:val="bottom"/>
            <w:gridSpan w:val="1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Ratios of Earnings to Fixed Charges and of Earnings to Combined Fixed Charges and Preferred Dividends</w:t>
              </w:r>
            </w:hyperlink>
          </w:p>
        </w:tc>
        <w:tc>
          <w:tcPr>
            <w:tcW w:w="32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Notes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8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Material U.S. Federal Income Tax Consequences for Non-U.S. Holders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96"/>
        </w:trPr>
        <w:tc>
          <w:tcPr>
            <w:tcW w:w="1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ROC Taxation</w:t>
              </w:r>
            </w:hyperlink>
          </w:p>
        </w:tc>
        <w:tc>
          <w:tcPr>
            <w:tcW w:w="4080" w:type="dxa"/>
            <w:vAlign w:val="bottom"/>
            <w:tcBorders>
              <w:top w:val="single" w:sz="8" w:color="0000EE"/>
            </w:tcBorders>
            <w:gridSpan w:val="13"/>
          </w:tcPr>
          <w:p>
            <w:pPr>
              <w:spacing w:after="0"/>
              <w:rPr>
                <w:sz w:val="17"/>
                <w:szCs w:val="17"/>
                <w:color w:val="auto"/>
              </w:rPr>
            </w:pPr>
          </w:p>
        </w:tc>
        <w:tc>
          <w:tcPr>
            <w:tcW w:w="580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S-20</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Selling</w:t>
              </w:r>
            </w:hyperlink>
          </w:p>
        </w:tc>
        <w:tc>
          <w:tcPr>
            <w:tcW w:w="10420" w:type="dxa"/>
            <w:vAlign w:val="bottom"/>
            <w:gridSpan w:val="2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Legal Matters</w:t>
              </w:r>
            </w:hyperlink>
          </w:p>
        </w:tc>
        <w:tc>
          <w:tcPr>
            <w:tcW w:w="992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S-26</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Experts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S-26</w:t>
            </w:r>
          </w:p>
        </w:tc>
        <w:tc>
          <w:tcPr>
            <w:tcW w:w="0" w:type="dxa"/>
            <w:vAlign w:val="bottom"/>
          </w:tcPr>
          <w:p>
            <w:pPr>
              <w:spacing w:after="0"/>
              <w:rPr>
                <w:sz w:val="1"/>
                <w:szCs w:val="1"/>
                <w:color w:val="auto"/>
              </w:rPr>
            </w:pPr>
          </w:p>
        </w:tc>
      </w:tr>
      <w:tr>
        <w:trPr>
          <w:trHeight w:val="561"/>
        </w:trPr>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20" w:type="dxa"/>
            <w:vAlign w:val="bottom"/>
            <w:gridSpan w:val="4"/>
          </w:tcPr>
          <w:p>
            <w:pPr>
              <w:jc w:val="center"/>
              <w:ind w:right="4720"/>
              <w:spacing w:after="0"/>
              <w:rPr>
                <w:sz w:val="20"/>
                <w:szCs w:val="20"/>
                <w:color w:val="auto"/>
              </w:rPr>
            </w:pPr>
            <w:r>
              <w:rPr>
                <w:rFonts w:ascii="Arial" w:cs="Arial" w:eastAsia="Arial" w:hAnsi="Arial"/>
                <w:sz w:val="18"/>
                <w:szCs w:val="18"/>
                <w:b w:val="1"/>
                <w:bCs w:val="1"/>
                <w:color w:val="auto"/>
                <w:w w:val="83"/>
              </w:rPr>
              <w:t>Prospectus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94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The Companies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Caution Concerning Forward-Looking Statements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Use of Proceeds</w:t>
              </w:r>
            </w:hyperlink>
          </w:p>
        </w:tc>
        <w:tc>
          <w:tcPr>
            <w:tcW w:w="2440" w:type="dxa"/>
            <w:vAlign w:val="bottom"/>
            <w:tcBorders>
              <w:top w:val="single" w:sz="8" w:color="0000EE"/>
            </w:tcBorders>
            <w:gridSpan w:val="9"/>
          </w:tcPr>
          <w:p>
            <w:pPr>
              <w:spacing w:after="0"/>
              <w:rPr>
                <w:sz w:val="17"/>
                <w:szCs w:val="17"/>
                <w:color w:val="auto"/>
              </w:rPr>
            </w:pPr>
          </w:p>
        </w:tc>
        <w:tc>
          <w:tcPr>
            <w:tcW w:w="732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Dividend Policy</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Ratios of Earnings to Fixed Charges and of Earnings to Combined Fixed Charges and Preferred Dividends</w:t>
              </w:r>
            </w:hyperlink>
          </w:p>
        </w:tc>
        <w:tc>
          <w:tcPr>
            <w:tcW w:w="32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Description of Debt Securities and Guarantees</w:t>
              </w:r>
            </w:hyperlink>
          </w:p>
        </w:tc>
        <w:tc>
          <w:tcPr>
            <w:tcW w:w="758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Global Securities</w:t>
              </w:r>
            </w:hyperlink>
          </w:p>
        </w:tc>
        <w:tc>
          <w:tcPr>
            <w:tcW w:w="9680" w:type="dxa"/>
            <w:vAlign w:val="bottom"/>
            <w:gridSpan w:val="1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Capital Stock</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Plan of Distribution</w:t>
              </w:r>
            </w:hyperlink>
          </w:p>
        </w:tc>
        <w:tc>
          <w:tcPr>
            <w:tcW w:w="560" w:type="dxa"/>
            <w:vAlign w:val="bottom"/>
            <w:tcBorders>
              <w:top w:val="single" w:sz="8" w:color="0000EE"/>
            </w:tcBorders>
            <w:gridSpan w:val="2"/>
          </w:tcPr>
          <w:p>
            <w:pPr>
              <w:spacing w:after="0"/>
              <w:rPr>
                <w:sz w:val="17"/>
                <w:szCs w:val="17"/>
                <w:color w:val="auto"/>
              </w:rPr>
            </w:pPr>
          </w:p>
        </w:tc>
        <w:tc>
          <w:tcPr>
            <w:tcW w:w="888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Legal Matters</w:t>
              </w:r>
            </w:hyperlink>
          </w:p>
        </w:tc>
        <w:tc>
          <w:tcPr>
            <w:tcW w:w="992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Experts</w:t>
              </w:r>
            </w:hyperlink>
          </w:p>
        </w:tc>
        <w:tc>
          <w:tcPr>
            <w:tcW w:w="10380" w:type="dxa"/>
            <w:vAlign w:val="bottom"/>
            <w:gridSpan w:val="1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Available Information</w:t>
              </w:r>
            </w:hyperlink>
          </w:p>
        </w:tc>
        <w:tc>
          <w:tcPr>
            <w:tcW w:w="934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Incorporation of Certain Documents by Reference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not, and the manager has not, authorized anyone to provide you any information other than that contained or incorporated by reference in this prospectus supplement, the accompanying prospectus or in any free writing prospectus prepared by or on behalf of us or to which we have referred you. Neither we nor the manager take any responsibility for, or can provide any assurance as to the reliability of, any other information that others may give you. If information in this prospectus supplement is inconsistent with the accompanying prospectus, you should rely on this prospectus supplement. We are not, and the manager is not, making an offer of these securities in any jurisdiction where the offer or sale is not permitted. You should not assume that the information provided in this prospectus supplement, the accompanying prospectus or the documents incorporated by reference in this prospectus supplement and in the accompanying prospectus is accurate as of any date other than their respective dates. Our business, financial condition, results of operations and prospects may have changed since those dates.</w:t>
      </w:r>
    </w:p>
    <w:p>
      <w:pPr>
        <w:spacing w:after="0" w:line="179"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References herein to “U.S. $”, “$” and “dollars” are to the currency of the United States. The financial information presented in this prospectus supplement and the accompanying prospectus has been prepared in accordance with Generally Accepted Accounting Principles in the United States.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We file annual reports on Form 10-K, quarterly reports on Form 10-Q, current reports on Form 8-K, proxy statements and information statements and amendments to reports filed or furnished pursuant to the Securities Exchange Act of 1934, as amended (the “Exchange Act”), with the Securities and Exchange Commission (the “SEC”). You may read and copy any materials we file at the SEC’s Public Reference Room at 100 F Street, N.E., Washington, D.C. 20549. Please call the SEC at 1-800-SEC-0330 for further information about the Public Reference Room. The SEC also maintains an internet website at </w:t>
      </w:r>
      <w:r>
        <w:rPr>
          <w:rFonts w:ascii="Arial" w:cs="Arial" w:eastAsia="Arial" w:hAnsi="Arial"/>
          <w:sz w:val="18"/>
          <w:szCs w:val="18"/>
          <w:i w:val="1"/>
          <w:iCs w:val="1"/>
          <w:color w:val="auto"/>
        </w:rPr>
        <w:t xml:space="preserve">www.sec.gov </w:t>
      </w:r>
      <w:r>
        <w:rPr>
          <w:rFonts w:ascii="Arial" w:cs="Arial" w:eastAsia="Arial" w:hAnsi="Arial"/>
          <w:sz w:val="18"/>
          <w:szCs w:val="18"/>
          <w:color w:val="auto"/>
        </w:rPr>
        <w:t>that contains periodic and current reports, proxy and information statements, and other information regarding registrants that file electronically</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SEC.</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prospectus supplement is part of a registration statement that we filed with the SEC, using a “shelf” registration process under the Securities Act of 1933, as amended (the “Securities Act”), relating to the securities to be offered. This prospectus supplement does not contain all of the information set forth in the registration statement, certain parts of which are omitted in accordance with the rules and regulations of the SEC. For further information with respect to Comcast and the notes offered by this prospectus supplement, reference is hereby made to the registration statement. The registration statement, including the exhibits thereto, may be inspected at the Public Reference Room maintained by the SEC at the address set forth above or may be obtained at the SEC’s website set forth above. Statements contained herein concerning any document filed as an exhibit are not necessarily complete, and, in each instance, reference is made to the copy of such document filed as an exhibit to the registration statement. Each such statement is qualified in its entirety by such reference.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This prospectus supplement incorporates by reference the documents of Comcast and NBCUniversal Media, LLC (“NBCUniversal”) set forth below that we or NBCUniversal have previously filed with the SEC:</w:t>
      </w:r>
    </w:p>
    <w:p>
      <w:pPr>
        <w:spacing w:after="0" w:line="7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Comcast’s and NBCUniversal’s combined Annual Report on Form 10-K for the year ended December 31, 2017, filed on January 31, 2018.</w:t>
      </w:r>
    </w:p>
    <w:p>
      <w:pPr>
        <w:spacing w:after="0" w:line="23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70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61702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83" w:lineRule="exact"/>
        <w:rPr>
          <w:sz w:val="20"/>
          <w:szCs w:val="20"/>
          <w:color w:val="auto"/>
        </w:rPr>
      </w:pPr>
    </w:p>
    <w:p>
      <w:pPr>
        <w:ind w:left="1060" w:right="200" w:hanging="323"/>
        <w:spacing w:after="0" w:line="266"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voice, and security and automation services to residential customers under the Xfinity brand; we also provide these and other services to business customers and sell advertising.</w:t>
      </w:r>
    </w:p>
    <w:p>
      <w:pPr>
        <w:spacing w:after="0" w:line="81" w:lineRule="exact"/>
        <w:rPr>
          <w:rFonts w:ascii="Arial" w:cs="Arial" w:eastAsia="Arial" w:hAnsi="Arial"/>
          <w:sz w:val="18"/>
          <w:szCs w:val="18"/>
          <w:color w:val="auto"/>
        </w:rPr>
      </w:pPr>
    </w:p>
    <w:p>
      <w:pPr>
        <w:ind w:left="1060" w:right="220" w:hanging="323"/>
        <w:spacing w:after="0" w:line="266"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sports content, our regional sports and news networks, our international cable networks, our cable television studio production operations, and various digital properties.</w:t>
      </w:r>
    </w:p>
    <w:p>
      <w:pPr>
        <w:spacing w:after="0" w:line="81" w:lineRule="exact"/>
        <w:rPr>
          <w:rFonts w:ascii="Arial" w:cs="Arial" w:eastAsia="Arial" w:hAnsi="Arial"/>
          <w:sz w:val="18"/>
          <w:szCs w:val="18"/>
          <w:color w:val="auto"/>
        </w:rPr>
      </w:pPr>
    </w:p>
    <w:p>
      <w:pPr>
        <w:ind w:left="1060" w:right="120" w:hanging="323"/>
        <w:spacing w:after="0" w:line="266"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the NBC Universo national cable network, our broadcast television studio production operations, and various digital properties.</w:t>
      </w:r>
    </w:p>
    <w:p>
      <w:pPr>
        <w:spacing w:after="0" w:line="81" w:lineRule="exact"/>
        <w:rPr>
          <w:rFonts w:ascii="Arial" w:cs="Arial" w:eastAsia="Arial" w:hAnsi="Arial"/>
          <w:sz w:val="18"/>
          <w:szCs w:val="18"/>
          <w:color w:val="auto"/>
        </w:rPr>
      </w:pPr>
    </w:p>
    <w:p>
      <w:pPr>
        <w:ind w:left="1060" w:hanging="323"/>
        <w:spacing w:after="0" w:line="347"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Filmed Entertainment: </w:t>
      </w:r>
      <w:r>
        <w:rPr>
          <w:rFonts w:ascii="Arial" w:cs="Arial" w:eastAsia="Arial" w:hAnsi="Arial"/>
          <w:sz w:val="16"/>
          <w:szCs w:val="16"/>
          <w:color w:val="auto"/>
        </w:rPr>
        <w:t>Consists primarily of the operations of Universal Pictures, which produces, acquires, markets and distributes filmed</w:t>
      </w:r>
      <w:r>
        <w:rPr>
          <w:rFonts w:ascii="Arial" w:cs="Arial" w:eastAsia="Arial" w:hAnsi="Arial"/>
          <w:sz w:val="16"/>
          <w:szCs w:val="16"/>
          <w:b w:val="1"/>
          <w:bCs w:val="1"/>
          <w:color w:val="auto"/>
        </w:rPr>
        <w:t xml:space="preserve"> </w:t>
      </w:r>
      <w:r>
        <w:rPr>
          <w:rFonts w:ascii="Arial" w:cs="Arial" w:eastAsia="Arial" w:hAnsi="Arial"/>
          <w:sz w:val="16"/>
          <w:szCs w:val="16"/>
          <w:color w:val="auto"/>
        </w:rPr>
        <w:t>entertainment worldwide; our films are also produced under the Illumination, DreamWorks Animation and Focus Features names.</w:t>
      </w:r>
    </w:p>
    <w:p>
      <w:pPr>
        <w:spacing w:after="0" w:line="21" w:lineRule="exact"/>
        <w:rPr>
          <w:rFonts w:ascii="Arial" w:cs="Arial" w:eastAsia="Arial" w:hAnsi="Arial"/>
          <w:sz w:val="16"/>
          <w:szCs w:val="16"/>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w:t>
      </w:r>
    </w:p>
    <w:p>
      <w:pPr>
        <w:spacing w:after="0" w:line="229"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 and are collectively referred to as the “NBCUniversal segments.”</w:t>
      </w:r>
    </w:p>
    <w:p>
      <w:pPr>
        <w:spacing w:after="0" w:line="170"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Our other business interests consist primarily of Comcast Spectacor, which owns the Philadelphia Flyers and the Wells Fargo Center arena in Philadelphia, Pennsylvania and operates arena management-related businesses, and our wireless phone service, which we launched in mid-2017.</w:t>
      </w:r>
    </w:p>
    <w:p>
      <w:pPr>
        <w:spacing w:after="0" w:line="124"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46" w:lineRule="exact"/>
        <w:rPr>
          <w:sz w:val="20"/>
          <w:szCs w:val="20"/>
          <w:color w:val="auto"/>
        </w:rPr>
      </w:pPr>
    </w:p>
    <w:p>
      <w:pPr>
        <w:ind w:left="200" w:right="160" w:hanging="4"/>
        <w:spacing w:after="0" w:line="26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(“Comcast Cable Communications”) and NBCUniversal. In this prospectus supplement, we refer to these guarantors as the guarantors and to these guarantees as the guarantees.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410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14103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131" w:lineRule="exact"/>
        <w:rPr>
          <w:sz w:val="20"/>
          <w:szCs w:val="20"/>
          <w:color w:val="auto"/>
        </w:rPr>
      </w:pPr>
    </w:p>
    <w:p>
      <w:pPr>
        <w:ind w:left="1060" w:right="26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guarantor.</w:t>
      </w:r>
    </w:p>
    <w:p>
      <w:pPr>
        <w:spacing w:after="0" w:line="23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Comcast Cable Communications’ principal place of business is One Comcast Center, Philadelphia, Pennsylvania 19103-2838. NBCUniversal’s principal executive offices are located at 30 Rockefeller Plaza, New York, New York 10112-0015.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60"/>
          </w:cols>
          <w:pgMar w:left="240" w:top="459" w:right="6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8"/>
        </w:trPr>
        <w:tc>
          <w:tcPr>
            <w:tcW w:w="3340" w:type="dxa"/>
            <w:vAlign w:val="bottom"/>
            <w:tcBorders>
              <w:top w:val="single" w:sz="8" w:color="auto"/>
              <w:left w:val="single" w:sz="8" w:color="auto"/>
            </w:tcBorders>
          </w:tcPr>
          <w:p>
            <w:pPr>
              <w:spacing w:after="0"/>
              <w:rPr>
                <w:sz w:val="24"/>
                <w:szCs w:val="24"/>
                <w:color w:val="auto"/>
              </w:rPr>
            </w:pPr>
          </w:p>
        </w:tc>
        <w:tc>
          <w:tcPr>
            <w:tcW w:w="808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Issuer</w:t>
            </w: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Comcast Corporation.</w:t>
            </w:r>
          </w:p>
        </w:tc>
      </w:tr>
      <w:tr>
        <w:trPr>
          <w:trHeight w:val="473"/>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Securities Offered</w:t>
            </w: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$800,000,000 aggregate principal amount of 4.250% Notes due 2053.</w:t>
            </w:r>
          </w:p>
        </w:tc>
      </w:tr>
      <w:tr>
        <w:trPr>
          <w:trHeight w:val="473"/>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Maturity</w:t>
            </w: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January 31, 2053.</w:t>
            </w:r>
          </w:p>
        </w:tc>
      </w:tr>
      <w:tr>
        <w:trPr>
          <w:trHeight w:val="458"/>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Interest</w:t>
            </w: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4"/>
              </w:rPr>
              <w:t>The notes will bear interest from February 12, 2018 at the rate of 4.250% per annum, payable</w:t>
            </w:r>
          </w:p>
        </w:tc>
      </w:tr>
      <w:tr>
        <w:trPr>
          <w:trHeight w:val="230"/>
        </w:trPr>
        <w:tc>
          <w:tcPr>
            <w:tcW w:w="33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semiannually in cash in arrears on February 15 and August 15, beginning on August 15, 2018.</w:t>
            </w:r>
          </w:p>
        </w:tc>
      </w:tr>
      <w:tr>
        <w:trPr>
          <w:trHeight w:val="445"/>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Ranking</w:t>
            </w: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The notes will be unsecured and will rank equally with all of our and the guarantors’</w:t>
            </w:r>
          </w:p>
        </w:tc>
      </w:tr>
      <w:tr>
        <w:trPr>
          <w:trHeight w:val="230"/>
        </w:trPr>
        <w:tc>
          <w:tcPr>
            <w:tcW w:w="33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unsecured and unsubordinated indebtedness.</w:t>
            </w:r>
          </w:p>
        </w:tc>
      </w:tr>
      <w:tr>
        <w:trPr>
          <w:trHeight w:val="445"/>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Currency of Payments</w:t>
            </w: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The notes will be denominated in U.S. dollars and we will pay principal, interest and any</w:t>
            </w:r>
          </w:p>
        </w:tc>
      </w:tr>
      <w:tr>
        <w:trPr>
          <w:trHeight w:val="230"/>
        </w:trPr>
        <w:tc>
          <w:tcPr>
            <w:tcW w:w="33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premium in U.S. dollars.</w:t>
            </w:r>
          </w:p>
        </w:tc>
      </w:tr>
      <w:tr>
        <w:trPr>
          <w:trHeight w:val="445"/>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Additional Amounts</w:t>
            </w: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Subject to certain exceptions and limitations set forth herein, we will pay additional amounts</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1"/>
              </w:rPr>
              <w:t>as may be necessary to ensure that every net payment on a note to a holder who is not a United</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States person, after deduction or withholding by us or our paying agent for or on account of</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0"/>
              </w:rPr>
              <w:t>any present or future tax, assessment or other governmental charge imposed upon or as a result</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8"/>
              </w:rPr>
              <w:t>of such payment by the United States or any political subdivision or taxing authority of the</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9"/>
              </w:rPr>
              <w:t>United States, will not be less than the amount provided in such note to be then due and</w:t>
            </w:r>
          </w:p>
        </w:tc>
      </w:tr>
      <w:tr>
        <w:trPr>
          <w:trHeight w:val="230"/>
        </w:trPr>
        <w:tc>
          <w:tcPr>
            <w:tcW w:w="33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payable. See “Description of Notes—Payment of Additional Amounts.”</w:t>
            </w:r>
          </w:p>
        </w:tc>
      </w:tr>
      <w:tr>
        <w:trPr>
          <w:trHeight w:val="459"/>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Guarantors</w:t>
            </w: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Comcast Cable Communications and NBCUniversal.</w:t>
            </w:r>
          </w:p>
        </w:tc>
      </w:tr>
      <w:tr>
        <w:trPr>
          <w:trHeight w:val="458"/>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Guarantees</w:t>
            </w: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7"/>
              </w:rPr>
              <w:t>The guarantors will fully and unconditionally guarantee the notes, including the payment of</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4"/>
              </w:rPr>
              <w:t>principal, premium, if any, and interest. The guarantees will rank equally with all other general</w:t>
            </w:r>
          </w:p>
        </w:tc>
      </w:tr>
      <w:tr>
        <w:trPr>
          <w:trHeight w:val="230"/>
        </w:trPr>
        <w:tc>
          <w:tcPr>
            <w:tcW w:w="33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unsecured and unsubordinated obligations of the guarantors.</w:t>
            </w:r>
          </w:p>
        </w:tc>
      </w:tr>
      <w:tr>
        <w:trPr>
          <w:trHeight w:val="445"/>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4"/>
              </w:rPr>
              <w:t>We may, at our option, redeem the notes, in whole but not in part, on each February 15 on or</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after February 15, 2023. Any redemption described in this paragraph must be on not less than</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15 nor more than 30 days’ notice and will be at a redemption price equal to 100% of the</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7"/>
              </w:rPr>
              <w:t>principal amount of the notes being redeemed plus accrued and unpaid interest to, but not</w:t>
            </w:r>
          </w:p>
        </w:tc>
      </w:tr>
      <w:tr>
        <w:trPr>
          <w:trHeight w:val="230"/>
        </w:trPr>
        <w:tc>
          <w:tcPr>
            <w:tcW w:w="33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including, the redemption date.</w:t>
            </w:r>
          </w:p>
        </w:tc>
      </w:tr>
      <w:tr>
        <w:trPr>
          <w:trHeight w:val="445"/>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Redemption for Tax Reasons</w:t>
            </w: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5"/>
              </w:rPr>
              <w:t>We may redeem the notes, in whole but not in part, in the event of certain changes in the tax</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laws of the United States (or any taxing authority in the United States). This redemption would</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be at 100% of the principal amount of the notes to be redeemed (plus any accrued and unpaid</w:t>
            </w:r>
          </w:p>
        </w:tc>
      </w:tr>
      <w:tr>
        <w:trPr>
          <w:trHeight w:val="216"/>
        </w:trPr>
        <w:tc>
          <w:tcPr>
            <w:tcW w:w="33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interest and additional amounts then payable with respect to the notes to, but not including, the</w:t>
            </w:r>
          </w:p>
        </w:tc>
      </w:tr>
      <w:tr>
        <w:trPr>
          <w:trHeight w:val="230"/>
        </w:trPr>
        <w:tc>
          <w:tcPr>
            <w:tcW w:w="33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redemption date). See “Description of Notes––Redemption for Tax Reasons.”</w:t>
            </w:r>
          </w:p>
        </w:tc>
      </w:tr>
      <w:tr>
        <w:trPr>
          <w:trHeight w:val="445"/>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We intend to use the net proceeds from the offering, after deducting the underwriting</w:t>
            </w:r>
          </w:p>
        </w:tc>
      </w:tr>
      <w:tr>
        <w:trPr>
          <w:trHeight w:val="230"/>
        </w:trPr>
        <w:tc>
          <w:tcPr>
            <w:tcW w:w="33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commission, structuring fee and expenses, for</w:t>
            </w:r>
          </w:p>
        </w:tc>
      </w:tr>
      <w:tr>
        <w:trPr>
          <w:trHeight w:val="253"/>
        </w:trPr>
        <w:tc>
          <w:tcPr>
            <w:tcW w:w="3340" w:type="dxa"/>
            <w:vAlign w:val="bottom"/>
            <w:tcBorders>
              <w:left w:val="single" w:sz="8" w:color="auto"/>
              <w:bottom w:val="single" w:sz="8" w:color="auto"/>
            </w:tcBorders>
          </w:tcPr>
          <w:p>
            <w:pPr>
              <w:spacing w:after="0"/>
              <w:rPr>
                <w:sz w:val="22"/>
                <w:szCs w:val="22"/>
                <w:color w:val="auto"/>
              </w:rPr>
            </w:pPr>
          </w:p>
        </w:tc>
        <w:tc>
          <w:tcPr>
            <w:tcW w:w="8080" w:type="dxa"/>
            <w:vAlign w:val="bottom"/>
            <w:tcBorders>
              <w:bottom w:val="single" w:sz="8" w:color="auto"/>
              <w:right w:val="single" w:sz="8" w:color="auto"/>
            </w:tcBorders>
          </w:tcPr>
          <w:p>
            <w:pPr>
              <w:spacing w:after="0"/>
              <w:rPr>
                <w:sz w:val="22"/>
                <w:szCs w:val="22"/>
                <w:color w:val="auto"/>
              </w:rPr>
            </w:pPr>
          </w:p>
        </w:tc>
      </w:tr>
      <w:tr>
        <w:trPr>
          <w:trHeight w:val="604"/>
        </w:trPr>
        <w:tc>
          <w:tcPr>
            <w:tcW w:w="3340" w:type="dxa"/>
            <w:vAlign w:val="bottom"/>
          </w:tcPr>
          <w:p>
            <w:pPr>
              <w:spacing w:after="0"/>
              <w:rPr>
                <w:sz w:val="24"/>
                <w:szCs w:val="24"/>
                <w:color w:val="auto"/>
              </w:rPr>
            </w:pPr>
          </w:p>
        </w:tc>
        <w:tc>
          <w:tcPr>
            <w:tcW w:w="8080" w:type="dxa"/>
            <w:vAlign w:val="bottom"/>
          </w:tcPr>
          <w:p>
            <w:pPr>
              <w:ind w:left="224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020" w:type="dxa"/>
            <w:vAlign w:val="bottom"/>
            <w:tcBorders>
              <w:top w:val="single" w:sz="8" w:color="auto"/>
              <w:left w:val="single" w:sz="8" w:color="auto"/>
            </w:tcBorders>
          </w:tcPr>
          <w:p>
            <w:pPr>
              <w:spacing w:after="0"/>
              <w:rPr>
                <w:sz w:val="24"/>
                <w:szCs w:val="24"/>
                <w:color w:val="auto"/>
              </w:rPr>
            </w:pPr>
          </w:p>
        </w:tc>
        <w:tc>
          <w:tcPr>
            <w:tcW w:w="8400" w:type="dxa"/>
            <w:vAlign w:val="bottom"/>
            <w:tcBorders>
              <w:top w:val="single" w:sz="8" w:color="auto"/>
              <w:right w:val="single" w:sz="8" w:color="auto"/>
            </w:tcBorders>
          </w:tcPr>
          <w:p>
            <w:pPr>
              <w:ind w:left="1360"/>
              <w:spacing w:after="0"/>
              <w:rPr>
                <w:sz w:val="20"/>
                <w:szCs w:val="20"/>
                <w:color w:val="auto"/>
              </w:rPr>
            </w:pPr>
            <w:r>
              <w:rPr>
                <w:rFonts w:ascii="Arial" w:cs="Arial" w:eastAsia="Arial" w:hAnsi="Arial"/>
                <w:sz w:val="18"/>
                <w:szCs w:val="18"/>
                <w:color w:val="auto"/>
                <w:w w:val="93"/>
              </w:rPr>
              <w:t>working capital and general corporate purposes, which may include the repayment of a portion</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of our upcoming debt maturities, including the 5.875% notes due February 15, 2018</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6"/>
              </w:rPr>
              <w:t>($900 million principal amount outstanding as of the date hereof) and the 5.700% notes due</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5"/>
              </w:rPr>
              <w:t>May 15, 2018 ($1 billion principal amount outstanding as of the date hereof), and repayment</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7"/>
              </w:rPr>
              <w:t>of a portion of our outstanding commercial paper. As of January 30, 2018, our commercial</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5"/>
              </w:rPr>
              <w:t>paper had a weighted average annual interest rate of approximately 1.726% and a weighted</w:t>
            </w:r>
          </w:p>
        </w:tc>
      </w:tr>
      <w:tr>
        <w:trPr>
          <w:trHeight w:val="230"/>
        </w:trPr>
        <w:tc>
          <w:tcPr>
            <w:tcW w:w="3020" w:type="dxa"/>
            <w:vAlign w:val="bottom"/>
            <w:tcBorders>
              <w:left w:val="single" w:sz="8" w:color="auto"/>
            </w:tcBorders>
          </w:tcPr>
          <w:p>
            <w:pPr>
              <w:spacing w:after="0"/>
              <w:rPr>
                <w:sz w:val="20"/>
                <w:szCs w:val="20"/>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average remaining maturity of approximately 5 days.</w:t>
            </w:r>
          </w:p>
        </w:tc>
      </w:tr>
      <w:tr>
        <w:trPr>
          <w:trHeight w:val="458"/>
        </w:trPr>
        <w:tc>
          <w:tcPr>
            <w:tcW w:w="30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Book-Entry</w:t>
            </w: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4"/>
              </w:rPr>
              <w:t>The notes will be issued in book-entry form and will be represented by global notes deposited</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with, or on behalf of, a common depositary on behalf of Euroclear and Clearstream and</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4"/>
              </w:rPr>
              <w:t>registered in the name of the common depositary or its nominee. Beneficial interests in any of</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4"/>
              </w:rPr>
              <w:t>the notes will be shown on, and transfers will be effected only through, records maintained by</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6"/>
              </w:rPr>
              <w:t>Euroclear and Clearstream and their participants, and these beneficial interests may not be</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3"/>
              </w:rPr>
              <w:t>exchanged for certificated notes, except in limited circumstances. See “Description of Notes––</w:t>
            </w:r>
          </w:p>
        </w:tc>
      </w:tr>
      <w:tr>
        <w:trPr>
          <w:trHeight w:val="230"/>
        </w:trPr>
        <w:tc>
          <w:tcPr>
            <w:tcW w:w="3020" w:type="dxa"/>
            <w:vAlign w:val="bottom"/>
            <w:tcBorders>
              <w:left w:val="single" w:sz="8" w:color="auto"/>
            </w:tcBorders>
          </w:tcPr>
          <w:p>
            <w:pPr>
              <w:spacing w:after="0"/>
              <w:rPr>
                <w:sz w:val="20"/>
                <w:szCs w:val="20"/>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Book-Entry System” in this prospectus supplement.</w:t>
            </w:r>
          </w:p>
        </w:tc>
      </w:tr>
      <w:tr>
        <w:trPr>
          <w:trHeight w:val="661"/>
        </w:trPr>
        <w:tc>
          <w:tcPr>
            <w:tcW w:w="30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Concurrent Offering</w:t>
            </w: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7"/>
              </w:rPr>
              <w:t>We are conducting a concurrent offering (the “concurrent offering”) pursuant to a separate</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7"/>
              </w:rPr>
              <w:t>prospectus supplement of $3.2 billion aggregate principal amount of notes (the “concurrent</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offering notes”). The concurrent offering notes will not be listed on an exchange. The</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concurrent offering notes will be unsecured and will rank equally with all of our and our</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2"/>
              </w:rPr>
              <w:t>guarantors’ unsecured and unsubordinated indebtedness. The concurrent offering notes will be</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5"/>
              </w:rPr>
              <w:t>fully and unconditionally guaranteed by the guarantors of the notes. The offer and sale of the</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notes is not conditioned on the concurrent offering, and the concurrent offering is not</w:t>
            </w:r>
          </w:p>
        </w:tc>
      </w:tr>
      <w:tr>
        <w:trPr>
          <w:trHeight w:val="230"/>
        </w:trPr>
        <w:tc>
          <w:tcPr>
            <w:tcW w:w="3020" w:type="dxa"/>
            <w:vAlign w:val="bottom"/>
            <w:tcBorders>
              <w:left w:val="single" w:sz="8" w:color="auto"/>
            </w:tcBorders>
          </w:tcPr>
          <w:p>
            <w:pPr>
              <w:spacing w:after="0"/>
              <w:rPr>
                <w:sz w:val="20"/>
                <w:szCs w:val="20"/>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conditioned on the offer and sale of the notes.</w:t>
            </w:r>
          </w:p>
        </w:tc>
      </w:tr>
      <w:tr>
        <w:trPr>
          <w:trHeight w:val="661"/>
        </w:trPr>
        <w:tc>
          <w:tcPr>
            <w:tcW w:w="30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Further Issuances</w:t>
            </w: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6"/>
              </w:rPr>
              <w:t>To the extent permitted by applicable authorities in the ROC and subject to the receipt of all</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6"/>
              </w:rPr>
              <w:t>necessary regulatory and listing approvals from such authorities, including but not limited to</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the TPEx and the Taiwan Securities Association (the “TSA”), we may from time to time,</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4"/>
              </w:rPr>
              <w:t>without notice to or the consent of the holders of notes, create and issue further notes ranking</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4"/>
              </w:rPr>
              <w:t>equally and ratably with such notes in all respects, or in all respects except for the payment of</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4"/>
              </w:rPr>
              <w:t>interest accruing prior to the issue date or except for the first payment of interest following the</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5"/>
              </w:rPr>
              <w:t>issue date of those further notes; provided, that if such additional notes are not fungible with</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3"/>
              </w:rPr>
              <w:t>the notes offered hereby for U.S. federal income tax purposes, such additional notes will have</w:t>
            </w:r>
          </w:p>
        </w:tc>
      </w:tr>
      <w:tr>
        <w:trPr>
          <w:trHeight w:val="216"/>
        </w:trPr>
        <w:tc>
          <w:tcPr>
            <w:tcW w:w="30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4"/>
              </w:rPr>
              <w:t>one or more separate ISIN numbers. Any further notes will have the same terms as to status,</w:t>
            </w:r>
          </w:p>
        </w:tc>
      </w:tr>
      <w:tr>
        <w:trPr>
          <w:trHeight w:val="230"/>
        </w:trPr>
        <w:tc>
          <w:tcPr>
            <w:tcW w:w="3020" w:type="dxa"/>
            <w:vAlign w:val="bottom"/>
            <w:tcBorders>
              <w:left w:val="single" w:sz="8" w:color="auto"/>
            </w:tcBorders>
          </w:tcPr>
          <w:p>
            <w:pPr>
              <w:spacing w:after="0"/>
              <w:rPr>
                <w:sz w:val="20"/>
                <w:szCs w:val="20"/>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redemption or otherwise as the notes.</w:t>
            </w:r>
          </w:p>
        </w:tc>
      </w:tr>
      <w:tr>
        <w:trPr>
          <w:trHeight w:val="459"/>
        </w:trPr>
        <w:tc>
          <w:tcPr>
            <w:tcW w:w="30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The Bank of New York Mellon.</w:t>
            </w:r>
          </w:p>
        </w:tc>
      </w:tr>
      <w:tr>
        <w:trPr>
          <w:trHeight w:val="458"/>
        </w:trPr>
        <w:tc>
          <w:tcPr>
            <w:tcW w:w="30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Markets</w:t>
            </w: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8"/>
              </w:rPr>
              <w:t>The notes are offered for sale in those jurisdictions in the United States, Europe and Asia</w:t>
            </w:r>
          </w:p>
        </w:tc>
      </w:tr>
      <w:tr>
        <w:trPr>
          <w:trHeight w:val="230"/>
        </w:trPr>
        <w:tc>
          <w:tcPr>
            <w:tcW w:w="3020" w:type="dxa"/>
            <w:vAlign w:val="bottom"/>
            <w:tcBorders>
              <w:left w:val="single" w:sz="8" w:color="auto"/>
            </w:tcBorders>
          </w:tcPr>
          <w:p>
            <w:pPr>
              <w:spacing w:after="0"/>
              <w:rPr>
                <w:sz w:val="20"/>
                <w:szCs w:val="20"/>
                <w:color w:val="auto"/>
              </w:rPr>
            </w:pPr>
          </w:p>
        </w:tc>
        <w:tc>
          <w:tcPr>
            <w:tcW w:w="840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where it is legal to make such offers. See “Selling.”</w:t>
            </w:r>
          </w:p>
        </w:tc>
      </w:tr>
      <w:tr>
        <w:trPr>
          <w:trHeight w:val="253"/>
        </w:trPr>
        <w:tc>
          <w:tcPr>
            <w:tcW w:w="3020" w:type="dxa"/>
            <w:vAlign w:val="bottom"/>
            <w:tcBorders>
              <w:left w:val="single" w:sz="8" w:color="auto"/>
              <w:bottom w:val="single" w:sz="8" w:color="auto"/>
            </w:tcBorders>
          </w:tcPr>
          <w:p>
            <w:pPr>
              <w:spacing w:after="0"/>
              <w:rPr>
                <w:sz w:val="22"/>
                <w:szCs w:val="22"/>
                <w:color w:val="auto"/>
              </w:rPr>
            </w:pPr>
          </w:p>
        </w:tc>
        <w:tc>
          <w:tcPr>
            <w:tcW w:w="8400" w:type="dxa"/>
            <w:vAlign w:val="bottom"/>
            <w:tcBorders>
              <w:bottom w:val="single" w:sz="8" w:color="auto"/>
              <w:right w:val="single" w:sz="8" w:color="auto"/>
            </w:tcBorders>
          </w:tcPr>
          <w:p>
            <w:pPr>
              <w:spacing w:after="0"/>
              <w:rPr>
                <w:sz w:val="22"/>
                <w:szCs w:val="22"/>
                <w:color w:val="auto"/>
              </w:rPr>
            </w:pPr>
          </w:p>
        </w:tc>
      </w:tr>
      <w:tr>
        <w:trPr>
          <w:trHeight w:val="604"/>
        </w:trPr>
        <w:tc>
          <w:tcPr>
            <w:tcW w:w="3020" w:type="dxa"/>
            <w:vAlign w:val="bottom"/>
          </w:tcPr>
          <w:p>
            <w:pPr>
              <w:spacing w:after="0"/>
              <w:rPr>
                <w:sz w:val="24"/>
                <w:szCs w:val="24"/>
                <w:color w:val="auto"/>
              </w:rPr>
            </w:pPr>
          </w:p>
        </w:tc>
        <w:tc>
          <w:tcPr>
            <w:tcW w:w="8400" w:type="dxa"/>
            <w:vAlign w:val="bottom"/>
          </w:tcPr>
          <w:p>
            <w:pPr>
              <w:ind w:left="256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28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Listing</w:t>
            </w:r>
          </w:p>
        </w:tc>
        <w:tc>
          <w:tcPr>
            <w:tcW w:w="8560" w:type="dxa"/>
            <w:vAlign w:val="bottom"/>
            <w:tcBorders>
              <w:top w:val="single" w:sz="8" w:color="auto"/>
              <w:right w:val="single" w:sz="8" w:color="auto"/>
            </w:tcBorders>
          </w:tcPr>
          <w:p>
            <w:pPr>
              <w:ind w:left="1520"/>
              <w:spacing w:after="0"/>
              <w:rPr>
                <w:sz w:val="20"/>
                <w:szCs w:val="20"/>
                <w:color w:val="auto"/>
              </w:rPr>
            </w:pPr>
            <w:r>
              <w:rPr>
                <w:rFonts w:ascii="Arial" w:cs="Arial" w:eastAsia="Arial" w:hAnsi="Arial"/>
                <w:sz w:val="18"/>
                <w:szCs w:val="18"/>
                <w:color w:val="auto"/>
                <w:w w:val="93"/>
              </w:rPr>
              <w:t>Application will be made for the notes to be admitted to listing on the TPEx. No assurance can</w:t>
            </w:r>
          </w:p>
        </w:tc>
      </w:tr>
      <w:tr>
        <w:trPr>
          <w:trHeight w:val="230"/>
        </w:trPr>
        <w:tc>
          <w:tcPr>
            <w:tcW w:w="2860" w:type="dxa"/>
            <w:vAlign w:val="bottom"/>
            <w:tcBorders>
              <w:left w:val="single" w:sz="8" w:color="auto"/>
            </w:tcBorders>
          </w:tcPr>
          <w:p>
            <w:pPr>
              <w:spacing w:after="0"/>
              <w:rPr>
                <w:sz w:val="20"/>
                <w:szCs w:val="20"/>
                <w:color w:val="auto"/>
              </w:rPr>
            </w:pPr>
          </w:p>
        </w:tc>
        <w:tc>
          <w:tcPr>
            <w:tcW w:w="856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7"/>
              </w:rPr>
              <w:t>be given that such application will be approved, or that the TPEx listing will be maintained.</w:t>
            </w:r>
          </w:p>
        </w:tc>
      </w:tr>
      <w:tr>
        <w:trPr>
          <w:trHeight w:val="445"/>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56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7"/>
              </w:rPr>
              <w:t>You should consider carefully all the information set forth and incorporated by reference in</w:t>
            </w:r>
          </w:p>
        </w:tc>
      </w:tr>
      <w:tr>
        <w:trPr>
          <w:trHeight w:val="216"/>
        </w:trPr>
        <w:tc>
          <w:tcPr>
            <w:tcW w:w="286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5"/>
              </w:rPr>
              <w:t>this prospectus supplement and the accompanying prospectus and, in particular, you should</w:t>
            </w:r>
          </w:p>
        </w:tc>
      </w:tr>
      <w:tr>
        <w:trPr>
          <w:trHeight w:val="216"/>
        </w:trPr>
        <w:tc>
          <w:tcPr>
            <w:tcW w:w="286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3"/>
              </w:rPr>
              <w:t>evaluate the specific factors set forth under the heading “Risk Factors” beginning on page S-6</w:t>
            </w:r>
          </w:p>
        </w:tc>
      </w:tr>
      <w:tr>
        <w:trPr>
          <w:trHeight w:val="216"/>
        </w:trPr>
        <w:tc>
          <w:tcPr>
            <w:tcW w:w="286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7"/>
              </w:rPr>
              <w:t>of this prospectus supplement and described under “Risk Factors” in our Annual Report on</w:t>
            </w:r>
          </w:p>
        </w:tc>
      </w:tr>
      <w:tr>
        <w:trPr>
          <w:trHeight w:val="216"/>
        </w:trPr>
        <w:tc>
          <w:tcPr>
            <w:tcW w:w="2860" w:type="dxa"/>
            <w:vAlign w:val="bottom"/>
            <w:tcBorders>
              <w:left w:val="single" w:sz="8" w:color="auto"/>
            </w:tcBorders>
          </w:tcPr>
          <w:p>
            <w:pPr>
              <w:spacing w:after="0"/>
              <w:rPr>
                <w:sz w:val="18"/>
                <w:szCs w:val="18"/>
                <w:color w:val="auto"/>
              </w:rPr>
            </w:pPr>
          </w:p>
        </w:tc>
        <w:tc>
          <w:tcPr>
            <w:tcW w:w="856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4"/>
              </w:rPr>
              <w:t>Form 10-K for the year ended December 31, 2017, as well as the other information contained</w:t>
            </w:r>
          </w:p>
        </w:tc>
      </w:tr>
      <w:tr>
        <w:trPr>
          <w:trHeight w:val="230"/>
        </w:trPr>
        <w:tc>
          <w:tcPr>
            <w:tcW w:w="2860" w:type="dxa"/>
            <w:vAlign w:val="bottom"/>
            <w:tcBorders>
              <w:left w:val="single" w:sz="8" w:color="auto"/>
            </w:tcBorders>
          </w:tcPr>
          <w:p>
            <w:pPr>
              <w:spacing w:after="0"/>
              <w:rPr>
                <w:sz w:val="20"/>
                <w:szCs w:val="20"/>
                <w:color w:val="auto"/>
              </w:rPr>
            </w:pPr>
          </w:p>
        </w:tc>
        <w:tc>
          <w:tcPr>
            <w:tcW w:w="856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rPr>
              <w:t>or incorporated herein by reference, before investing in any of the notes offered hereby.</w:t>
            </w:r>
          </w:p>
        </w:tc>
      </w:tr>
      <w:tr>
        <w:trPr>
          <w:trHeight w:val="445"/>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56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w w:val="97"/>
              </w:rPr>
              <w:t>The indenture governing the notes is, and the notes will be, governed by, and construed in</w:t>
            </w:r>
          </w:p>
        </w:tc>
      </w:tr>
      <w:tr>
        <w:trPr>
          <w:trHeight w:val="230"/>
        </w:trPr>
        <w:tc>
          <w:tcPr>
            <w:tcW w:w="2860" w:type="dxa"/>
            <w:vAlign w:val="bottom"/>
            <w:tcBorders>
              <w:left w:val="single" w:sz="8" w:color="auto"/>
            </w:tcBorders>
          </w:tcPr>
          <w:p>
            <w:pPr>
              <w:spacing w:after="0"/>
              <w:rPr>
                <w:sz w:val="20"/>
                <w:szCs w:val="20"/>
                <w:color w:val="auto"/>
              </w:rPr>
            </w:pPr>
          </w:p>
        </w:tc>
        <w:tc>
          <w:tcPr>
            <w:tcW w:w="8560" w:type="dxa"/>
            <w:vAlign w:val="bottom"/>
            <w:tcBorders>
              <w:right w:val="single" w:sz="8" w:color="auto"/>
            </w:tcBorders>
          </w:tcPr>
          <w:p>
            <w:pPr>
              <w:ind w:left="1520"/>
              <w:spacing w:after="0"/>
              <w:rPr>
                <w:sz w:val="20"/>
                <w:szCs w:val="20"/>
                <w:color w:val="auto"/>
              </w:rPr>
            </w:pPr>
            <w:r>
              <w:rPr>
                <w:rFonts w:ascii="Arial" w:cs="Arial" w:eastAsia="Arial" w:hAnsi="Arial"/>
                <w:sz w:val="18"/>
                <w:szCs w:val="18"/>
                <w:color w:val="auto"/>
              </w:rPr>
              <w:t>accordance with, the laws of the State of New York.</w:t>
            </w:r>
          </w:p>
        </w:tc>
      </w:tr>
      <w:tr>
        <w:trPr>
          <w:trHeight w:val="253"/>
        </w:trPr>
        <w:tc>
          <w:tcPr>
            <w:tcW w:w="2860" w:type="dxa"/>
            <w:vAlign w:val="bottom"/>
            <w:tcBorders>
              <w:left w:val="single" w:sz="8" w:color="auto"/>
              <w:bottom w:val="single" w:sz="8" w:color="auto"/>
            </w:tcBorders>
          </w:tcPr>
          <w:p>
            <w:pPr>
              <w:spacing w:after="0"/>
              <w:rPr>
                <w:sz w:val="22"/>
                <w:szCs w:val="22"/>
                <w:color w:val="auto"/>
              </w:rPr>
            </w:pPr>
          </w:p>
        </w:tc>
        <w:tc>
          <w:tcPr>
            <w:tcW w:w="8560" w:type="dxa"/>
            <w:vAlign w:val="bottom"/>
            <w:tcBorders>
              <w:bottom w:val="single" w:sz="8" w:color="auto"/>
              <w:right w:val="single" w:sz="8" w:color="auto"/>
            </w:tcBorders>
          </w:tcPr>
          <w:p>
            <w:pPr>
              <w:spacing w:after="0"/>
              <w:rPr>
                <w:sz w:val="22"/>
                <w:szCs w:val="22"/>
                <w:color w:val="auto"/>
              </w:rPr>
            </w:pPr>
          </w:p>
        </w:tc>
      </w:tr>
      <w:tr>
        <w:trPr>
          <w:trHeight w:val="604"/>
        </w:trPr>
        <w:tc>
          <w:tcPr>
            <w:tcW w:w="2860" w:type="dxa"/>
            <w:vAlign w:val="bottom"/>
          </w:tcPr>
          <w:p>
            <w:pPr>
              <w:spacing w:after="0"/>
              <w:rPr>
                <w:sz w:val="24"/>
                <w:szCs w:val="24"/>
                <w:color w:val="auto"/>
              </w:rPr>
            </w:pPr>
          </w:p>
        </w:tc>
        <w:tc>
          <w:tcPr>
            <w:tcW w:w="8560" w:type="dxa"/>
            <w:vAlign w:val="bottom"/>
          </w:tcPr>
          <w:p>
            <w:pPr>
              <w:ind w:left="272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An investment in the notes involves certain risks. You should carefully consider the risk factors described under “Risk Factors” in our Annual Report on Form 10-K for the year ended December 31, 2017, as well as the other information included or incorporated by reference in this prospectus supplement and the accompanying prospectus, before making an investment decision. Additional risks and uncertainties not now known to us or that we now deem immaterial may also adversely affect our business or financial performance. Our business, financial condition, results of operations or cash flows could be materially adversely affected by any of these risks. The market or trading price of the notes could decline due to any of these risks or other factors, and you may lose all or part of your investment.</w:t>
      </w:r>
    </w:p>
    <w:p>
      <w:pPr>
        <w:spacing w:after="0" w:line="19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to the risks relating to us described in our reports described above and any subsequent filings, the following are additional risks relating to an investment in the notes.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trading markets for the notes may not develop.</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 public market exists for the notes. Application will be made for the listing of the notes on the TPEx. No assurances can be given as to whether the notes will be, or will remain, listed on the TPEx or whether a trading market for the notes will develop or as to the liquidity of any such trading market. If the notes fail to or cease to be listed on the TPEx, certain investors may not invest in, or continue to hold or invest in, the notes. If any of the notes are traded after their initial issue, they may trade at a discount or premium from their initial offering price, depending on prevailing interest rates, the market for similar securities and the market for the notes and other factors, including general economic conditions and our financial condition, performance and prospects. No assurance can be given as to the future price level of the notes after their initial issue. The notes may be sold to a limited number of investors, and liquidity of the notes may be adversely affected if a significant portion of the notes are bought by a limited number of investors.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in the clearing systems is subject to minimum denomination requirements.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terms of the notes provide that notes will be issued with a minimum denomination of $100,000 and multiples of $1,000 in excess thereof. It is possible that the clearing systems may process trades which could result in amounts being held in denominations smaller than the minimum denominations. If definitive notes are required to be issued in relation to such notes in accordance with the provisions of the relevant global notes, a holder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may adversely affect your return on the notes.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have the right to redeem the notes, in whole but not in part, prior to maturity on each February 15 on or after February 15, 2023. We may also redeem the notes, in whole but not in part, prior to maturity if certain events involving U.S. taxation occur. The redemption price in each case will not include a premium. We may redeem the notes at times when prevailing interest rates may be relatively low. Accordingly, you may not be able to reinvest the amount received upon a redemption in a comparable security at an effective interest rate as high as that of the notes.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intend to use the net proceeds from the offering, after deducting the underwriting commission, structuring fee and expenses, for working capital and general corporate purposes, which may include the repayment of a portion of our upcoming debt maturities, including the 5.875% notes due February 15, 2018 ($900 million principal amount outstanding as of the date hereof) and the 5.700% notes due May 15, 2018 ($1 billion principal amount outstanding as of the date hereof), and repayment of a portion of our outstanding commercial paper. As of January 30, 2018, our commercial paper had a weighted average annual interest rate of approximately 1.726% and a weighted average remaining maturity of approximately 5 days.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FIXED CHARGES AND PREFERRED DIVIDENDS</w:t>
      </w:r>
    </w:p>
    <w:p>
      <w:pPr>
        <w:spacing w:after="0" w:line="21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21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21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21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2014</w:t>
            </w:r>
          </w:p>
        </w:tc>
        <w:tc>
          <w:tcPr>
            <w:tcW w:w="21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r>
      <w:tr>
        <w:trPr>
          <w:trHeight w:val="210"/>
        </w:trPr>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5.45x</w:t>
            </w: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5.26x</w:t>
            </w: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5.48x</w:t>
            </w:r>
          </w:p>
        </w:tc>
        <w:tc>
          <w:tcPr>
            <w:tcW w:w="2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5.22x</w:t>
            </w:r>
          </w:p>
        </w:tc>
        <w:tc>
          <w:tcPr>
            <w:tcW w:w="2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4.85x</w:t>
            </w:r>
          </w:p>
        </w:tc>
      </w:tr>
    </w:tbl>
    <w:p>
      <w:pPr>
        <w:spacing w:after="0" w:line="202"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w:t>
      </w:r>
    </w:p>
    <w:p>
      <w:pPr>
        <w:spacing w:after="0" w:line="5" w:lineRule="exact"/>
        <w:rPr>
          <w:sz w:val="20"/>
          <w:szCs w:val="20"/>
          <w:color w:val="auto"/>
        </w:rPr>
      </w:pPr>
    </w:p>
    <w:p>
      <w:pPr>
        <w:ind w:right="260" w:firstLine="8"/>
        <w:spacing w:after="0" w:line="254" w:lineRule="auto"/>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offering $800,000,000 aggregate principal amount of our 4.250% Notes due 2053. The notes will be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Communications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Copies of the indenture and the form of notes are available from us upon request.</w:t>
      </w:r>
    </w:p>
    <w:p>
      <w:pPr>
        <w:spacing w:after="0" w:line="178"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initially issue a total of $800,000,000 aggregate principal amount of 4.250% Senior Notes that will mature on January 31, 2053 (the “notes”), unless earlier redeemed. We may issue additional notes as described under “––Further Issuances.”</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may redeem the notes, in whole but not in part, on each February 15 on or after February 15, 2023 as described under “––Optional Redemption” below.</w:t>
      </w:r>
    </w:p>
    <w:p>
      <w:pPr>
        <w:spacing w:after="0" w:line="170" w:lineRule="exact"/>
        <w:rPr>
          <w:sz w:val="20"/>
          <w:szCs w:val="20"/>
          <w:color w:val="auto"/>
        </w:rPr>
      </w:pPr>
    </w:p>
    <w:p>
      <w:pPr>
        <w:jc w:val="both"/>
        <w:ind w:right="420" w:firstLine="456"/>
        <w:spacing w:after="0" w:line="312" w:lineRule="auto"/>
        <w:rPr>
          <w:sz w:val="20"/>
          <w:szCs w:val="20"/>
          <w:color w:val="auto"/>
        </w:rPr>
      </w:pPr>
      <w:r>
        <w:rPr>
          <w:rFonts w:ascii="Arial" w:cs="Arial" w:eastAsia="Arial" w:hAnsi="Arial"/>
          <w:sz w:val="16"/>
          <w:szCs w:val="16"/>
          <w:color w:val="auto"/>
        </w:rPr>
        <w:t>We may also redeem the notes, in whole but not in part, prior to maturity if certain events involving U.S. taxation occur. If any of these special tax events do occur, the notes will be redeemed at a redemption price of 100% of their principal amount plus any accrued and unpaid interest and additional amounts then payable with respect to the notes to, but not including, the redemption date. See “––Redemption for Tax Reasons.”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issued in registered form in denominations of $100,000 and multiples of $1,000 in excess thereof.</w:t>
      </w:r>
    </w:p>
    <w:p>
      <w:pPr>
        <w:spacing w:after="0" w:line="225"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term “business day” when used with respect to any note means any day, other than a Saturday or Sunday, which is not a day on which banking institutions in the City of New York, London or Taipei, are authorized or required by law, regulation or executive order to close.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subject to any sinking fund.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subject to compliance with applicable law, at any time purchase notes in the open market or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Interest on the notes will accrue from February 12, 2018 at the rate of 4.250% per annum, payable semi-annually in arrears on February 15 and August 15 of each year, beginning on August 15, 2018. Interest on the notes will be paid to the person in whose name that note is registered at the close of business on February 1 or August 1, as the case may be, immediately preceding the relevant interest payment date. Interest on the notes will be computed on the basis of a 360-day year composed of twelve 30-day months. If any interest or other payment date of a note falls on a day that is not a business day, the required payment of principal, premium, if any, 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interest will be due on the next succeeding business day as if made on the date that the payment was due, and no interest will accrue on that payment for the period from and after that interest or other payment date, as the case may be, to the date of that payment on the next succeeding business day. Unless we default on a payment, no interest will accrue for that period from and after the applicable interest payment date, maturity date or redemption date. All payment dates with respect to the notes, whether at maturity, upon earlier redemption or on any interest payment date, shall be determined in accordance with the time-zone applicable to The City of New York. Because of time zone differences, the interest payment date on which we make payment may not be the same business day in the applicable jurisdiction of the relevant holder of notes. In addition, deliveries, payments and other communications involving the notes are likely to be carried out through Euroclear and Clearstream, which means such transaction can only be carried out on days when those systems are open for business. Those systems may not be open for business on days when banks, brokers and other institutions are open for business in the United States or Taiwan. See also “––Book-Entry System––Clearance and Settlement Procedures” below.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 or Exchange</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Principal of and premium, if any, and interest on the notes will be payable at the office of the paying agent in London, United Kingdom and any other location we designate. The notes may be registered for transfer or exchanged without payment of any charge (other than any tax or other governmental charge payable in connection therewith) at the office of the registrar in New York, New York. Initially, the paying agent’s office in London, United Kingdom and the registrar’s office in New York, New York will serve as our office and agency for these respective purposes. We may elect that payment of interest on notes be made by wire transfer or by check mailed to the address of the appropriate person as it appears on the security register. So long as the registered owner of the notes is a common depositary of Euroclear and Clearstream or their nominee, payment of principal and interest shall be made in accordance with the requirements of Euroclear and Clearstream. See “––Book-Entry System” below.</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are not required to transfer or exchange any note selected for redemption during a period of 15 days before the electronic delivery or mailing of a notice of redemption of notes to be redeemed.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the owner of that note for all purposes.</w:t>
      </w:r>
    </w:p>
    <w:p>
      <w:pPr>
        <w:spacing w:after="0" w:line="22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Subject to applicable escheat laws, all amounts of principal and of premium, if any, and interest on the notes paid by us that remain unclaimed two years after such payment was due and payable will be repaid to us upon our request, and the holders of such notes will thereafter look solely to us for payment.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have the option to redeem the notes then outstanding, in whole but not in part, on each February 15 on or after February 15, 2023. Any redemption described in this paragraph will be at a redemption price equal to 100% of the principal amount of the notes being redeemed plus accrued and unpaid interest to, but not including, the redemption date. We will calculate the redemption price in connection with any redemption hereunder. Unless we default in payment of the redemption price, on and after the redemption date, interest will cease to accrue on the notes called for redemption.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Notice of any redemption will be electronically delivered or mailed at least 15 days but not more than 30 days before the redemption date to each holder of the notes to be redeemed.</w:t>
      </w:r>
    </w:p>
    <w:p>
      <w:pPr>
        <w:spacing w:after="0" w:line="170"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In addition, the notes are subject to redemption prior to maturity if certain events involving U.S. taxation occur. If any of these special tax events do occur, the notes will be redeemed at a redemption price of 100% of the principal amount of the notes being redeemed plus any accrued and unpaid interest and additional amounts then payable with respect to the notes to, but not including the redemption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To the extent permitted by applicable authorities in the ROC and subject to the receipt of all necessary regulatory and listing approvals from such authorities, including but not limited to the TPEx and the TSA, we may from time to time, without notice to or the consent of the holders of the notes, create and issue additional notes having the same terms as, and ranking equally and ratably with, the notes in all respects (except for the issue date, the offering price and, if applicable, the payment of interest accruing prior to the issue date of such additional notes and the first payment of interest following the issue date of such additional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additional notes are not fungible with the notes offered hereby for U.S. federal income tax purposes, such additional notes will have one or more separate ISIN numbers. Such additional notes may be, to the extent permitted by applicable authorities in the ROC and subject to the receipt of all necessary regulatory and listing approvals from such authorities, including but not limited to the TPEx and the TSA, consolidated and form a single series with, and will have the same terms as to ranking, redemption, waivers, amendments or otherwise, as the notes, and will vote together as one class on all matters with respect to such notes.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will, subject to the exceptions and limitations set forth below, pay as additional interest on the notes such additional amounts as are necessary in order that the net payment by us or our paying agent of the principal of and interest on the notes to a holder who is not a United States person (as defined below), after withholding or deduction for any present or future tax, assessment or other governmental charge (“Tax”)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94" w:lineRule="exact"/>
        <w:rPr>
          <w:sz w:val="20"/>
          <w:szCs w:val="20"/>
          <w:color w:val="auto"/>
        </w:rPr>
      </w:pPr>
    </w:p>
    <w:p>
      <w:pPr>
        <w:jc w:val="both"/>
        <w:ind w:left="900" w:right="1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Tax that is imposed by reason of the holder (or the beneficial owner for whose benefit such holder holds the notes), or a fiduciary, settlor, beneficiary, member or shareholder of the holder if the holder is an estate, trust, partnership or corporation, or a person holding a power over an estate or trust administered by a fiduciary holder, being considered as:</w:t>
      </w:r>
    </w:p>
    <w:p>
      <w:pPr>
        <w:spacing w:after="0" w:line="86" w:lineRule="exact"/>
        <w:rPr>
          <w:rFonts w:ascii="Arial" w:cs="Arial" w:eastAsia="Arial" w:hAnsi="Arial"/>
          <w:sz w:val="18"/>
          <w:szCs w:val="18"/>
          <w:color w:val="auto"/>
        </w:rPr>
      </w:pPr>
    </w:p>
    <w:p>
      <w:pPr>
        <w:ind w:left="1480" w:right="2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75" w:lineRule="exact"/>
        <w:rPr>
          <w:rFonts w:ascii="Arial" w:cs="Arial" w:eastAsia="Arial" w:hAnsi="Arial"/>
          <w:sz w:val="18"/>
          <w:szCs w:val="18"/>
          <w:color w:val="auto"/>
        </w:rPr>
      </w:pPr>
    </w:p>
    <w:p>
      <w:pPr>
        <w:ind w:left="1480" w:right="100" w:hanging="567"/>
        <w:spacing w:after="0" w:line="264"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spacing w:after="0" w:line="86" w:lineRule="exact"/>
        <w:rPr>
          <w:rFonts w:ascii="Arial" w:cs="Arial" w:eastAsia="Arial" w:hAnsi="Arial"/>
          <w:sz w:val="18"/>
          <w:szCs w:val="18"/>
          <w:color w:val="auto"/>
        </w:rPr>
      </w:pPr>
    </w:p>
    <w:p>
      <w:pPr>
        <w:ind w:left="1480" w:right="340" w:hanging="567"/>
        <w:spacing w:after="0" w:line="308" w:lineRule="auto"/>
        <w:tabs>
          <w:tab w:leader="none" w:pos="1480" w:val="left"/>
        </w:tabs>
        <w:numPr>
          <w:ilvl w:val="1"/>
          <w:numId w:val="7"/>
        </w:numPr>
        <w:rPr>
          <w:rFonts w:ascii="Arial" w:cs="Arial" w:eastAsia="Arial" w:hAnsi="Arial"/>
          <w:sz w:val="17"/>
          <w:szCs w:val="17"/>
          <w:color w:val="auto"/>
        </w:rPr>
      </w:pPr>
      <w:r>
        <w:rPr>
          <w:rFonts w:ascii="Arial" w:cs="Arial" w:eastAsia="Arial" w:hAnsi="Arial"/>
          <w:sz w:val="17"/>
          <w:szCs w:val="17"/>
          <w:color w:val="auto"/>
        </w:rPr>
        <w:t>being or having been a personal holding company, a passive foreign investment company or a controlled foreign corporation for U.S. federal income tax purposes or a corporation that has accumulated earnings to avoid U.S. federal income tax;</w:t>
      </w:r>
    </w:p>
    <w:p>
      <w:pPr>
        <w:spacing w:after="0" w:line="51" w:lineRule="exact"/>
        <w:rPr>
          <w:rFonts w:ascii="Arial" w:cs="Arial" w:eastAsia="Arial" w:hAnsi="Arial"/>
          <w:sz w:val="17"/>
          <w:szCs w:val="17"/>
          <w:color w:val="auto"/>
        </w:rPr>
      </w:pPr>
    </w:p>
    <w:p>
      <w:pPr>
        <w:ind w:left="1480" w:right="28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or having been a “10-percent shareholder” of us or the applicable guarantor as defined in Section 871(h)(3) of the United States Internal Revenue Code of 1986, as amended (the “Code”);</w:t>
      </w:r>
    </w:p>
    <w:p>
      <w:pPr>
        <w:spacing w:after="0" w:line="75" w:lineRule="exact"/>
        <w:rPr>
          <w:rFonts w:ascii="Arial" w:cs="Arial" w:eastAsia="Arial" w:hAnsi="Arial"/>
          <w:sz w:val="18"/>
          <w:szCs w:val="18"/>
          <w:color w:val="auto"/>
        </w:rPr>
      </w:pPr>
    </w:p>
    <w:p>
      <w:pPr>
        <w:ind w:left="1480" w:right="38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a controlled foreign corporation that is related to us or the applicable guarantor within the meaning of Section 864(d)(4) of the Code; or</w:t>
      </w:r>
    </w:p>
    <w:p>
      <w:pPr>
        <w:spacing w:after="0" w:line="75" w:lineRule="exact"/>
        <w:rPr>
          <w:rFonts w:ascii="Arial" w:cs="Arial" w:eastAsia="Arial" w:hAnsi="Arial"/>
          <w:sz w:val="18"/>
          <w:szCs w:val="18"/>
          <w:color w:val="auto"/>
        </w:rPr>
      </w:pPr>
    </w:p>
    <w:p>
      <w:pPr>
        <w:ind w:left="1480" w:right="24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7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76" w:lineRule="exact"/>
        <w:rPr>
          <w:rFonts w:ascii="Arial" w:cs="Arial" w:eastAsia="Arial" w:hAnsi="Arial"/>
          <w:sz w:val="17"/>
          <w:szCs w:val="17"/>
          <w:color w:val="auto"/>
        </w:rPr>
      </w:pPr>
    </w:p>
    <w:p>
      <w:pPr>
        <w:ind w:left="900" w:right="60" w:hanging="446"/>
        <w:spacing w:after="0" w:line="27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that is imposed otherwise than by withholding by us or a paying agent from the payment;</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or similar Tax;</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required to be withheld by any paying agent from any payment of principal of or interest on any Note, if such payment can be made without such withholding by at least one other paying agent;</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86"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any combination of items (1)-(9) above.</w:t>
      </w:r>
    </w:p>
    <w:p>
      <w:pPr>
        <w:spacing w:after="0" w:line="22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imposed by any government or a political subdivision or taxing authority of or in any government or political subdivision. As used under this heading “––Payment of Additional Amounts” and under the heading “––Redemption for Tax Reasons,” the term “United States” means the United States of America (including the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U.S. federal income taxation regardless of its source.</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are required to pay additional amounts with respect to the notes, we will notify the trustee and paying agent pursuant to an officer’s certificate that specifies the additional amounts payable and when the additional amounts are payable. If the trustee and the paying agent do not receive such an officer’s certificate from us,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trustee and paying agent may rely on the absence of such an officer’s certificate in assuming that no such additional amounts are payable.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additional amounts paid on the notes will be in U.S. dollars.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herein under the heading “––Payment of Additional Amounts” with respect to the notes, then we may at any time at our option redeem, in whole but not in part, the notes on not less than 10 nor more than 60 days prior notice, at a redemption price equal to 100% of the principal amount of the notes being redeemed, together with accrued and unpaid interest on those notes to, but not including, the date fixed for redemption.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obtained the information in this section concerning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clearing systems could change their rules and procedures at any time.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notes will be issued in registered, global form, in minimum denominations of $100,000 and multiples of $1,000 above that amount. Initially, the notes will be represented by one or more permanent global certificates (the “global notes”) (which may be subdivided) in definitive, fully registered form without interest coupons.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such global note will be deposited with, or on behalf of, a common depositary, and registered in the name of the common depositary or its nominee for the accounts of Clearstream and Euroclear. Except as set forth below, the global notes may be transferred, in whole and not in part, only to Euroclear or Clearstream or their respective nominees. You may hold your interests in the global notes in Europe through Clearstream or Euroclear, either as a participant in such systems or indirectly through organizations which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 entry interests in the notes and all transfers relating to the notes will be reflected in the book entry records of Clearstream and Euroclear.</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distribution of the notes will be cleared through Clearstream and Euroclear. Any secondary market trading of book entry interests in the notes will take place through Clearstream and Euroclear participants and will settle in same day funds. Owners of book entry interests in the notes will receive payments relating to their notes in U.S. dollars.</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Clearstream and Euroclear have established electronic securities and payment transfer, processing, depositary and custodial links among themselves and others, either directly or through custodians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w:t>
      </w:r>
    </w:p>
    <w:p>
      <w:pPr>
        <w:spacing w:after="0" w:line="18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policies of Clearstream and Euroclear will govern payments, transfers, exchanges and other matters relating to the investor’s interest in the notes held by them. We have no responsibility for any aspect of the records kept by Clearstream or Euroclear or any of their direct or indirect participants. We also do not supervise these systems in any way.</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been advised by Clearstream and Euroclear, respectively,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Clearstream</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Clearstream advises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 entry changes in accounts of Clearstream Participants, thereby eliminating the need for physical movement of certificates. Clearstream, Luxembourg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clearing corporations and certain other organizations and may include the manager. Indirect access to Clearstream is also available to others, such as banks, brokers, dealers and trust companies that clear through or maintain a custodial relationship with a Clearstream Participant, either directly or indirectly.</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Distributions with respect to interests in the notes held beneficially through Clearstream will be credited to cash accounts of Clearstream Participants in accordance with its rules and procedures.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Euroclear</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Euroclear advises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countries. Euroclear is operated by Euroclear Bank S.A./N.V. (the “Euroclear Operator”). All operations are conducted by the Euroclear Operator, and all Euroclear securities clearance accounts and Euroclear cash accounts are accounts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with the Euroclear Operator. Euroclear Participants include banks (including central banks), securities brokers and dealers and other professional financial intermediaries and may include the manager. Indirect access to Euroclear is also available to other firms that clear through or maintain a custodial relationship with a Euroclear Participant, either directly or indirectly.</w:t>
      </w:r>
    </w:p>
    <w:p>
      <w:pPr>
        <w:spacing w:after="0" w:line="181"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The Terms and Conditions Governing Use of Euroclear and the related Operating Procedures of the Euroclear System, or the Euroclear Terms and Conditions, and applicable Belgian law govern securities clearance accounts and cash accounts with the Euroclear Operator. Specifically, these terms and conditions govern:</w:t>
      </w:r>
    </w:p>
    <w:p>
      <w:pPr>
        <w:spacing w:after="0" w:line="87"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transfers of securities and cash within Euroclear;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withdrawal of securities and cash from Euroclear;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receipt of payments with respect to securities in Euroclear.</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Distributions with respect to interests in the notes held beneficially through Euroclear will be credited to the cash accounts of Euroclear Participants in accordance with the Euroclear Terms and Conditions.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Clearance and Settlement Procedures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 and Taiwan.</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because of time-zone differences, there may be problems with completing transactions involving Clearstream and Euroclear on the same business day as in the United States or Taiwan. U.S. or Taiwanese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Clearstream or Euroclear will credit payments to the cash accounts of Clearstream customers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customer or Euroclear participant only in accordance with its relevant rules and procedures.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Clearstream and Euroclear have agreed to the foregoing procedures in order to facilitate transfers of the notes among participants of Clearstream and Euroclear. However, they are under no obligation to perform or continue to perform those procedures, and they may discontinue those procedures at any time.</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ROC Trading</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Investors with a securities book-entry account with a Taiwan securities broker and a foreign currency deposit account with a Taiwan bank, may request the approval of the Taiwan Depositary &amp; Clearing Corporation (the “TDCC”) for the settlement of the notes through the account of TDCC with Clearstream or Euroclear and if such approval is granted by the TDCC, the notes may be so cleared and settled. In such circumstances, the TDCC will allocate the respective book-entry interest of such investor in the notes position to the securities book-entry account designated by such investor in the ROC. The notes will be traded and settled pursuant to the applicable rules and operating procedures of TDCC and the TPEx as domestic bonds.</w:t>
      </w:r>
    </w:p>
    <w:p>
      <w:pPr>
        <w:spacing w:after="0" w:line="173"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In addition, an investor may apply to TDCC (by filing in a prescribed form) to transfer the notes in its own account with Euroclear or Clearstream to the TDCC account with Euroclear or Clearstream for trading in the domestic market or vice versa for trading in overseas markets.</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such investors who hold their interest in the notes through an account opened and held by TDCC with Euroclear or Clearstream, distributions of principal and/or interest for the notes to such holders may be made by payment services banks whose systems are connected to TDCC to the foreign currency deposit accounts of the holders. Such payment is expected to be made on the second Taiwanese business day following TDCC’s receipt of such payment (due to time difference, the payment is expected to be received by TDCC one Taiwanese business day after the distribution date). However, when the holders will actually receive such distributions may vary depending upon the daily operations of the Taiwan banks with which the holder has the foreign currency deposit account.</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$100,000 principal amount and multiples of $1,000 in excess thereof if:</w:t>
      </w:r>
    </w:p>
    <w:p>
      <w:pPr>
        <w:spacing w:after="0" w:line="62" w:lineRule="exact"/>
        <w:rPr>
          <w:sz w:val="20"/>
          <w:szCs w:val="20"/>
          <w:color w:val="auto"/>
        </w:rPr>
      </w:pPr>
    </w:p>
    <w:p>
      <w:pPr>
        <w:ind w:right="20" w:firstLine="464"/>
        <w:spacing w:after="0" w:line="342" w:lineRule="auto"/>
        <w:tabs>
          <w:tab w:leader="none" w:pos="711"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depositary (1) notifies us that it is unwilling or unable to continue as depositary for the global notes and we fail to appoint a successor depositary within 90 days or (2) has ceased to be a clearing agency registered under the Exchange Act and we fail to appoint a successor depositary within 90 days;</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all cases, certificated notes delivered in exchange for any global notes or beneficial interests therein will be registered in the names, and issued in any approved denominations, requested by or on behalf of the depositary. It is expected that the depositary’s instructions will be based upon directions received by the depositary from participants with respect to ownership of beneficial interests in the relevant global note or notes that had been held by the depositary.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76" w:lineRule="exact"/>
        <w:rPr>
          <w:sz w:val="20"/>
          <w:szCs w:val="20"/>
          <w:color w:val="auto"/>
        </w:rPr>
      </w:pPr>
    </w:p>
    <w:p>
      <w:pPr>
        <w:ind w:left="90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7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 or</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with respect to the notes to their financial statements under Section 451 of the Code.</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notes, the tax treatment of a partner will generally depend upon the status of the partner and the activities of the partnership. A partner of a partnership holding the notes is urged to consult his, her or its tax advisor.</w:t>
      </w:r>
    </w:p>
    <w:p>
      <w:pPr>
        <w:spacing w:after="0" w:line="181"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13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“Non-U.S. Holder” does not include a holder who is an individual present in the United States for 183 days or more in the taxable year of disposition or a former citizen or former resident of the United States. Such a holder is urged to consult his or her tax advisor regarding the U.S. federal income tax consequences of the sale, exchange or other disposition of a note.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a Note</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87" w:lineRule="exact"/>
        <w:rPr>
          <w:sz w:val="20"/>
          <w:szCs w:val="20"/>
          <w:color w:val="auto"/>
        </w:rPr>
      </w:pPr>
    </w:p>
    <w:p>
      <w:pPr>
        <w:ind w:left="900" w:right="2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225"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a Non-U.S. Holder will not be subject to U.S. federal income tax on gain realized on the sale, exchange, redemption or other disposition of a note, unless the gain is effectively connected with the conduct by the holder of a trade or business in the United States.</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a Non-U.S. Holder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Such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Information returns will be filed with the Internal Revenue Service in connection with interest payments on the notes. Unless a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Provisions commonly referred to as “FATCA” impose withholding of 30% on payments of U.S.-source interest and, for dispositions after December 31, 2018,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the effects of FATCA on their investment in the notes. We will not pay additional amounts with respect to any withholding taxes imposed under FATCA.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ROC TAXATION</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is a summary of certain ROC tax consequences with respect to the holders of the notes, and is prepared based on current laws and regulations of the ROC. It does not purport to be comprehensive and does not constitute legal or tax advice. Investors (particularly those subject to special tax rules, such as banks, dealers, insurance companies and tax-exempt entities) should consult with their own tax advisers regarding the tax consequences of an investment in the notes.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on the Notes</w:t>
      </w:r>
    </w:p>
    <w:p>
      <w:pPr>
        <w:spacing w:after="0" w:line="12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As we, the issuer of the notes, are not an ROC statutory tax withholder, there is no ROC withholding tax on the interests or deemed interests to be paid on the notes. ROC corporate holders must include the interests or deemed interests receivable under the notes as part of their taxable income and pay income tax at a flat rate of 17 percent (unless the total taxable income for a fiscal year is under $120,000 New Taiwan Dollars), as they are subject to income tax on their worldwide income on an accrual basis. The alternative minimum tax (“AMT”) is not applicable. On 18 January 2018, an amendment to the Income Tax Act of the ROC has been passed by the Legislative Yuan to increase the corporate income tax rate from 17 percent to 20 percent. Once such amendment is announced by the President of the ROC, it will take retroactive effect from 1 January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the Notes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general, the sale of corporate bonds or financial bonds is subject to 0.1 percent securities transaction tax (“STT”) on the transaction price. However, Article 2-1 of the Securities Transaction Tax Act prescribes that STT will cease to be levied on the sale of corporate bonds and financial bonds from 1 January 2010 to 31 December 2026. Therefore, the sale of the notes will be exempt from STT if the sale is conducted on or before 31 December 2026. Starting from 1 January 2027, any sale of the notes will be subject to STT at 0.1 percent of the transaction price, unless otherwise provided by the tax laws that may be in force at that time.</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Capital gains generated from the sale of bonds are exempt from income tax. Accordingly, ROC corporate holders are not subject to income tax on any capital gains generated from the sale of the notes. However, ROC corporate holders should include the capital gains in calculating their basic income for the purpose of calculating their AMT. If the amount of the AMT exceeds the ordinary income tax calculated pursuant to the Income Basic Tax Act (also known as the AMT Act), the excess becomes the ROC corporate holders’ AMT payable. Capital losses, if any, incurred by such holders could be carried over 5 years to offset against capital gains of same category of income for the purposes of calculating their AMT.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Comcast Corporation and the manager for the offering named below have entered into a subscription agreement with respect to the notes. Subject to certain conditions, the manager has agreed to purchase the principal amount of notes indicated in the following table.</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Manager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91"/>
        </w:trPr>
        <w:tc>
          <w:tcPr>
            <w:tcW w:w="65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 of notes</w:t>
            </w:r>
          </w:p>
        </w:tc>
        <w:tc>
          <w:tcPr>
            <w:tcW w:w="0" w:type="dxa"/>
            <w:vAlign w:val="bottom"/>
          </w:tcPr>
          <w:p>
            <w:pPr>
              <w:spacing w:after="0"/>
              <w:rPr>
                <w:sz w:val="1"/>
                <w:szCs w:val="1"/>
                <w:color w:val="auto"/>
              </w:rPr>
            </w:pPr>
          </w:p>
        </w:tc>
      </w:tr>
      <w:tr>
        <w:trPr>
          <w:trHeight w:val="190"/>
        </w:trPr>
        <w:tc>
          <w:tcPr>
            <w:tcW w:w="5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0"/>
              </w:rPr>
              <w:t>Deutsche</w:t>
            </w:r>
          </w:p>
        </w:tc>
        <w:tc>
          <w:tcPr>
            <w:tcW w:w="5940" w:type="dxa"/>
            <w:vAlign w:val="bottom"/>
            <w:tcBorders>
              <w:top w:val="single" w:sz="8" w:color="CCEEFF"/>
            </w:tcBorders>
            <w:shd w:val="clear" w:color="auto" w:fill="CCEEFF"/>
          </w:tcPr>
          <w:p>
            <w:pPr>
              <w:ind w:left="160"/>
              <w:spacing w:after="0" w:line="189" w:lineRule="exact"/>
              <w:rPr>
                <w:sz w:val="20"/>
                <w:szCs w:val="20"/>
                <w:color w:val="auto"/>
              </w:rPr>
            </w:pPr>
            <w:r>
              <w:rPr>
                <w:rFonts w:ascii="Arial" w:cs="Arial" w:eastAsia="Arial" w:hAnsi="Arial"/>
                <w:sz w:val="18"/>
                <w:szCs w:val="18"/>
                <w:color w:val="auto"/>
              </w:rPr>
              <w:t>Bank AG, Taipei Branch</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8"/>
                <w:szCs w:val="18"/>
                <w:color w:val="auto"/>
                <w:w w:val="87"/>
              </w:rPr>
              <w:t>800,000,000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7"/>
              </w:rPr>
              <w:t>800,000,000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The manager is committed to take and pay for all of the notes being offered, if any are taken. To the extent permitted by applicable laws and regulations, the manager may make offers and sales in the United States through one or more U.S. registered broker-dealers. See “––Other Relationships.”</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Notes sold by the manager to the public will initially be offered at the initial public offering price set forth on the cover of this prospectus supplement. After the initial offering of the notes to the public, the manager may change the public offering price. The offering of the notes by the manager is subject to receipt and acceptance and subject to the manager’s right to reject any order in whole or in part.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underwriting commission that we will pay to the manager in connection with this offering:</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800" w:type="dxa"/>
            <w:vAlign w:val="bottom"/>
            <w:tcBorders>
              <w:bottom w:val="single" w:sz="8" w:color="CCEEFF"/>
            </w:tcBorders>
          </w:tcPr>
          <w:p>
            <w:pPr>
              <w:spacing w:after="0"/>
              <w:rPr>
                <w:sz w:val="14"/>
                <w:szCs w:val="14"/>
                <w:color w:val="auto"/>
              </w:rPr>
            </w:pPr>
          </w:p>
        </w:tc>
        <w:tc>
          <w:tcPr>
            <w:tcW w:w="30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Paid By Us</w:t>
            </w:r>
          </w:p>
        </w:tc>
        <w:tc>
          <w:tcPr>
            <w:tcW w:w="200" w:type="dxa"/>
            <w:vAlign w:val="bottom"/>
            <w:tcBorders>
              <w:bottom w:val="single" w:sz="8" w:color="CCEEFF"/>
            </w:tcBorders>
          </w:tcPr>
          <w:p>
            <w:pPr>
              <w:spacing w:after="0"/>
              <w:rPr>
                <w:sz w:val="14"/>
                <w:szCs w:val="1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Per note</w:t>
            </w:r>
          </w:p>
        </w:tc>
        <w:tc>
          <w:tcPr>
            <w:tcW w:w="30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0.100%</w:t>
            </w:r>
          </w:p>
        </w:tc>
      </w:tr>
      <w:tr>
        <w:trPr>
          <w:trHeight w:val="230"/>
        </w:trPr>
        <w:tc>
          <w:tcPr>
            <w:tcW w:w="3800" w:type="dxa"/>
            <w:vAlign w:val="bottom"/>
          </w:tcPr>
          <w:p>
            <w:pPr>
              <w:ind w:left="360"/>
              <w:spacing w:after="0"/>
              <w:rPr>
                <w:sz w:val="20"/>
                <w:szCs w:val="20"/>
                <w:color w:val="auto"/>
              </w:rPr>
            </w:pPr>
            <w:r>
              <w:rPr>
                <w:rFonts w:ascii="Arial" w:cs="Arial" w:eastAsia="Arial" w:hAnsi="Arial"/>
                <w:sz w:val="18"/>
                <w:szCs w:val="18"/>
                <w:color w:val="auto"/>
              </w:rPr>
              <w:t>Total</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$800,000</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will pay an aggregate fee of $5,200,000 (the “structuring fee”) to the structuring agents in connection with structuring services that they provided in connection with the notes. Each structuring agent, other than Deutsche Bank AG, Taipei Branch, is an entity not licensed in the ROC, has not offered or sold, and will not subscribe for or sell or underwrite, any notes offered hereby. We will pay Morgan Stanley &amp; Co. LLC the full amount of the structuring fee, and Morgan Stanley &amp; Co. LLC will, on our behalf, remit to each structuring agent its portion of the structuring fee.</w:t>
      </w:r>
    </w:p>
    <w:p>
      <w:pPr>
        <w:spacing w:after="0" w:line="17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estimate that our expenses in connection with this offering, other than the underwriting commission and the structuring fee, will be approximately $2,800,000. Morgan Stanley &amp; Co. LLC and Deutsche Bank AG, Taipei Branch (only in its capacity as structuring agent and not as manager) have agreed to reimburse us for $2,800,000 of our expenses associated with the offering.</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also agreed to indemnify the manager against certain liabilities, including liabilities under the Securities Act, or to contribute to payments which the manager may be required to make in respect of any such liabilities. Separately, in connection with structuring services that the structuring agents provided in connection with the notes, we have agreed to indemnify the structuring agents against certain liabilities in connection with this offering, including liabilities under the Securities Act, or to contribute to payments made in respect of those liabilities.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notes are a new issue of securities with no established trading market. Application will be made to the TPEx for the listing of, and permission to deal in, the notes by way of debt issues to “professional institutional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investors” as defined under Paragraph 2 of Article 4 of the Financial Consumer Protection Act of the ROC only and such permission is expected to become effective on or about February 12, 2018. We cannot make any assurance that the TPEx listing will be maintained. The manager is not obligated to carry out market-making activities with respect to the notes. Accordingly, we cannot assure you as to the liquidity of, or the trading market for, the notes.</w:t>
      </w:r>
    </w:p>
    <w:p>
      <w:pPr>
        <w:spacing w:after="0" w:line="147" w:lineRule="exact"/>
        <w:rPr>
          <w:sz w:val="20"/>
          <w:szCs w:val="20"/>
          <w:color w:val="auto"/>
        </w:rPr>
      </w:pPr>
    </w:p>
    <w:p>
      <w:pPr>
        <w:ind w:right="320" w:firstLine="456"/>
        <w:spacing w:after="0" w:line="276" w:lineRule="auto"/>
        <w:rPr>
          <w:sz w:val="20"/>
          <w:szCs w:val="20"/>
          <w:color w:val="auto"/>
        </w:rPr>
      </w:pPr>
      <w:r>
        <w:rPr>
          <w:rFonts w:ascii="Arial" w:cs="Arial" w:eastAsia="Arial" w:hAnsi="Arial"/>
          <w:sz w:val="17"/>
          <w:szCs w:val="17"/>
          <w:color w:val="auto"/>
        </w:rPr>
        <w:t>We expect to deliver the notes against payment therefor on or about the date specified in the last paragraph of the cover page of this prospectus supplement, which will be the seventh business day following the date of the pricing of the notes. Under Rule 15c6-1 of the Exchange Act, trades in the secondary market are required to settle in two business days, unless the parties to a trade expressly agree otherwise. Accordingly, purchasers who wish to trade notes prior to the second business day preceding the settlement date will be required, by virtue of the fact that the notes initially will settle in T+7, to specify alternative settlement arrangements to prevent a failed settlement.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Deutsche Bank AG, Taipei Branch is not a U.S. registered broker-dealer and, therefore, to the extent permitted by ROC laws and regulations and that it intends to effect any sales of the notes in the United States, it will do so through one or more U.S. registered broker-dealers as permitted by FINRA regulations.</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manager, the structuring agents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manager, the structuring agents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the ordinary course of their various business activities, the manager, the structuring agents and their respective affiliates may make or hold a broad array of investments and actively trade debt and equity securities (or related derivative securities) and financial instruments (including bank loans) for their own account and for the accounts of their customers. If any of the manager, the structuring agents or their respective affiliates has a lending relationship with us, certain of the manager and structuring agents or their respective affiliates routinely hedge, and certain other of the manager or structuring agents or their respective affiliates may hedge, their credit exposure to us consistent with their customary risk management policies. Typically, the manager and structuring agents or their respective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manager, the structuring agents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the managers have represented and agreed that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such offer that has been approved by the competent authority in that Relevant Member State or, where appropriate, approved in another Relevant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38" w:lineRule="exact"/>
        <w:rPr>
          <w:sz w:val="20"/>
          <w:szCs w:val="20"/>
          <w:color w:val="auto"/>
        </w:rPr>
      </w:pPr>
    </w:p>
    <w:p>
      <w:pPr>
        <w:ind w:left="700" w:hanging="23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460" w:right="500" w:firstLine="4"/>
        <w:spacing w:after="0" w:line="277" w:lineRule="auto"/>
        <w:tabs>
          <w:tab w:leader="none" w:pos="7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managers for any such offer; or</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provided that no such offer of notes shall require us or the managers to publish a prospectus pursuant to Article 3 of the Prospectus Directive or supplement a prospectus pursuant to Article 16 of the Prospectus Directive.</w:t>
      </w:r>
    </w:p>
    <w:p>
      <w:pPr>
        <w:spacing w:after="0" w:line="17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expression may be varied in that Relevant Member State by any measure implementing the Prospectus Directive in that Relevant Member State. The expression “Prospectus Directive” means Directive 2003/71/EC 9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178"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For these purposes, (a) a retail investor means a person who is one (or more) of: (i) a retail client as defined in point (11) of Article 4(1) of Directive 2014/65/EU (as amended, “MiFID II”); or (ii) a customer within the meaning of Directive 2002/92/EC (as amended), where that customer would not qualify as a professional client as defined in point (10) of Article 4(1) of MiFID II; or (iii) not a qualified investor as defined in Directive 2003/71/EC (as amended, the “Prospectus Directive”) (b) the expression “offer” includes the communication in any form and by any means of sufficient information on the terms of the offer and the notes to be offered so as to enable an investor to decide to purchase or subscribe the notes. Consequently no key information document required by Regulation (EU) No 1286/2014 (as amended, the “PRIIPs Regulation”) for offering or selling the notes or otherwise making them available to retail investors in the European Economic Area has been prepared and therefore offering or selling the notes or otherwise making them available to any retail investor in the European Economic Area may be unlawful under the PRIIPs Regulation.</w:t>
      </w:r>
    </w:p>
    <w:p>
      <w:pPr>
        <w:spacing w:after="0" w:line="16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Solely for the purposes of the product approval process of the manufacturer, the target market assessment in respect of the notes described in this prospectus supplement has led to the conclusion that: (i) the target market for such notes is persons satisfying the criteria of the definition of “eligible counterparties” or “professional clients” only, each as defined in MiFID II; and (ii) all channels for distribution of such notes to such persons are appropriate. Any person subsequently offering, selling or recommending such notes (a “distributor”) should take into consideration the manufacturer’s target market assessment; however, and without prejudice to the obligations of the issuer in accordance with MiFID II, a distributor subject to MiFID II is responsible for undertaking its own target market assessment in respect of such notes (by either adopting or refining the manufacturers’ target market assessment) and determining appropriate distribution channels</w:t>
      </w:r>
      <w:r>
        <w:rPr>
          <w:rFonts w:ascii="Arial" w:cs="Arial" w:eastAsia="Arial" w:hAnsi="Arial"/>
          <w:sz w:val="18"/>
          <w:szCs w:val="18"/>
          <w:i w:val="1"/>
          <w:iCs w:val="1"/>
          <w:color w:val="auto"/>
        </w:rPr>
        <w:t>.</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manager has represented and agreed that:</w:t>
      </w:r>
    </w:p>
    <w:p>
      <w:pPr>
        <w:spacing w:after="0" w:line="117" w:lineRule="exact"/>
        <w:rPr>
          <w:sz w:val="20"/>
          <w:szCs w:val="20"/>
          <w:color w:val="auto"/>
        </w:rPr>
      </w:pPr>
    </w:p>
    <w:p>
      <w:pPr>
        <w:ind w:left="460" w:right="140" w:firstLine="4"/>
        <w:spacing w:after="0" w:line="264"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connection with the issue or sale of the notes in circumstances in which Section 21(1) of the FSMA does not apply to us; and</w:t>
      </w:r>
    </w:p>
    <w:p>
      <w:pPr>
        <w:spacing w:after="0" w:line="117" w:lineRule="exact"/>
        <w:rPr>
          <w:sz w:val="20"/>
          <w:szCs w:val="20"/>
          <w:color w:val="auto"/>
        </w:rPr>
      </w:pPr>
    </w:p>
    <w:p>
      <w:pPr>
        <w:ind w:left="460" w:right="180" w:firstLine="4"/>
        <w:spacing w:after="0" w:line="277" w:lineRule="auto"/>
        <w:tabs>
          <w:tab w:leader="none" w:pos="7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This prospectus has not been approved by or registered with the Securities and Futures Commission of Hong Kong or the Registrar of Companies of Hong Kong. The notes will not be offered or sold in Hong Kong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which is directed at, or the contents of which are likely to be accessed or read by, the public of Hong Kong (except if permitted to do so under the securities laws of Hong Kong) has been issued or will be issued in Hong Kong or elsewhere other than with respect to notes which are or are intended to be disposed of only to persons outside Hong Kong or only to “professional investors” as defined in the Securities and Futures Ordinance and any rules made under that Ordinance.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notes have not been and will not be registered under the Financial Instruments and Exchange Act. The manager has agreed that it has not, directly or indirectly, offered or sold and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(the “SFA”), (ii) to a relevant person, or any person pursuant to Section 275(1A) of the SFA, and in accordance with the conditions, specified in Section 275 of the SFA or (iii) otherwise pursuant to, and in accordance with the conditions of, any other applicable provision of the SFA. 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then securities, debentures and units of securities and debentures of that corporation or the beneficiaries’ rights and interest in that trust shall not be transferable for 6 months after that corporation or that trust has acquired the notes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Republic of China</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notes have not been, and shall not be, offered, sold or re-sold, directly or indirectly, to investors other than “professional institutional investors” as defined under Paragraph 2 of Article 4 of the Financial Consumer Protection Act of the ROC, which currently include: (i) overseas or domestic banks, securities firms, futures firms and insurance companies (excluding insurance agencies, insurance brokers and insurance surveyors), the foregoing as further defined in more details in Paragraph 3 of Article 2 of the Organization Act of the Financial Supervisory Commission of the ROC, (ii) overseas or domestic fund management companies, government investment institutions, government funds, pension funds, mutual funds, unit trusts, and funds managed by financial service enterprises pursuant to the ROC Securities Investment Trust and Consulting Act, the ROC Future Trading Act or the ROC Trust Enterprise Act or investment assets mandated and delivered by or transferred for trust by financial consumers, and (iii) other institutions recognized by the Financial Supervisory Commission of the ROC. Purchasers of the notes are not permitted to sell or otherwise dispose of the notes except by transfer to the aforementioned professional institutional investors.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purchaser of the notes that is (1) an employee benefit plan subject to Title I of the Employee Retirement Income Security Act of 1974, as amended (“ERISA”), (2) a plan or account subject to Section 4975 of the Code or (3) an entity deemed to hold “plan assets” of any such employee benefit plan, plan or account, by acceptance of a note, will be deemed to have represented and warranted that a fiduciary acting on its behalf is causing it to purchase the notes and that such fiduciary:</w:t>
      </w:r>
    </w:p>
    <w:p>
      <w:pPr>
        <w:spacing w:after="0" w:line="79" w:lineRule="exact"/>
        <w:rPr>
          <w:sz w:val="20"/>
          <w:szCs w:val="20"/>
          <w:color w:val="auto"/>
        </w:rPr>
      </w:pPr>
    </w:p>
    <w:p>
      <w:pPr>
        <w:ind w:left="460" w:right="240" w:firstLine="4"/>
        <w:spacing w:after="0" w:line="264" w:lineRule="auto"/>
        <w:tabs>
          <w:tab w:leader="none" w:pos="6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a bank, an insurance carrier, a registered investment adviser, a registered broker-dealer or an independent fiduciary with at least $50 million of assets under management or control as specified in 29 CFR Section 2510.3-21(c)(1)(i) (excluding an IRA owner or a relative of an IRA owner if the purchaser is an IRA);</w:t>
      </w:r>
    </w:p>
    <w:p>
      <w:pPr>
        <w:spacing w:after="0" w:line="73" w:lineRule="exact"/>
        <w:rPr>
          <w:rFonts w:ascii="Arial" w:cs="Arial" w:eastAsia="Arial" w:hAnsi="Arial"/>
          <w:sz w:val="18"/>
          <w:szCs w:val="18"/>
          <w:color w:val="auto"/>
        </w:rPr>
      </w:pPr>
    </w:p>
    <w:p>
      <w:pPr>
        <w:ind w:left="460" w:right="620" w:firstLine="4"/>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independent (for purposes of 29 CFR Section 2510.3-21(c)(1)) of the issuer, each manager and their respective affiliates (the “Transaction Parties”);</w:t>
      </w:r>
    </w:p>
    <w:p>
      <w:pPr>
        <w:spacing w:after="0" w:line="62" w:lineRule="exact"/>
        <w:rPr>
          <w:rFonts w:ascii="Arial" w:cs="Arial" w:eastAsia="Arial" w:hAnsi="Arial"/>
          <w:sz w:val="18"/>
          <w:szCs w:val="18"/>
          <w:color w:val="auto"/>
        </w:rPr>
      </w:pPr>
    </w:p>
    <w:p>
      <w:pPr>
        <w:ind w:left="460" w:right="680" w:firstLine="4"/>
        <w:spacing w:after="0" w:line="277" w:lineRule="auto"/>
        <w:tabs>
          <w:tab w:leader="none" w:pos="6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capable of evaluating investment risks independently, both in general and with regard to particular transactions and investment strategies, including the purchaser’s transactions with the Transaction Parties hereunder;</w:t>
      </w:r>
    </w:p>
    <w:p>
      <w:pPr>
        <w:spacing w:after="0" w:line="62" w:lineRule="exact"/>
        <w:rPr>
          <w:rFonts w:ascii="Arial" w:cs="Arial" w:eastAsia="Arial" w:hAnsi="Arial"/>
          <w:sz w:val="18"/>
          <w:szCs w:val="18"/>
          <w:color w:val="auto"/>
        </w:rPr>
      </w:pPr>
    </w:p>
    <w:p>
      <w:pPr>
        <w:ind w:left="460" w:right="180" w:firstLine="4"/>
        <w:spacing w:after="0" w:line="30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has been advised that none of the Transaction Parties has undertaken or will undertake to provide impartial investment advice, or has given or will give advice in a fiduciary capacity, in connection with the purchaser’s transactions with the Transaction Parties contemplated hereby;</w:t>
      </w:r>
    </w:p>
    <w:p>
      <w:pPr>
        <w:spacing w:after="0" w:line="38" w:lineRule="exact"/>
        <w:rPr>
          <w:rFonts w:ascii="Arial" w:cs="Arial" w:eastAsia="Arial" w:hAnsi="Arial"/>
          <w:sz w:val="17"/>
          <w:szCs w:val="17"/>
          <w:color w:val="auto"/>
        </w:rPr>
      </w:pPr>
    </w:p>
    <w:p>
      <w:pPr>
        <w:ind w:left="460" w:right="260" w:firstLine="4"/>
        <w:spacing w:after="0" w:line="342" w:lineRule="auto"/>
        <w:tabs>
          <w:tab w:leader="none" w:pos="6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is a “fiduciary” under Section 3(21)(A) of ERISA or Section 4975(e)(3) of the Code, or both, as applicable, with respect to, and is responsible for exercising independent judgment in evaluating, the purchaser’s transactions with the Transaction Parties contemplated hereby; and</w:t>
      </w:r>
    </w:p>
    <w:p>
      <w:pPr>
        <w:spacing w:after="0" w:line="15" w:lineRule="exact"/>
        <w:rPr>
          <w:rFonts w:ascii="Arial" w:cs="Arial" w:eastAsia="Arial" w:hAnsi="Arial"/>
          <w:sz w:val="16"/>
          <w:szCs w:val="16"/>
          <w:color w:val="auto"/>
        </w:rPr>
      </w:pPr>
    </w:p>
    <w:p>
      <w:pPr>
        <w:ind w:left="460" w:right="60" w:firstLine="4"/>
        <w:spacing w:after="0" w:line="255" w:lineRule="auto"/>
        <w:tabs>
          <w:tab w:leader="none" w:pos="6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understands and acknowledges the existence and nature of the underwriting discounts, commissions and fees, and any other related fees, compensation arrangements or financial interests, described in this prospectus supplement; and 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Executive Vice President, General Counsel and Secretary of Comcast Corporation, Francis M. Buono, Esquire, Senior Vice President, Legal Regulatory Affairs and Senior Deputy General Counsel of Comcast Corporation, and by Davis Polk &amp; Wardwell LLP, Menlo Park, California. Cahill Gordon &amp; Reindel </w:t>
      </w:r>
      <w:r>
        <w:rPr>
          <w:rFonts w:ascii="Arial" w:cs="Arial" w:eastAsia="Arial" w:hAnsi="Arial"/>
          <w:sz w:val="15"/>
          <w:szCs w:val="15"/>
          <w:color w:val="auto"/>
        </w:rPr>
        <w:t>LLP</w:t>
      </w:r>
      <w:r>
        <w:rPr>
          <w:rFonts w:ascii="Arial" w:cs="Arial" w:eastAsia="Arial" w:hAnsi="Arial"/>
          <w:sz w:val="18"/>
          <w:szCs w:val="18"/>
          <w:color w:val="auto"/>
        </w:rPr>
        <w:t>, New York, New York will issue a legal opinion on certain legal matters for the manager. Lee and Li, Attorneys-at-Law, is acting as special Taiwanese legal counsel to us and will issue an opinion on certain legal matters to the manager.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Corporation’s Annual Report on Form 10-K for the year ended December 31, 2017,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and its subsidiaries, incorporated herein by reference from NBCUniversal’s Annual Report on Form 10-K for the year ended December 31, 2017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1046480</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248920</wp:posOffset>
            </wp:positionV>
            <wp:extent cx="1397635" cy="488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31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Unsecured senior debt securities</w:t>
            </w:r>
          </w:p>
        </w:tc>
        <w:tc>
          <w:tcPr>
            <w:tcW w:w="1700" w:type="dxa"/>
            <w:vAlign w:val="bottom"/>
          </w:tcPr>
          <w:p>
            <w:pPr>
              <w:ind w:left="1580"/>
              <w:spacing w:after="0"/>
              <w:rPr>
                <w:sz w:val="20"/>
                <w:szCs w:val="20"/>
                <w:color w:val="auto"/>
              </w:rPr>
            </w:pPr>
            <w:r>
              <w:rPr>
                <w:rFonts w:ascii="Arial" w:cs="Arial" w:eastAsia="Arial" w:hAnsi="Arial"/>
                <w:sz w:val="18"/>
                <w:szCs w:val="18"/>
                <w:color w:val="auto"/>
              </w:rPr>
              <w:t>•</w:t>
            </w:r>
          </w:p>
        </w:tc>
        <w:tc>
          <w:tcPr>
            <w:tcW w:w="170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00" w:type="dxa"/>
            <w:vAlign w:val="bottom"/>
          </w:tcPr>
          <w:p>
            <w:pPr>
              <w:ind w:left="1580"/>
              <w:spacing w:after="0"/>
              <w:rPr>
                <w:sz w:val="20"/>
                <w:szCs w:val="20"/>
                <w:color w:val="auto"/>
              </w:rPr>
            </w:pPr>
            <w:r>
              <w:rPr>
                <w:rFonts w:ascii="Arial" w:cs="Arial" w:eastAsia="Arial" w:hAnsi="Arial"/>
                <w:sz w:val="18"/>
                <w:szCs w:val="18"/>
                <w:color w:val="auto"/>
              </w:rPr>
              <w:t>•</w:t>
            </w:r>
          </w:p>
        </w:tc>
        <w:tc>
          <w:tcPr>
            <w:tcW w:w="170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Purchase contracts</w:t>
            </w:r>
          </w:p>
        </w:tc>
        <w:tc>
          <w:tcPr>
            <w:tcW w:w="1700" w:type="dxa"/>
            <w:vAlign w:val="bottom"/>
          </w:tcPr>
          <w:p>
            <w:pPr>
              <w:ind w:left="1580"/>
              <w:spacing w:after="0"/>
              <w:rPr>
                <w:sz w:val="20"/>
                <w:szCs w:val="20"/>
                <w:color w:val="auto"/>
              </w:rPr>
            </w:pPr>
            <w:r>
              <w:rPr>
                <w:rFonts w:ascii="Arial" w:cs="Arial" w:eastAsia="Arial" w:hAnsi="Arial"/>
                <w:sz w:val="18"/>
                <w:szCs w:val="18"/>
                <w:color w:val="auto"/>
              </w:rPr>
              <w:t>•</w:t>
            </w:r>
          </w:p>
        </w:tc>
        <w:tc>
          <w:tcPr>
            <w:tcW w:w="1700" w:type="dxa"/>
            <w:vAlign w:val="bottom"/>
          </w:tcPr>
          <w:p>
            <w:pPr>
              <w:ind w:left="40"/>
              <w:spacing w:after="0"/>
              <w:rPr>
                <w:sz w:val="20"/>
                <w:szCs w:val="20"/>
                <w:color w:val="auto"/>
              </w:rPr>
            </w:pPr>
            <w:r>
              <w:rPr>
                <w:rFonts w:ascii="Arial" w:cs="Arial" w:eastAsia="Arial" w:hAnsi="Arial"/>
                <w:sz w:val="18"/>
                <w:szCs w:val="18"/>
                <w:color w:val="auto"/>
                <w:w w:val="89"/>
              </w:rPr>
              <w:t>Class A common stock</w:t>
            </w:r>
          </w:p>
        </w:tc>
      </w:tr>
      <w:tr>
        <w:trPr>
          <w:trHeight w:val="23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60"/>
              <w:spacing w:after="0"/>
              <w:rPr>
                <w:sz w:val="20"/>
                <w:szCs w:val="20"/>
                <w:color w:val="auto"/>
              </w:rPr>
            </w:pPr>
            <w:r>
              <w:rPr>
                <w:rFonts w:ascii="Arial" w:cs="Arial" w:eastAsia="Arial" w:hAnsi="Arial"/>
                <w:sz w:val="18"/>
                <w:szCs w:val="18"/>
                <w:color w:val="auto"/>
              </w:rPr>
              <w:t>Units</w:t>
            </w:r>
          </w:p>
        </w:tc>
        <w:tc>
          <w:tcPr>
            <w:tcW w:w="170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27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27, 2016, the reported last sale price on the Nasdaq Global Select Market for our Class A common stock was $67.92.</w:t>
      </w:r>
    </w:p>
    <w:p>
      <w:pPr>
        <w:spacing w:after="0" w:line="27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31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Maturity</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Dividends</w:t>
            </w:r>
          </w:p>
        </w:tc>
        <w:tc>
          <w:tcPr>
            <w:tcW w:w="3060" w:type="dxa"/>
            <w:vAlign w:val="bottom"/>
            <w:gridSpan w:val="2"/>
          </w:tcPr>
          <w:p>
            <w:pPr>
              <w:ind w:left="700"/>
              <w:spacing w:after="0"/>
              <w:rPr>
                <w:sz w:val="20"/>
                <w:szCs w:val="20"/>
                <w:color w:val="auto"/>
              </w:rPr>
            </w:pPr>
            <w:r>
              <w:rPr>
                <w:rFonts w:ascii="Arial" w:cs="Arial" w:eastAsia="Arial" w:hAnsi="Arial"/>
                <w:sz w:val="18"/>
                <w:szCs w:val="18"/>
                <w:color w:val="auto"/>
                <w:w w:val="91"/>
              </w:rPr>
              <w:t>• 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Interest rate</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800" w:type="dxa"/>
            <w:vAlign w:val="bottom"/>
          </w:tcPr>
          <w:p>
            <w:pPr>
              <w:ind w:left="700"/>
              <w:spacing w:after="0"/>
              <w:rPr>
                <w:sz w:val="20"/>
                <w:szCs w:val="20"/>
                <w:color w:val="auto"/>
              </w:rPr>
            </w:pPr>
            <w:r>
              <w:rPr>
                <w:rFonts w:ascii="Arial" w:cs="Arial" w:eastAsia="Arial" w:hAnsi="Arial"/>
                <w:sz w:val="18"/>
                <w:szCs w:val="18"/>
                <w:color w:val="auto"/>
              </w:rPr>
              <w:t>•</w:t>
            </w:r>
          </w:p>
        </w:tc>
        <w:tc>
          <w:tcPr>
            <w:tcW w:w="2260" w:type="dxa"/>
            <w:vAlign w:val="bottom"/>
          </w:tcPr>
          <w:p>
            <w:pPr>
              <w:ind w:left="6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Sinking fund terms</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Listing on a securities exchange</w:t>
            </w:r>
          </w:p>
        </w:tc>
        <w:tc>
          <w:tcPr>
            <w:tcW w:w="800" w:type="dxa"/>
            <w:vAlign w:val="bottom"/>
          </w:tcPr>
          <w:p>
            <w:pPr>
              <w:ind w:left="700"/>
              <w:spacing w:after="0"/>
              <w:rPr>
                <w:sz w:val="20"/>
                <w:szCs w:val="20"/>
                <w:color w:val="auto"/>
              </w:rPr>
            </w:pPr>
            <w:r>
              <w:rPr>
                <w:rFonts w:ascii="Arial" w:cs="Arial" w:eastAsia="Arial" w:hAnsi="Arial"/>
                <w:sz w:val="18"/>
                <w:szCs w:val="18"/>
                <w:color w:val="auto"/>
              </w:rPr>
              <w:t>•</w:t>
            </w:r>
          </w:p>
        </w:tc>
        <w:tc>
          <w:tcPr>
            <w:tcW w:w="2260" w:type="dxa"/>
            <w:vAlign w:val="bottom"/>
          </w:tcPr>
          <w:p>
            <w:pPr>
              <w:ind w:left="60"/>
              <w:spacing w:after="0"/>
              <w:rPr>
                <w:sz w:val="20"/>
                <w:szCs w:val="20"/>
                <w:color w:val="auto"/>
              </w:rPr>
            </w:pPr>
            <w:r>
              <w:rPr>
                <w:rFonts w:ascii="Arial" w:cs="Arial" w:eastAsia="Arial" w:hAnsi="Arial"/>
                <w:sz w:val="18"/>
                <w:szCs w:val="18"/>
                <w:color w:val="auto"/>
              </w:rPr>
              <w:t>Subsidiary guarantees</w:t>
            </w:r>
          </w:p>
        </w:tc>
      </w:tr>
      <w:tr>
        <w:trPr>
          <w:trHeight w:val="23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Currency of payments</w:t>
            </w:r>
          </w:p>
        </w:tc>
        <w:tc>
          <w:tcPr>
            <w:tcW w:w="640" w:type="dxa"/>
            <w:vAlign w:val="bottom"/>
          </w:tcPr>
          <w:p>
            <w:pPr>
              <w:ind w:left="540"/>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Amount payable at maturity</w:t>
            </w:r>
          </w:p>
        </w:tc>
        <w:tc>
          <w:tcPr>
            <w:tcW w:w="800" w:type="dxa"/>
            <w:vAlign w:val="bottom"/>
          </w:tcPr>
          <w:p>
            <w:pPr>
              <w:spacing w:after="0"/>
              <w:rPr>
                <w:sz w:val="20"/>
                <w:szCs w:val="20"/>
                <w:color w:val="auto"/>
              </w:rPr>
            </w:pPr>
          </w:p>
        </w:tc>
        <w:tc>
          <w:tcPr>
            <w:tcW w:w="2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300355</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80" w:firstLine="456"/>
        <w:spacing w:after="0" w:line="347"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25 of Comcast’s and NBCUniversal’s combined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248285</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285750</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July 28, 2016</w:t>
      </w:r>
    </w:p>
    <w:p>
      <w:pPr>
        <w:sectPr>
          <w:pgSz w:w="11900" w:h="16838" w:orient="portrait"/>
          <w:cols w:equalWidth="0" w:num="1">
            <w:col w:w="11300"/>
          </w:cols>
          <w:pgMar w:left="24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60" w:type="dxa"/>
            <w:vAlign w:val="bottom"/>
            <w:gridSpan w:val="12"/>
            <w:vMerge w:val="restart"/>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The Companies</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60" w:type="dxa"/>
            <w:vAlign w:val="bottom"/>
            <w:gridSpan w:val="1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60" w:type="dxa"/>
            <w:vAlign w:val="bottom"/>
            <w:gridSpan w:val="1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Caution Concerning Forward-Looking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Use of Proceeds</w:t>
              </w:r>
            </w:hyperlink>
          </w:p>
        </w:tc>
        <w:tc>
          <w:tcPr>
            <w:tcW w:w="2440" w:type="dxa"/>
            <w:vAlign w:val="bottom"/>
            <w:tcBorders>
              <w:top w:val="single" w:sz="8" w:color="0000EE"/>
            </w:tcBorders>
            <w:gridSpan w:val="6"/>
          </w:tcPr>
          <w:p>
            <w:pPr>
              <w:spacing w:after="0"/>
              <w:rPr>
                <w:sz w:val="17"/>
                <w:szCs w:val="17"/>
                <w:color w:val="auto"/>
              </w:rPr>
            </w:pPr>
          </w:p>
        </w:tc>
        <w:tc>
          <w:tcPr>
            <w:tcW w:w="74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60" w:type="dxa"/>
            <w:vAlign w:val="bottom"/>
            <w:gridSpan w:val="1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Dividend Policy</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Ratios of Earnings to Fixed Charges and of Earnings to Combined Fixed Charges and Preferred Dividends</w:t>
              </w:r>
            </w:hyperlink>
          </w:p>
        </w:tc>
        <w:tc>
          <w:tcPr>
            <w:tcW w:w="33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Description of Debt Securities and Guarantees</w:t>
              </w:r>
            </w:hyperlink>
          </w:p>
        </w:tc>
        <w:tc>
          <w:tcPr>
            <w:tcW w:w="770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Global Securities</w:t>
              </w:r>
            </w:hyperlink>
          </w:p>
        </w:tc>
        <w:tc>
          <w:tcPr>
            <w:tcW w:w="980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060" w:type="dxa"/>
            <w:vAlign w:val="bottom"/>
            <w:gridSpan w:val="1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Capital Stock</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Plan of Distribution</w:t>
              </w:r>
            </w:hyperlink>
          </w:p>
        </w:tc>
        <w:tc>
          <w:tcPr>
            <w:tcW w:w="620" w:type="dxa"/>
            <w:vAlign w:val="bottom"/>
            <w:tcBorders>
              <w:top w:val="single" w:sz="8" w:color="0000EE"/>
            </w:tcBorders>
            <w:gridSpan w:val="2"/>
          </w:tcPr>
          <w:p>
            <w:pPr>
              <w:spacing w:after="0"/>
              <w:rPr>
                <w:sz w:val="17"/>
                <w:szCs w:val="17"/>
                <w:color w:val="auto"/>
              </w:rPr>
            </w:pPr>
          </w:p>
        </w:tc>
        <w:tc>
          <w:tcPr>
            <w:tcW w:w="90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Legal Matters</w:t>
              </w:r>
            </w:hyperlink>
          </w:p>
        </w:tc>
        <w:tc>
          <w:tcPr>
            <w:tcW w:w="1004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Experts</w:t>
              </w:r>
            </w:hyperlink>
          </w:p>
        </w:tc>
        <w:tc>
          <w:tcPr>
            <w:tcW w:w="1050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Available Information</w:t>
              </w:r>
            </w:hyperlink>
          </w:p>
        </w:tc>
        <w:tc>
          <w:tcPr>
            <w:tcW w:w="946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060" w:type="dxa"/>
            <w:vAlign w:val="bottom"/>
            <w:gridSpan w:val="1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Incorporation of Certain Documents by Reference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not authorized anyone to provide you any information other than that contained or incorporated by reference in this prospectus. We do not take any responsibility for, nor can we provide any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and both of them collectively as the “Guarantors.”</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83" w:lineRule="exact"/>
        <w:rPr>
          <w:sz w:val="20"/>
          <w:szCs w:val="20"/>
          <w:color w:val="auto"/>
        </w:rPr>
      </w:pPr>
    </w:p>
    <w:p>
      <w:pPr>
        <w:ind w:left="900" w:right="540" w:hanging="325"/>
        <w:spacing w:after="0" w:line="26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to residential customers under the XFINITY brand, and we also provide these and other services to business customers and sell advertising.</w:t>
      </w:r>
    </w:p>
    <w:p>
      <w:pPr>
        <w:spacing w:after="0" w:line="81" w:lineRule="exact"/>
        <w:rPr>
          <w:rFonts w:ascii="Arial" w:cs="Arial" w:eastAsia="Arial" w:hAnsi="Arial"/>
          <w:sz w:val="18"/>
          <w:szCs w:val="18"/>
          <w:color w:val="auto"/>
        </w:rPr>
      </w:pPr>
    </w:p>
    <w:p>
      <w:pPr>
        <w:ind w:left="900" w:hanging="325"/>
        <w:spacing w:after="0" w:line="282"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 and</w:t>
      </w:r>
      <w:r>
        <w:rPr>
          <w:rFonts w:ascii="Arial" w:cs="Arial" w:eastAsia="Arial" w:hAnsi="Arial"/>
          <w:sz w:val="18"/>
          <w:szCs w:val="18"/>
          <w:b w:val="1"/>
          <w:bCs w:val="1"/>
          <w:color w:val="auto"/>
        </w:rPr>
        <w:t xml:space="preserve"> </w:t>
      </w:r>
      <w:r>
        <w:rPr>
          <w:rFonts w:ascii="Arial" w:cs="Arial" w:eastAsia="Arial" w:hAnsi="Arial"/>
          <w:sz w:val="18"/>
          <w:szCs w:val="18"/>
          <w:color w:val="auto"/>
        </w:rPr>
        <w:t>our cable television studio production operations.</w:t>
      </w:r>
    </w:p>
    <w:p>
      <w:pPr>
        <w:spacing w:after="0" w:line="67" w:lineRule="exact"/>
        <w:rPr>
          <w:rFonts w:ascii="Arial" w:cs="Arial" w:eastAsia="Arial" w:hAnsi="Arial"/>
          <w:sz w:val="18"/>
          <w:szCs w:val="18"/>
          <w:color w:val="auto"/>
        </w:rPr>
      </w:pPr>
    </w:p>
    <w:p>
      <w:pPr>
        <w:ind w:left="900" w:hanging="325"/>
        <w:spacing w:after="0" w:line="282"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10 NBC and 17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and our broadcast television studio production operations.</w:t>
      </w:r>
    </w:p>
    <w:p>
      <w:pPr>
        <w:spacing w:after="0" w:line="67" w:lineRule="exact"/>
        <w:rPr>
          <w:rFonts w:ascii="Arial" w:cs="Arial" w:eastAsia="Arial" w:hAnsi="Arial"/>
          <w:sz w:val="18"/>
          <w:szCs w:val="18"/>
          <w:color w:val="auto"/>
        </w:rPr>
      </w:pPr>
    </w:p>
    <w:p>
      <w:pPr>
        <w:ind w:left="900" w:right="340" w:hanging="325"/>
        <w:spacing w:after="0" w:line="282"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67" w:lineRule="exact"/>
        <w:rPr>
          <w:rFonts w:ascii="Arial" w:cs="Arial" w:eastAsia="Arial" w:hAnsi="Arial"/>
          <w:sz w:val="18"/>
          <w:szCs w:val="18"/>
          <w:color w:val="auto"/>
        </w:rPr>
      </w:pPr>
    </w:p>
    <w:p>
      <w:pPr>
        <w:ind w:left="900" w:right="980" w:hanging="325"/>
        <w:spacing w:after="0" w:line="282"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Florida and Hollywood, California. In November 2015,</w:t>
      </w:r>
      <w:r>
        <w:rPr>
          <w:rFonts w:ascii="Arial" w:cs="Arial" w:eastAsia="Arial" w:hAnsi="Arial"/>
          <w:sz w:val="18"/>
          <w:szCs w:val="18"/>
          <w:b w:val="1"/>
          <w:bCs w:val="1"/>
          <w:color w:val="auto"/>
        </w:rPr>
        <w:t xml:space="preserve"> </w:t>
      </w:r>
      <w:r>
        <w:rPr>
          <w:rFonts w:ascii="Arial" w:cs="Arial" w:eastAsia="Arial" w:hAnsi="Arial"/>
          <w:sz w:val="18"/>
          <w:szCs w:val="18"/>
          <w:color w:val="auto"/>
        </w:rPr>
        <w:t>NBCUniversal acquired a 51% interest in the Universal Studios theme park located in Osaka, Japan.</w:t>
      </w:r>
    </w:p>
    <w:p>
      <w:pPr>
        <w:spacing w:after="0" w:line="166"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arena in Philadelphia, Pennsylvania and operates arena management-related businesses.</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131" w:lineRule="exact"/>
        <w:rPr>
          <w:sz w:val="20"/>
          <w:szCs w:val="20"/>
          <w:color w:val="auto"/>
        </w:rPr>
      </w:pPr>
    </w:p>
    <w:p>
      <w:pPr>
        <w:ind w:left="900" w:right="2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Guarantor.</w:t>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117"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NBCUniversal is one of the world’s leading media and entertainment companies that develops, produces and distributes entertainment, news and information, sports, and other content for global audiences, as well as owns and operates several theme parks worldwide.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2015 incorporated herein by reference. Actual events or our actual results may differ materially from any of our forward-looking statements. We undertake no obligation to update any forward-looking statements.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131" w:lineRule="exact"/>
        <w:rPr>
          <w:sz w:val="20"/>
          <w:szCs w:val="20"/>
          <w:color w:val="auto"/>
        </w:rPr>
      </w:pPr>
    </w:p>
    <w:p>
      <w:pPr>
        <w:ind w:left="900" w:right="18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consumer behavior driven by alternative methods for viewing content may adversely affect our businesses and challenge existing business models;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to existing statutes, rules, regulations, or interpretations thereof, or adoption of new ones, could have an adverse effect on our businesses;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video business;</w:t>
      </w:r>
    </w:p>
    <w:p>
      <w:pPr>
        <w:spacing w:after="0" w:line="153" w:lineRule="exact"/>
        <w:rPr>
          <w:rFonts w:ascii="Arial" w:cs="Arial" w:eastAsia="Arial" w:hAnsi="Arial"/>
          <w:sz w:val="16"/>
          <w:szCs w:val="16"/>
          <w:color w:val="auto"/>
        </w:rPr>
      </w:pPr>
    </w:p>
    <w:p>
      <w:pPr>
        <w:ind w:left="900" w:right="5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75"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acquisitions and other strategic initiatives present many risks, and we may not realize the financial and strategic goals that we had contemplated;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labor disputes, whether involving employees or sports organizations, may disrupt our operations and adversely affect our businesses;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130"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5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240" w:top="459" w:right="7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Our Board of Directors retains the right to change our dividend policy at any time.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89"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21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For the Six Months Ended</w:t>
            </w:r>
          </w:p>
        </w:tc>
        <w:tc>
          <w:tcPr>
            <w:tcW w:w="13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5"/>
              </w:rPr>
              <w:t>For the Years Ended December 31,</w:t>
            </w:r>
          </w:p>
        </w:tc>
        <w:tc>
          <w:tcPr>
            <w:tcW w:w="1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76"/>
        </w:trPr>
        <w:tc>
          <w:tcPr>
            <w:tcW w:w="2100" w:type="dxa"/>
            <w:vAlign w:val="bottom"/>
            <w:gridSpan w:val="3"/>
          </w:tcPr>
          <w:p>
            <w:pPr>
              <w:jc w:val="center"/>
              <w:ind w:right="460"/>
              <w:spacing w:after="0" w:line="155" w:lineRule="exact"/>
              <w:rPr>
                <w:sz w:val="20"/>
                <w:szCs w:val="20"/>
                <w:color w:val="auto"/>
              </w:rPr>
            </w:pPr>
            <w:r>
              <w:rPr>
                <w:rFonts w:ascii="Arial" w:cs="Arial" w:eastAsia="Arial" w:hAnsi="Arial"/>
                <w:sz w:val="14"/>
                <w:szCs w:val="14"/>
                <w:b w:val="1"/>
                <w:bCs w:val="1"/>
                <w:color w:val="auto"/>
                <w:w w:val="92"/>
              </w:rPr>
              <w:t>June 30, 2016</w:t>
            </w:r>
          </w:p>
        </w:tc>
        <w:tc>
          <w:tcPr>
            <w:tcW w:w="1360" w:type="dxa"/>
            <w:vAlign w:val="bottom"/>
          </w:tcPr>
          <w:p>
            <w:pPr>
              <w:jc w:val="right"/>
              <w:ind w:right="439"/>
              <w:spacing w:after="0" w:line="155"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5"/>
                <w:szCs w:val="15"/>
                <w:color w:val="auto"/>
              </w:rPr>
            </w:pPr>
          </w:p>
        </w:tc>
        <w:tc>
          <w:tcPr>
            <w:tcW w:w="1380" w:type="dxa"/>
            <w:vAlign w:val="bottom"/>
          </w:tcPr>
          <w:p>
            <w:pPr>
              <w:jc w:val="right"/>
              <w:ind w:right="479"/>
              <w:spacing w:after="0" w:line="155" w:lineRule="exact"/>
              <w:rPr>
                <w:sz w:val="20"/>
                <w:szCs w:val="20"/>
                <w:color w:val="auto"/>
              </w:rPr>
            </w:pPr>
            <w:r>
              <w:rPr>
                <w:rFonts w:ascii="Arial" w:cs="Arial" w:eastAsia="Arial" w:hAnsi="Arial"/>
                <w:sz w:val="14"/>
                <w:szCs w:val="14"/>
                <w:b w:val="1"/>
                <w:bCs w:val="1"/>
                <w:color w:val="auto"/>
              </w:rPr>
              <w:t>2014</w:t>
            </w:r>
          </w:p>
        </w:tc>
        <w:tc>
          <w:tcPr>
            <w:tcW w:w="1860" w:type="dxa"/>
            <w:vAlign w:val="bottom"/>
            <w:gridSpan w:val="2"/>
          </w:tcPr>
          <w:p>
            <w:pPr>
              <w:jc w:val="right"/>
              <w:ind w:right="450"/>
              <w:spacing w:after="0" w:line="155"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5"/>
                <w:szCs w:val="15"/>
                <w:color w:val="auto"/>
              </w:rPr>
            </w:pPr>
          </w:p>
        </w:tc>
        <w:tc>
          <w:tcPr>
            <w:tcW w:w="1400" w:type="dxa"/>
            <w:vAlign w:val="bottom"/>
          </w:tcPr>
          <w:p>
            <w:pPr>
              <w:jc w:val="right"/>
              <w:ind w:right="479"/>
              <w:spacing w:after="0" w:line="155"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5"/>
                <w:szCs w:val="15"/>
                <w:color w:val="auto"/>
              </w:rPr>
            </w:pPr>
          </w:p>
        </w:tc>
        <w:tc>
          <w:tcPr>
            <w:tcW w:w="1400" w:type="dxa"/>
            <w:vAlign w:val="bottom"/>
          </w:tcPr>
          <w:p>
            <w:pPr>
              <w:jc w:val="right"/>
              <w:ind w:right="479"/>
              <w:spacing w:after="0" w:line="155" w:lineRule="exact"/>
              <w:rPr>
                <w:sz w:val="20"/>
                <w:szCs w:val="20"/>
                <w:color w:val="auto"/>
              </w:rPr>
            </w:pPr>
            <w:r>
              <w:rPr>
                <w:rFonts w:ascii="Arial" w:cs="Arial" w:eastAsia="Arial" w:hAnsi="Arial"/>
                <w:sz w:val="14"/>
                <w:szCs w:val="14"/>
                <w:b w:val="1"/>
                <w:bCs w:val="1"/>
                <w:color w:val="auto"/>
              </w:rPr>
              <w:t>2011</w:t>
            </w:r>
          </w:p>
        </w:tc>
      </w:tr>
      <w:tr>
        <w:trPr>
          <w:trHeight w:val="190"/>
        </w:trPr>
        <w:tc>
          <w:tcPr>
            <w:tcW w:w="4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5.20x</w:t>
            </w:r>
          </w:p>
        </w:tc>
        <w:tc>
          <w:tcPr>
            <w:tcW w:w="8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5.48x</w:t>
            </w:r>
          </w:p>
        </w:tc>
        <w:tc>
          <w:tcPr>
            <w:tcW w:w="5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5.22x</w:t>
            </w:r>
          </w:p>
        </w:tc>
        <w:tc>
          <w:tcPr>
            <w:tcW w:w="4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4.85x</w:t>
            </w:r>
          </w:p>
        </w:tc>
        <w:tc>
          <w:tcPr>
            <w:tcW w:w="4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4.82x</w:t>
            </w:r>
          </w:p>
        </w:tc>
        <w:tc>
          <w:tcPr>
            <w:tcW w:w="4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4.04x</w:t>
            </w:r>
          </w:p>
        </w:tc>
      </w:tr>
    </w:tbl>
    <w:p>
      <w:pPr>
        <w:spacing w:after="0" w:line="20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w:t>
      </w:r>
    </w:p>
    <w:p>
      <w:pPr>
        <w:spacing w:after="0" w:line="5" w:lineRule="exact"/>
        <w:rPr>
          <w:sz w:val="20"/>
          <w:szCs w:val="20"/>
          <w:color w:val="auto"/>
        </w:rPr>
      </w:pPr>
    </w:p>
    <w:p>
      <w:pPr>
        <w:ind w:right="240" w:firstLine="8"/>
        <w:spacing w:after="0" w:line="254" w:lineRule="auto"/>
        <w:tabs>
          <w:tab w:leader="none" w:pos="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22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is incorporated by reference as an exhibit to the registration statement of which this prospectus is a part.</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13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121" w:lineRule="exact"/>
        <w:rPr>
          <w:sz w:val="20"/>
          <w:szCs w:val="20"/>
          <w:color w:val="auto"/>
        </w:rPr>
      </w:pPr>
    </w:p>
    <w:p>
      <w:pPr>
        <w:ind w:right="60" w:firstLine="464"/>
        <w:spacing w:after="0" w:line="277" w:lineRule="auto"/>
        <w:tabs>
          <w:tab w:leader="none" w:pos="70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64"/>
        <w:spacing w:after="0" w:line="277" w:lineRule="auto"/>
        <w:tabs>
          <w:tab w:leader="none" w:pos="7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121" w:lineRule="exact"/>
        <w:rPr>
          <w:sz w:val="20"/>
          <w:szCs w:val="20"/>
          <w:color w:val="auto"/>
        </w:rPr>
      </w:pPr>
    </w:p>
    <w:p>
      <w:pPr>
        <w:ind w:right="220" w:firstLine="464"/>
        <w:spacing w:after="0" w:line="277" w:lineRule="auto"/>
        <w:tabs>
          <w:tab w:leader="none" w:pos="7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70" w:lineRule="exact"/>
        <w:rPr>
          <w:rFonts w:ascii="Arial" w:cs="Arial" w:eastAsia="Arial" w:hAnsi="Arial"/>
          <w:sz w:val="18"/>
          <w:szCs w:val="18"/>
          <w:color w:val="auto"/>
        </w:rPr>
      </w:pPr>
    </w:p>
    <w:p>
      <w:pPr>
        <w:ind w:right="60" w:firstLine="464"/>
        <w:spacing w:after="0" w:line="264"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77" w:lineRule="exact"/>
        <w:rPr>
          <w:sz w:val="20"/>
          <w:szCs w:val="20"/>
          <w:color w:val="auto"/>
        </w:rPr>
      </w:pPr>
    </w:p>
    <w:p>
      <w:pPr>
        <w:jc w:val="both"/>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w:t>
      </w:r>
      <w:r>
        <w:rPr>
          <w:rFonts w:ascii="Arial" w:cs="Arial" w:eastAsia="Arial" w:hAnsi="Arial"/>
          <w:sz w:val="18"/>
          <w:szCs w:val="18"/>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76"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62"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184"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Obligations</w:t>
      </w:r>
      <w:r>
        <w:rPr>
          <w:rFonts w:ascii="Arial" w:cs="Arial" w:eastAsia="Arial" w:hAnsi="Arial"/>
          <w:sz w:val="17"/>
          <w:szCs w:val="17"/>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74"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54"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121" w:lineRule="exact"/>
        <w:rPr>
          <w:sz w:val="20"/>
          <w:szCs w:val="20"/>
          <w:color w:val="auto"/>
        </w:rPr>
      </w:pPr>
    </w:p>
    <w:p>
      <w:pPr>
        <w:jc w:val="both"/>
        <w:ind w:right="260" w:firstLine="464"/>
        <w:spacing w:after="0" w:line="264" w:lineRule="auto"/>
        <w:tabs>
          <w:tab w:leader="none" w:pos="7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78" w:lineRule="exact"/>
        <w:rPr>
          <w:sz w:val="20"/>
          <w:szCs w:val="20"/>
          <w:color w:val="auto"/>
        </w:rPr>
      </w:pPr>
    </w:p>
    <w:p>
      <w:pPr>
        <w:ind w:left="700" w:hanging="236"/>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goods;</w:t>
      </w:r>
    </w:p>
    <w:p>
      <w:pPr>
        <w:spacing w:after="0" w:line="210" w:lineRule="exact"/>
        <w:rPr>
          <w:rFonts w:ascii="Arial" w:cs="Arial" w:eastAsia="Arial" w:hAnsi="Arial"/>
          <w:sz w:val="16"/>
          <w:szCs w:val="16"/>
          <w:color w:val="auto"/>
        </w:rPr>
      </w:pPr>
    </w:p>
    <w:p>
      <w:pPr>
        <w:ind w:firstLine="464"/>
        <w:spacing w:after="0" w:line="277"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70" w:lineRule="exact"/>
        <w:rPr>
          <w:rFonts w:ascii="Arial" w:cs="Arial" w:eastAsia="Arial" w:hAnsi="Arial"/>
          <w:sz w:val="18"/>
          <w:szCs w:val="18"/>
          <w:color w:val="auto"/>
        </w:rPr>
      </w:pPr>
    </w:p>
    <w:p>
      <w:pPr>
        <w:ind w:right="300" w:firstLine="464"/>
        <w:spacing w:after="0" w:line="277" w:lineRule="auto"/>
        <w:tabs>
          <w:tab w:leader="none" w:pos="701"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70" w:lineRule="exact"/>
        <w:rPr>
          <w:rFonts w:ascii="Arial" w:cs="Arial" w:eastAsia="Arial" w:hAnsi="Arial"/>
          <w:sz w:val="18"/>
          <w:szCs w:val="18"/>
          <w:color w:val="auto"/>
        </w:rPr>
      </w:pPr>
    </w:p>
    <w:p>
      <w:pPr>
        <w:ind w:right="40" w:firstLine="464"/>
        <w:spacing w:after="0" w:line="264" w:lineRule="auto"/>
        <w:tabs>
          <w:tab w:leader="none" w:pos="6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225" w:lineRule="exact"/>
        <w:rPr>
          <w:rFonts w:ascii="Arial" w:cs="Arial" w:eastAsia="Arial" w:hAnsi="Arial"/>
          <w:sz w:val="18"/>
          <w:szCs w:val="18"/>
          <w:color w:val="auto"/>
        </w:rPr>
      </w:pPr>
    </w:p>
    <w:p>
      <w:pPr>
        <w:ind w:firstLine="464"/>
        <w:spacing w:after="0" w:line="264"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81" w:lineRule="exact"/>
        <w:rPr>
          <w:rFonts w:ascii="Arial" w:cs="Arial" w:eastAsia="Arial" w:hAnsi="Arial"/>
          <w:sz w:val="18"/>
          <w:szCs w:val="18"/>
          <w:color w:val="auto"/>
        </w:rPr>
      </w:pPr>
    </w:p>
    <w:p>
      <w:pPr>
        <w:ind w:right="40" w:firstLine="464"/>
        <w:spacing w:after="0" w:line="277" w:lineRule="auto"/>
        <w:tabs>
          <w:tab w:leader="none" w:pos="6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70" w:lineRule="exact"/>
        <w:rPr>
          <w:rFonts w:ascii="Arial" w:cs="Arial" w:eastAsia="Arial" w:hAnsi="Arial"/>
          <w:sz w:val="18"/>
          <w:szCs w:val="18"/>
          <w:color w:val="auto"/>
        </w:rPr>
      </w:pPr>
    </w:p>
    <w:p>
      <w:pPr>
        <w:ind w:right="80" w:firstLine="464"/>
        <w:spacing w:after="0" w:line="277" w:lineRule="auto"/>
        <w:tabs>
          <w:tab w:leader="none" w:pos="6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70" w:lineRule="exact"/>
        <w:rPr>
          <w:rFonts w:ascii="Arial" w:cs="Arial" w:eastAsia="Arial" w:hAnsi="Arial"/>
          <w:sz w:val="18"/>
          <w:szCs w:val="18"/>
          <w:color w:val="auto"/>
        </w:rPr>
      </w:pPr>
    </w:p>
    <w:p>
      <w:pPr>
        <w:ind w:right="120" w:firstLine="464"/>
        <w:spacing w:after="0" w:line="264"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hanging="216"/>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225" w:lineRule="exact"/>
        <w:rPr>
          <w:rFonts w:ascii="Arial" w:cs="Arial" w:eastAsia="Arial" w:hAnsi="Arial"/>
          <w:sz w:val="18"/>
          <w:szCs w:val="18"/>
          <w:color w:val="auto"/>
        </w:rPr>
      </w:pPr>
    </w:p>
    <w:p>
      <w:pPr>
        <w:ind w:right="80" w:firstLine="464"/>
        <w:spacing w:after="0" w:line="277" w:lineRule="auto"/>
        <w:tabs>
          <w:tab w:leader="none" w:pos="761"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225" w:lineRule="exact"/>
        <w:rPr>
          <w:rFonts w:ascii="Arial" w:cs="Arial" w:eastAsia="Arial" w:hAnsi="Arial"/>
          <w:sz w:val="18"/>
          <w:szCs w:val="18"/>
          <w:color w:val="auto"/>
        </w:rPr>
      </w:pPr>
    </w:p>
    <w:p>
      <w:pPr>
        <w:ind w:right="240" w:firstLine="464"/>
        <w:spacing w:after="0" w:line="277" w:lineRule="auto"/>
        <w:tabs>
          <w:tab w:leader="none" w:pos="7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70" w:lineRule="exact"/>
        <w:rPr>
          <w:rFonts w:ascii="Arial" w:cs="Arial" w:eastAsia="Arial" w:hAnsi="Arial"/>
          <w:sz w:val="18"/>
          <w:szCs w:val="18"/>
          <w:color w:val="auto"/>
        </w:rPr>
      </w:pPr>
    </w:p>
    <w:p>
      <w:pPr>
        <w:ind w:right="340" w:firstLine="464"/>
        <w:spacing w:after="0" w:line="277" w:lineRule="auto"/>
        <w:tabs>
          <w:tab w:leader="none" w:pos="7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70" w:lineRule="exact"/>
        <w:rPr>
          <w:rFonts w:ascii="Arial" w:cs="Arial" w:eastAsia="Arial" w:hAnsi="Arial"/>
          <w:sz w:val="18"/>
          <w:szCs w:val="18"/>
          <w:color w:val="auto"/>
        </w:rPr>
      </w:pPr>
    </w:p>
    <w:p>
      <w:pPr>
        <w:ind w:right="80" w:firstLine="464"/>
        <w:spacing w:after="0" w:line="342" w:lineRule="auto"/>
        <w:tabs>
          <w:tab w:leader="none" w:pos="711" w:val="left"/>
        </w:tabs>
        <w:numPr>
          <w:ilvl w:val="0"/>
          <w:numId w:val="31"/>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123" w:lineRule="exact"/>
        <w:rPr>
          <w:rFonts w:ascii="Arial" w:cs="Arial" w:eastAsia="Arial" w:hAnsi="Arial"/>
          <w:sz w:val="16"/>
          <w:szCs w:val="16"/>
          <w:color w:val="auto"/>
        </w:rPr>
      </w:pPr>
    </w:p>
    <w:p>
      <w:pPr>
        <w:ind w:firstLine="464"/>
        <w:spacing w:after="0" w:line="264" w:lineRule="auto"/>
        <w:tabs>
          <w:tab w:leader="none" w:pos="6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221" w:lineRule="exact"/>
        <w:rPr>
          <w:sz w:val="20"/>
          <w:szCs w:val="20"/>
          <w:color w:val="auto"/>
        </w:rPr>
      </w:pPr>
    </w:p>
    <w:p>
      <w:pPr>
        <w:ind w:right="106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38"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with respect to any Person any property or asset, whether real, personal or mixed, or tangible or intangible, including shares of capital stock.</w:t>
      </w:r>
    </w:p>
    <w:p>
      <w:pPr>
        <w:spacing w:after="0" w:line="162"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131" w:lineRule="exact"/>
        <w:rPr>
          <w:sz w:val="20"/>
          <w:szCs w:val="20"/>
          <w:color w:val="auto"/>
        </w:rPr>
      </w:pPr>
    </w:p>
    <w:p>
      <w:pPr>
        <w:ind w:left="900" w:right="28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Guarantor.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81"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r>
        <w:rPr>
          <w:rFonts w:ascii="Arial" w:cs="Arial" w:eastAsia="Arial" w:hAnsi="Arial"/>
          <w:sz w:val="18"/>
          <w:szCs w:val="18"/>
          <w:i w:val="1"/>
          <w:iCs w:val="1"/>
          <w:color w:val="auto"/>
        </w:rPr>
        <w:t>:</w:t>
      </w:r>
    </w:p>
    <w:p>
      <w:pPr>
        <w:spacing w:after="0" w:line="92"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75"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6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87"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60" w:hanging="325"/>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86"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88"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We will not consolidate or combine with or merge with or into or, directly or indirectly, sell, assign, convey,</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87" w:lineRule="exact"/>
        <w:rPr>
          <w:sz w:val="20"/>
          <w:szCs w:val="20"/>
          <w:color w:val="auto"/>
        </w:rPr>
      </w:pPr>
    </w:p>
    <w:p>
      <w:pPr>
        <w:ind w:left="900" w:right="20" w:hanging="325"/>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53" w:lineRule="exact"/>
        <w:rPr>
          <w:rFonts w:ascii="Arial" w:cs="Arial" w:eastAsia="Arial" w:hAnsi="Arial"/>
          <w:sz w:val="16"/>
          <w:szCs w:val="16"/>
          <w:color w:val="auto"/>
        </w:rPr>
      </w:pPr>
    </w:p>
    <w:p>
      <w:pPr>
        <w:ind w:left="900" w:right="160" w:hanging="325"/>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131" w:lineRule="exact"/>
        <w:rPr>
          <w:sz w:val="20"/>
          <w:szCs w:val="20"/>
          <w:color w:val="auto"/>
        </w:rPr>
      </w:pPr>
    </w:p>
    <w:p>
      <w:pPr>
        <w:ind w:left="900" w:right="56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8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i w:val="1"/>
          <w:iCs w:val="1"/>
          <w:color w:val="auto"/>
        </w:rPr>
        <w:t xml:space="preserve">Information. </w:t>
      </w:r>
      <w:r>
        <w:rPr>
          <w:rFonts w:ascii="Arial" w:cs="Arial" w:eastAsia="Arial" w:hAnsi="Arial"/>
          <w:sz w:val="18"/>
          <w:szCs w:val="18"/>
          <w:color w:val="auto"/>
        </w:rPr>
        <w:t>We will furnish to the trustee any document or report we are required to file with the SEC pursuant to Section 13 or Section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117" w:lineRule="exact"/>
        <w:rPr>
          <w:sz w:val="20"/>
          <w:szCs w:val="20"/>
          <w:color w:val="auto"/>
        </w:rPr>
      </w:pPr>
    </w:p>
    <w:p>
      <w:pPr>
        <w:ind w:left="700" w:hanging="236"/>
        <w:spacing w:after="0"/>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default in paying interest on the senior debt securities of such series when it becomes due and the default continues for a period of 30 days or more;</w:t>
      </w:r>
    </w:p>
    <w:p>
      <w:pPr>
        <w:spacing w:after="0" w:line="248" w:lineRule="exact"/>
        <w:rPr>
          <w:rFonts w:ascii="Arial" w:cs="Arial" w:eastAsia="Arial" w:hAnsi="Arial"/>
          <w:sz w:val="16"/>
          <w:szCs w:val="16"/>
          <w:color w:val="auto"/>
        </w:rPr>
      </w:pPr>
    </w:p>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225" w:lineRule="exact"/>
        <w:rPr>
          <w:rFonts w:ascii="Arial" w:cs="Arial" w:eastAsia="Arial" w:hAnsi="Arial"/>
          <w:sz w:val="18"/>
          <w:szCs w:val="18"/>
          <w:color w:val="auto"/>
        </w:rPr>
      </w:pPr>
    </w:p>
    <w:p>
      <w:pPr>
        <w:ind w:right="60" w:firstLine="464"/>
        <w:spacing w:after="0" w:line="259" w:lineRule="auto"/>
        <w:tabs>
          <w:tab w:leader="none" w:pos="701"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248" w:lineRule="exact"/>
        <w:rPr>
          <w:rFonts w:ascii="Arial" w:cs="Arial" w:eastAsia="Arial" w:hAnsi="Arial"/>
          <w:sz w:val="16"/>
          <w:szCs w:val="16"/>
          <w:color w:val="auto"/>
        </w:rPr>
      </w:pPr>
    </w:p>
    <w:p>
      <w:pPr>
        <w:ind w:left="700" w:hanging="23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71" w:lineRule="exact"/>
        <w:rPr>
          <w:sz w:val="20"/>
          <w:szCs w:val="20"/>
          <w:color w:val="auto"/>
        </w:rPr>
      </w:pPr>
    </w:p>
    <w:p>
      <w:pPr>
        <w:jc w:val="both"/>
        <w:ind w:right="340" w:firstLine="456"/>
        <w:spacing w:after="0" w:line="342" w:lineRule="auto"/>
        <w:rPr>
          <w:sz w:val="20"/>
          <w:szCs w:val="20"/>
          <w:color w:val="auto"/>
        </w:rPr>
      </w:pPr>
      <w:r>
        <w:rPr>
          <w:rFonts w:ascii="Arial" w:cs="Arial" w:eastAsia="Arial" w:hAnsi="Arial"/>
          <w:sz w:val="16"/>
          <w:szCs w:val="16"/>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124"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8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78"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79"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4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7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75" w:lineRule="exact"/>
        <w:rPr>
          <w:rFonts w:ascii="Arial" w:cs="Arial" w:eastAsia="Arial" w:hAnsi="Arial"/>
          <w:sz w:val="18"/>
          <w:szCs w:val="18"/>
          <w:color w:val="auto"/>
        </w:rPr>
      </w:pPr>
    </w:p>
    <w:p>
      <w:pPr>
        <w:ind w:left="1480" w:hanging="446"/>
        <w:spacing w:after="0" w:line="277"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the senior debt securities of such series issued that have not been canceled or delivered to the trustee for cancellation have become due and payable, are by their terms to become due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20"/>
        <w:spacing w:after="0" w:line="259" w:lineRule="auto"/>
        <w:rPr>
          <w:sz w:val="20"/>
          <w:szCs w:val="20"/>
          <w:color w:val="auto"/>
        </w:rPr>
      </w:pPr>
      <w:r>
        <w:rPr>
          <w:rFonts w:ascii="Arial" w:cs="Arial" w:eastAsia="Arial" w:hAnsi="Arial"/>
          <w:sz w:val="18"/>
          <w:szCs w:val="18"/>
          <w:color w:val="auto"/>
        </w:rPr>
        <w:t>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92" w:lineRule="exact"/>
        <w:rPr>
          <w:sz w:val="20"/>
          <w:szCs w:val="20"/>
          <w:color w:val="auto"/>
        </w:rPr>
      </w:pPr>
    </w:p>
    <w:p>
      <w:pPr>
        <w:ind w:left="9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75" w:lineRule="exact"/>
        <w:rPr>
          <w:rFonts w:ascii="Arial" w:cs="Arial" w:eastAsia="Arial" w:hAnsi="Arial"/>
          <w:sz w:val="18"/>
          <w:szCs w:val="18"/>
          <w:color w:val="auto"/>
        </w:rPr>
      </w:pPr>
    </w:p>
    <w:p>
      <w:pPr>
        <w:ind w:left="900" w:right="240" w:hanging="325"/>
        <w:spacing w:after="0" w:line="34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124"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7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130"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86"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In addition, we may elect to have our and the Guarantors’ obligations released with respect to certain covenants in the indenture (“covenant defeasance”). In the event covenant defeasance occurs, certain events, not including nonpayment, bankruptcy and insolvency events, described under “— </w:t>
      </w:r>
      <w:r>
        <w:rPr>
          <w:rFonts w:ascii="Arial" w:cs="Arial" w:eastAsia="Arial" w:hAnsi="Arial"/>
          <w:sz w:val="18"/>
          <w:szCs w:val="18"/>
          <w:i w:val="1"/>
          <w:iCs w:val="1"/>
          <w:color w:val="auto"/>
        </w:rPr>
        <w:t>Events of Default</w:t>
      </w:r>
      <w:r>
        <w:rPr>
          <w:rFonts w:ascii="Arial" w:cs="Arial" w:eastAsia="Arial" w:hAnsi="Arial"/>
          <w:sz w:val="18"/>
          <w:szCs w:val="18"/>
          <w:color w:val="auto"/>
        </w:rPr>
        <w:t>” will no longer constitute an event of default for that series.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order to exercise either legal defeasance or covenant defeasance with respect to outstanding senior debt securities and Guarantees of any series:</w:t>
      </w:r>
    </w:p>
    <w:p>
      <w:pPr>
        <w:spacing w:after="0" w:line="142" w:lineRule="exact"/>
        <w:rPr>
          <w:sz w:val="20"/>
          <w:szCs w:val="20"/>
          <w:color w:val="auto"/>
        </w:rPr>
      </w:pPr>
    </w:p>
    <w:p>
      <w:pPr>
        <w:ind w:left="900" w:right="200" w:hanging="325"/>
        <w:spacing w:after="0" w:line="34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29" w:lineRule="exact"/>
        <w:rPr>
          <w:rFonts w:ascii="Arial" w:cs="Arial" w:eastAsia="Arial" w:hAnsi="Arial"/>
          <w:sz w:val="16"/>
          <w:szCs w:val="16"/>
          <w:color w:val="auto"/>
        </w:rPr>
      </w:pPr>
    </w:p>
    <w:p>
      <w:pPr>
        <w:ind w:left="1480" w:hanging="446"/>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cash;</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117"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92" w:lineRule="exact"/>
        <w:rPr>
          <w:sz w:val="20"/>
          <w:szCs w:val="20"/>
          <w:color w:val="auto"/>
        </w:rPr>
      </w:pPr>
    </w:p>
    <w:p>
      <w:pPr>
        <w:ind w:left="900" w:right="44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legal defeasance, we have delivered to the trustee an opinion of counsel stating that, as a result of an Internal Revenue Service (“IRS”) ruling or a change in applicable federal income tax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87" w:lineRule="exact"/>
        <w:rPr>
          <w:sz w:val="20"/>
          <w:szCs w:val="20"/>
          <w:color w:val="auto"/>
        </w:rPr>
      </w:pPr>
    </w:p>
    <w:p>
      <w:pPr>
        <w:ind w:left="900" w:right="14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92" w:lineRule="exact"/>
        <w:rPr>
          <w:rFonts w:ascii="Arial" w:cs="Arial" w:eastAsia="Arial" w:hAnsi="Arial"/>
          <w:sz w:val="18"/>
          <w:szCs w:val="18"/>
          <w:color w:val="auto"/>
        </w:rPr>
      </w:pPr>
    </w:p>
    <w:p>
      <w:pPr>
        <w:ind w:left="900" w:right="140" w:hanging="325"/>
        <w:spacing w:after="0" w:line="25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93"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75" w:lineRule="exact"/>
        <w:rPr>
          <w:rFonts w:ascii="Arial" w:cs="Arial" w:eastAsia="Arial" w:hAnsi="Arial"/>
          <w:sz w:val="18"/>
          <w:szCs w:val="18"/>
          <w:color w:val="auto"/>
        </w:rPr>
      </w:pPr>
    </w:p>
    <w:p>
      <w:pPr>
        <w:ind w:left="900" w:right="220" w:hanging="325"/>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86" w:lineRule="exact"/>
        <w:rPr>
          <w:rFonts w:ascii="Arial" w:cs="Arial" w:eastAsia="Arial" w:hAnsi="Arial"/>
          <w:sz w:val="18"/>
          <w:szCs w:val="18"/>
          <w:color w:val="auto"/>
        </w:rPr>
      </w:pPr>
    </w:p>
    <w:p>
      <w:pPr>
        <w:ind w:left="900" w:right="180" w:hanging="325"/>
        <w:spacing w:after="0" w:line="34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29"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76" w:lineRule="exact"/>
        <w:rPr>
          <w:sz w:val="20"/>
          <w:szCs w:val="20"/>
          <w:color w:val="auto"/>
        </w:rPr>
      </w:pPr>
    </w:p>
    <w:p>
      <w:pPr>
        <w:ind w:left="900" w:right="18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95" w:lineRule="exact"/>
        <w:rPr>
          <w:sz w:val="20"/>
          <w:szCs w:val="20"/>
          <w:color w:val="auto"/>
        </w:rPr>
      </w:pPr>
    </w:p>
    <w:p>
      <w:pPr>
        <w:ind w:left="900" w:right="18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senior indenture, including any Guarantee, and each senior debt security is governed by and construed in accordance with the laws of the State of New York.</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78"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2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9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69"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8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See “Dividend Policy”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140" w:firstLine="456"/>
        <w:spacing w:after="0" w:line="213" w:lineRule="auto"/>
        <w:rPr>
          <w:sz w:val="20"/>
          <w:szCs w:val="20"/>
          <w:color w:val="auto"/>
        </w:rPr>
      </w:pPr>
      <w:r>
        <w:rPr>
          <w:rFonts w:ascii="Arial" w:cs="Arial" w:eastAsia="Arial" w:hAnsi="Arial"/>
          <w:sz w:val="17"/>
          <w:szCs w:val="17"/>
          <w:color w:val="auto"/>
        </w:rPr>
        <w:t xml:space="preserve">As a general matter, on all matters submitted for a vote to holders of all classes of our voting stock, holders of our Class A common stock in the aggregate hold 66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of the aggregate voting power of our capital stock, and holders of our Class B common stock in the aggregate hold a non-dilutable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121" w:lineRule="exact"/>
        <w:rPr>
          <w:sz w:val="20"/>
          <w:szCs w:val="20"/>
          <w:color w:val="auto"/>
        </w:rPr>
      </w:pPr>
    </w:p>
    <w:p>
      <w:pPr>
        <w:ind w:firstLine="456"/>
        <w:spacing w:after="0" w:line="261" w:lineRule="auto"/>
        <w:rPr>
          <w:sz w:val="20"/>
          <w:szCs w:val="20"/>
          <w:color w:val="auto"/>
        </w:rPr>
      </w:pPr>
      <w:r>
        <w:rPr>
          <w:rFonts w:ascii="Arial" w:cs="Arial" w:eastAsia="Arial" w:hAnsi="Arial"/>
          <w:sz w:val="16"/>
          <w:szCs w:val="16"/>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2016, if Mr. Roberts were to convert the Class B common stock he beneficially owns into Class A common stock, Mr. Roberts would beneficially own 23,153,804 shares of Class A common stock, which is approximately 1% of the Class A common stock that would be outstanding after the conversion.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Class A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12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transfer agent and registrar for our Class A common stock is Wells Fargo Shareowner Services, P.O. Box 64874, St. Paul, Minnesota 55164-0874.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telephone number is (888) 883-8903.</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131"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81"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5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8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w:t>
      </w:r>
      <w:r>
        <w:rPr>
          <w:rFonts w:ascii="Arial" w:cs="Arial" w:eastAsia="Arial" w:hAnsi="Arial"/>
          <w:sz w:val="15"/>
          <w:szCs w:val="15"/>
          <w:color w:val="auto"/>
        </w:rPr>
        <w:t>LLP</w:t>
      </w:r>
      <w:r>
        <w:rPr>
          <w:rFonts w:ascii="Arial" w:cs="Arial" w:eastAsia="Arial" w:hAnsi="Arial"/>
          <w:sz w:val="18"/>
          <w:szCs w:val="18"/>
          <w:color w:val="auto"/>
        </w:rPr>
        <w:t xml:space="preserve"> will represent the underwriters.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consolidated financial statements and the related consolidated financial statement schedule of Comcast Corporation and subsidiaries, incorporated in this Prospectus by reference from Comcast Corporation’s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in this Prospectus by reference from NBCUniversal Media, LLC’s Annual Report on Form 10-K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7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13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Comcast’s and NBCUniversal’s combined Annual Report on Form 10-K for the year ended December 31, 2015, filed on February 5, 2016.</w:t>
      </w:r>
    </w:p>
    <w:p>
      <w:pPr>
        <w:spacing w:after="0" w:line="142" w:lineRule="exact"/>
        <w:rPr>
          <w:rFonts w:ascii="Arial" w:cs="Arial" w:eastAsia="Arial" w:hAnsi="Arial"/>
          <w:sz w:val="17"/>
          <w:szCs w:val="17"/>
          <w:color w:val="auto"/>
        </w:rPr>
      </w:pPr>
    </w:p>
    <w:p>
      <w:pPr>
        <w:ind w:left="900" w:right="24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2016 and June 30, 2016, filed on April 27, 2016 and July 27, 2016, respectively.</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Comcast’s Current Reports on Form 8-K, filed on February 17, 2016, February 23, 2016, March 30, 2016, May 24, 2016, May 26, 2016, May 31, 2016 (other than Item 7.01 thereto), July 1, 2016, July 19, 2016 and July 28, 2016.</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sections of Comcast’s Definitive Proxy Statement on Schedule 14A for the 2016 annual meeting of shareholders incorporated by reference in Comcast’s Annual Report on Form 10-K for the year ended December 31, 2015.</w:t>
      </w:r>
    </w:p>
    <w:p>
      <w:pPr>
        <w:spacing w:after="0" w:line="75" w:lineRule="exact"/>
        <w:rPr>
          <w:rFonts w:ascii="Arial" w:cs="Arial" w:eastAsia="Arial" w:hAnsi="Arial"/>
          <w:sz w:val="18"/>
          <w:szCs w:val="18"/>
          <w:color w:val="auto"/>
        </w:rPr>
      </w:pPr>
    </w:p>
    <w:p>
      <w:pPr>
        <w:ind w:left="900" w:right="40" w:hanging="325"/>
        <w:spacing w:after="0" w:line="308"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description of our capital stock included in Item 3.02 under the caption “Amended and Restated Description of our Class A Common Stock” in Comcast’s Current Report on Form 8-K filed on December 15, 2015, as the same may be further amended from time to time.</w:t>
      </w:r>
    </w:p>
    <w:p>
      <w:pPr>
        <w:spacing w:after="0" w:line="14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803275</wp:posOffset>
            </wp:positionV>
            <wp:extent cx="1397635" cy="4889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180"/>
        <w:spacing w:after="0"/>
        <w:rPr>
          <w:sz w:val="20"/>
          <w:szCs w:val="20"/>
          <w:color w:val="auto"/>
        </w:rPr>
      </w:pPr>
      <w:r>
        <w:rPr>
          <w:rFonts w:ascii="Arial" w:cs="Arial" w:eastAsia="Arial" w:hAnsi="Arial"/>
          <w:sz w:val="29"/>
          <w:szCs w:val="29"/>
          <w:b w:val="1"/>
          <w:bCs w:val="1"/>
          <w:color w:val="auto"/>
        </w:rPr>
        <w:t>$800,000,000 4.250% Notes due 2053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1066165</wp:posOffset>
            </wp:positionV>
            <wp:extent cx="15176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220"/>
        <w:spacing w:after="0"/>
        <w:rPr>
          <w:sz w:val="20"/>
          <w:szCs w:val="20"/>
          <w:color w:val="auto"/>
        </w:rPr>
      </w:pPr>
      <w:r>
        <w:rPr>
          <w:rFonts w:ascii="Arial" w:cs="Arial" w:eastAsia="Arial" w:hAnsi="Arial"/>
          <w:sz w:val="22"/>
          <w:szCs w:val="22"/>
          <w:i w:val="1"/>
          <w:iCs w:val="1"/>
          <w:color w:val="auto"/>
        </w:rPr>
        <w:t>Book-Running Manager</w:t>
      </w:r>
    </w:p>
    <w:p>
      <w:pPr>
        <w:spacing w:after="0" w:line="205" w:lineRule="exact"/>
        <w:rPr>
          <w:sz w:val="20"/>
          <w:szCs w:val="20"/>
          <w:color w:val="auto"/>
        </w:rPr>
      </w:pPr>
    </w:p>
    <w:p>
      <w:pPr>
        <w:ind w:left="3860"/>
        <w:spacing w:after="0"/>
        <w:rPr>
          <w:sz w:val="20"/>
          <w:szCs w:val="20"/>
          <w:color w:val="auto"/>
        </w:rPr>
      </w:pPr>
      <w:r>
        <w:rPr>
          <w:rFonts w:ascii="Arial" w:cs="Arial" w:eastAsia="Arial" w:hAnsi="Arial"/>
          <w:sz w:val="25"/>
          <w:szCs w:val="25"/>
          <w:b w:val="1"/>
          <w:bCs w:val="1"/>
          <w:color w:val="auto"/>
        </w:rPr>
        <w:t>Deutsche Bank AG, Taipei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1358265</wp:posOffset>
            </wp:positionV>
            <wp:extent cx="15176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February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215"/>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lowerLetter"/>
      <w:start w:val="23"/>
    </w:lvl>
  </w:abstractNum>
  <w:abstractNum w:abstractNumId="6">
    <w:nsid w:val="2CA88611"/>
    <w:multiLevelType w:val="hybridMultilevel"/>
    <w:lvl w:ilvl="0">
      <w:lvlJc w:val="left"/>
      <w:lvlText w:val="%1."/>
      <w:numFmt w:val="decimal"/>
      <w:start w:val="1"/>
    </w:lvl>
    <w:lvl w:ilvl="1">
      <w:lvlJc w:val="left"/>
      <w:lvlText w:val="%2."/>
      <w:numFmt w:val="lowerLetter"/>
      <w:start w:val="1"/>
    </w:lvl>
  </w:abstractNum>
  <w:abstractNum w:abstractNumId="7">
    <w:nsid w:val="836C40E"/>
    <w:multiLevelType w:val="hybridMultilevel"/>
    <w:lvl w:ilvl="0">
      <w:lvlJc w:val="left"/>
      <w:lvlText w:val="%1."/>
      <w:numFmt w:val="decimal"/>
      <w:start w:val="2"/>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2"/>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lowerLetter"/>
      <w:start w:val="23"/>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Letter"/>
      <w:start w:val="2"/>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3"/>
    </w:lvl>
  </w:abstractNum>
  <w:abstractNum w:abstractNumId="30">
    <w:nsid w:val="2D517796"/>
    <w:multiLevelType w:val="hybridMultilevel"/>
    <w:lvl w:ilvl="0">
      <w:lvlJc w:val="left"/>
      <w:lvlText w:val="(%1)"/>
      <w:numFmt w:val="lowerLetter"/>
      <w:start w:val="12"/>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
      <w:numFmt w:val="bullet"/>
      <w:start w:val="1"/>
    </w:lvl>
    <w:lvl w:ilvl="1">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lvl w:ilvl="1">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2019-12-06T20:14:25Z</dcterms:created>
  <dcterms:modified xsi:type="dcterms:W3CDTF">2019-12-06T20:14:25Z</dcterms:modified>
</cp:coreProperties>
</file>