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699"/>
        <w:spacing w:after="0"/>
        <w:rPr>
          <w:sz w:val="20"/>
          <w:szCs w:val="20"/>
          <w:color w:val="auto"/>
        </w:rPr>
      </w:pPr>
      <w:r>
        <w:rPr>
          <w:rFonts w:ascii="Courier New" w:cs="Courier New" w:eastAsia="Courier New" w:hAnsi="Courier New"/>
          <w:sz w:val="18"/>
          <w:szCs w:val="18"/>
          <w:color w:val="auto"/>
        </w:rPr>
        <w:t>SECURITIES AND EXCHANGE COMMISSION</w:t>
      </w:r>
    </w:p>
    <w:p>
      <w:pPr>
        <w:jc w:val="center"/>
        <w:ind w:right="1699"/>
        <w:spacing w:after="0" w:line="238" w:lineRule="auto"/>
        <w:rPr>
          <w:sz w:val="20"/>
          <w:szCs w:val="20"/>
          <w:color w:val="auto"/>
        </w:rPr>
      </w:pPr>
      <w:r>
        <w:rPr>
          <w:rFonts w:ascii="Courier New" w:cs="Courier New" w:eastAsia="Courier New" w:hAnsi="Courier New"/>
          <w:sz w:val="18"/>
          <w:szCs w:val="18"/>
          <w:color w:val="auto"/>
        </w:rPr>
        <w:t>WASHINGTON, D.C. 20549</w:t>
      </w:r>
    </w:p>
    <w:p>
      <w:pPr>
        <w:spacing w:after="0" w:line="201" w:lineRule="exact"/>
        <w:rPr>
          <w:sz w:val="24"/>
          <w:szCs w:val="24"/>
          <w:color w:val="auto"/>
        </w:rPr>
      </w:pPr>
    </w:p>
    <w:p>
      <w:pPr>
        <w:ind w:left="3280"/>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4"/>
          <w:szCs w:val="24"/>
          <w:color w:val="auto"/>
        </w:rPr>
      </w:pPr>
    </w:p>
    <w:p>
      <w:pPr>
        <w:ind w:left="3800"/>
        <w:spacing w:after="0"/>
        <w:rPr>
          <w:sz w:val="20"/>
          <w:szCs w:val="20"/>
          <w:color w:val="auto"/>
        </w:rPr>
      </w:pPr>
      <w:r>
        <w:rPr>
          <w:rFonts w:ascii="Courier New" w:cs="Courier New" w:eastAsia="Courier New" w:hAnsi="Courier New"/>
          <w:sz w:val="18"/>
          <w:szCs w:val="18"/>
          <w:color w:val="auto"/>
        </w:rPr>
        <w:t>FORM 8-K</w:t>
      </w:r>
    </w:p>
    <w:p>
      <w:pPr>
        <w:spacing w:after="0" w:line="200" w:lineRule="exact"/>
        <w:rPr>
          <w:sz w:val="24"/>
          <w:szCs w:val="24"/>
          <w:color w:val="auto"/>
        </w:rPr>
      </w:pPr>
    </w:p>
    <w:p>
      <w:pPr>
        <w:spacing w:after="0" w:line="204" w:lineRule="exact"/>
        <w:rPr>
          <w:sz w:val="24"/>
          <w:szCs w:val="24"/>
          <w:color w:val="auto"/>
        </w:rPr>
      </w:pPr>
    </w:p>
    <w:p>
      <w:pPr>
        <w:ind w:left="3480"/>
        <w:spacing w:after="0"/>
        <w:rPr>
          <w:sz w:val="20"/>
          <w:szCs w:val="20"/>
          <w:color w:val="auto"/>
        </w:rPr>
      </w:pPr>
      <w:r>
        <w:rPr>
          <w:rFonts w:ascii="Courier New" w:cs="Courier New" w:eastAsia="Courier New" w:hAnsi="Courier New"/>
          <w:sz w:val="18"/>
          <w:szCs w:val="18"/>
          <w:color w:val="auto"/>
        </w:rPr>
        <w:t>CURRENT REPORT</w:t>
      </w: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ind w:left="2220"/>
        <w:spacing w:after="0"/>
        <w:rPr>
          <w:sz w:val="20"/>
          <w:szCs w:val="20"/>
          <w:color w:val="auto"/>
        </w:rPr>
      </w:pPr>
      <w:r>
        <w:rPr>
          <w:rFonts w:ascii="Courier New" w:cs="Courier New" w:eastAsia="Courier New" w:hAnsi="Courier New"/>
          <w:sz w:val="18"/>
          <w:szCs w:val="18"/>
          <w:color w:val="auto"/>
        </w:rPr>
        <w:t>PURSUANT TO SECTION 13 OR 15(d) of the</w:t>
      </w:r>
    </w:p>
    <w:p>
      <w:pPr>
        <w:ind w:left="2640"/>
        <w:spacing w:after="0" w:line="238" w:lineRule="auto"/>
        <w:rPr>
          <w:sz w:val="20"/>
          <w:szCs w:val="20"/>
          <w:color w:val="auto"/>
        </w:rPr>
      </w:pPr>
      <w:r>
        <w:rPr>
          <w:rFonts w:ascii="Courier New" w:cs="Courier New" w:eastAsia="Courier New" w:hAnsi="Courier New"/>
          <w:sz w:val="18"/>
          <w:szCs w:val="18"/>
          <w:color w:val="auto"/>
        </w:rPr>
        <w:t>SECURITIES EXCHANGE ACT OF 1934</w:t>
      </w:r>
    </w:p>
    <w:p>
      <w:pPr>
        <w:spacing w:after="0" w:line="200" w:lineRule="exact"/>
        <w:rPr>
          <w:sz w:val="24"/>
          <w:szCs w:val="24"/>
          <w:color w:val="auto"/>
        </w:rPr>
      </w:pPr>
    </w:p>
    <w:p>
      <w:pPr>
        <w:spacing w:after="0" w:line="200" w:lineRule="exact"/>
        <w:rPr>
          <w:sz w:val="24"/>
          <w:szCs w:val="24"/>
          <w:color w:val="auto"/>
        </w:rPr>
      </w:pPr>
    </w:p>
    <w:p>
      <w:pPr>
        <w:spacing w:after="0" w:line="212" w:lineRule="exact"/>
        <w:rPr>
          <w:sz w:val="24"/>
          <w:szCs w:val="24"/>
          <w:color w:val="auto"/>
        </w:rPr>
      </w:pPr>
    </w:p>
    <w:p>
      <w:pPr>
        <w:ind w:left="740"/>
        <w:spacing w:after="0"/>
        <w:rPr>
          <w:sz w:val="20"/>
          <w:szCs w:val="20"/>
          <w:color w:val="auto"/>
        </w:rPr>
      </w:pPr>
      <w:r>
        <w:rPr>
          <w:rFonts w:ascii="Courier New" w:cs="Courier New" w:eastAsia="Courier New" w:hAnsi="Courier New"/>
          <w:sz w:val="16"/>
          <w:szCs w:val="16"/>
          <w:color w:val="auto"/>
        </w:rPr>
        <w:t>Date of Report (Date of earliest event reported): December 23, 1999</w:t>
      </w:r>
    </w:p>
    <w:p>
      <w:pPr>
        <w:spacing w:after="0" w:line="200" w:lineRule="exact"/>
        <w:rPr>
          <w:sz w:val="24"/>
          <w:szCs w:val="24"/>
          <w:color w:val="auto"/>
        </w:rPr>
      </w:pPr>
    </w:p>
    <w:p>
      <w:pPr>
        <w:spacing w:after="0" w:line="200" w:lineRule="exact"/>
        <w:rPr>
          <w:sz w:val="24"/>
          <w:szCs w:val="24"/>
          <w:color w:val="auto"/>
        </w:rPr>
      </w:pPr>
    </w:p>
    <w:p>
      <w:pPr>
        <w:spacing w:after="0" w:line="223" w:lineRule="exact"/>
        <w:rPr>
          <w:sz w:val="24"/>
          <w:szCs w:val="24"/>
          <w:color w:val="auto"/>
        </w:rPr>
      </w:pPr>
    </w:p>
    <w:p>
      <w:pPr>
        <w:jc w:val="center"/>
        <w:ind w:right="1599"/>
        <w:spacing w:after="0"/>
        <w:rPr>
          <w:sz w:val="20"/>
          <w:szCs w:val="20"/>
          <w:color w:val="auto"/>
        </w:rPr>
      </w:pPr>
      <w:r>
        <w:rPr>
          <w:rFonts w:ascii="Courier New" w:cs="Courier New" w:eastAsia="Courier New" w:hAnsi="Courier New"/>
          <w:sz w:val="18"/>
          <w:szCs w:val="18"/>
          <w:color w:val="auto"/>
        </w:rPr>
        <w:t>COMCAST CORPORATION</w:t>
      </w:r>
    </w:p>
    <w:p>
      <w:pPr>
        <w:ind w:left="1380"/>
        <w:spacing w:after="0" w:line="238" w:lineRule="auto"/>
        <w:rPr>
          <w:sz w:val="20"/>
          <w:szCs w:val="20"/>
          <w:color w:val="auto"/>
        </w:rPr>
      </w:pPr>
      <w:r>
        <w:rPr>
          <w:rFonts w:ascii="Courier New" w:cs="Courier New" w:eastAsia="Courier New" w:hAnsi="Courier New"/>
          <w:sz w:val="18"/>
          <w:szCs w:val="18"/>
          <w:color w:val="auto"/>
        </w:rPr>
        <w:t>------------------------------------------------------</w:t>
      </w:r>
    </w:p>
    <w:p>
      <w:pPr>
        <w:ind w:left="1380"/>
        <w:spacing w:after="0" w:line="238" w:lineRule="auto"/>
        <w:rPr>
          <w:sz w:val="20"/>
          <w:szCs w:val="20"/>
          <w:color w:val="auto"/>
        </w:rPr>
      </w:pPr>
      <w:r>
        <w:rPr>
          <w:rFonts w:ascii="Courier New" w:cs="Courier New" w:eastAsia="Courier New" w:hAnsi="Courier New"/>
          <w:sz w:val="18"/>
          <w:szCs w:val="18"/>
          <w:color w:val="auto"/>
        </w:rPr>
        <w:t>(Exact name of registrant as specified in its charter)</w:t>
      </w:r>
    </w:p>
    <w:p>
      <w:pPr>
        <w:sectPr>
          <w:pgSz w:w="11900" w:h="16838" w:orient="portrait"/>
          <w:cols w:equalWidth="0" w:num="1">
            <w:col w:w="10139"/>
          </w:cols>
          <w:pgMar w:left="320" w:top="447" w:right="1440" w:bottom="1440" w:gutter="0" w:footer="0" w:header="0"/>
        </w:sectPr>
      </w:pPr>
    </w:p>
    <w:p>
      <w:pPr>
        <w:spacing w:after="0" w:line="200" w:lineRule="exact"/>
        <w:rPr>
          <w:sz w:val="24"/>
          <w:szCs w:val="24"/>
          <w:color w:val="auto"/>
        </w:rPr>
      </w:pPr>
    </w:p>
    <w:p>
      <w:pPr>
        <w:spacing w:after="0" w:line="204" w:lineRule="exact"/>
        <w:rPr>
          <w:sz w:val="24"/>
          <w:szCs w:val="24"/>
          <w:color w:val="auto"/>
        </w:rPr>
      </w:pPr>
    </w:p>
    <w:p>
      <w:pPr>
        <w:ind w:left="120"/>
        <w:spacing w:after="0"/>
        <w:rPr>
          <w:sz w:val="20"/>
          <w:szCs w:val="20"/>
          <w:color w:val="auto"/>
        </w:rPr>
      </w:pPr>
      <w:r>
        <w:rPr>
          <w:rFonts w:ascii="Courier New" w:cs="Courier New" w:eastAsia="Courier New" w:hAnsi="Courier New"/>
          <w:sz w:val="18"/>
          <w:szCs w:val="18"/>
          <w:color w:val="auto"/>
        </w:rPr>
        <w:t>Pennsylvania</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(State or other</w:t>
      </w:r>
    </w:p>
    <w:p>
      <w:pPr>
        <w:spacing w:after="0" w:line="238" w:lineRule="auto"/>
        <w:rPr>
          <w:sz w:val="20"/>
          <w:szCs w:val="20"/>
          <w:color w:val="auto"/>
        </w:rPr>
      </w:pPr>
      <w:r>
        <w:rPr>
          <w:rFonts w:ascii="Courier New" w:cs="Courier New" w:eastAsia="Courier New" w:hAnsi="Courier New"/>
          <w:sz w:val="18"/>
          <w:szCs w:val="18"/>
          <w:color w:val="auto"/>
        </w:rPr>
        <w:t>jurisdiction of</w:t>
      </w:r>
    </w:p>
    <w:p>
      <w:pPr>
        <w:spacing w:after="0" w:line="238" w:lineRule="auto"/>
        <w:rPr>
          <w:sz w:val="20"/>
          <w:szCs w:val="20"/>
          <w:color w:val="auto"/>
        </w:rPr>
      </w:pPr>
      <w:r>
        <w:rPr>
          <w:rFonts w:ascii="Courier New" w:cs="Courier New" w:eastAsia="Courier New" w:hAnsi="Courier New"/>
          <w:sz w:val="18"/>
          <w:szCs w:val="18"/>
          <w:color w:val="auto"/>
        </w:rPr>
        <w:t>incorporation)</w:t>
      </w:r>
    </w:p>
    <w:p>
      <w:pPr>
        <w:spacing w:after="0" w:line="20" w:lineRule="exact"/>
        <w:rPr>
          <w:sz w:val="24"/>
          <w:szCs w:val="24"/>
          <w:color w:val="auto"/>
        </w:rPr>
      </w:pPr>
      <w:r>
        <w:rPr>
          <w:sz w:val="24"/>
          <w:szCs w:val="24"/>
          <w:color w:val="auto"/>
        </w:rPr>
        <w:br w:type="column"/>
      </w:r>
    </w:p>
    <w:p>
      <w:pPr>
        <w:spacing w:after="0" w:line="384" w:lineRule="exact"/>
        <w:rPr>
          <w:sz w:val="24"/>
          <w:szCs w:val="24"/>
          <w:color w:val="auto"/>
        </w:rPr>
      </w:pPr>
    </w:p>
    <w:p>
      <w:pPr>
        <w:ind w:left="520"/>
        <w:spacing w:after="0"/>
        <w:rPr>
          <w:sz w:val="20"/>
          <w:szCs w:val="20"/>
          <w:color w:val="auto"/>
        </w:rPr>
      </w:pPr>
      <w:r>
        <w:rPr>
          <w:rFonts w:ascii="Courier New" w:cs="Courier New" w:eastAsia="Courier New" w:hAnsi="Courier New"/>
          <w:sz w:val="18"/>
          <w:szCs w:val="18"/>
          <w:color w:val="auto"/>
        </w:rPr>
        <w:t>0-6983</w:t>
      </w:r>
    </w:p>
    <w:p>
      <w:pPr>
        <w:spacing w:after="0" w:line="4" w:lineRule="exact"/>
        <w:rPr>
          <w:sz w:val="24"/>
          <w:szCs w:val="24"/>
          <w:color w:val="auto"/>
        </w:rPr>
      </w:pPr>
    </w:p>
    <w:p>
      <w:pPr>
        <w:ind w:left="3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(Commission file</w:t>
      </w:r>
    </w:p>
    <w:p>
      <w:pPr>
        <w:ind w:left="520"/>
        <w:spacing w:after="0" w:line="238" w:lineRule="auto"/>
        <w:rPr>
          <w:sz w:val="20"/>
          <w:szCs w:val="20"/>
          <w:color w:val="auto"/>
        </w:rPr>
      </w:pPr>
      <w:r>
        <w:rPr>
          <w:rFonts w:ascii="Courier New" w:cs="Courier New" w:eastAsia="Courier New" w:hAnsi="Courier New"/>
          <w:sz w:val="18"/>
          <w:szCs w:val="18"/>
          <w:color w:val="auto"/>
        </w:rPr>
        <w:t>number)</w:t>
      </w:r>
    </w:p>
    <w:p>
      <w:pPr>
        <w:spacing w:after="0" w:line="20" w:lineRule="exact"/>
        <w:rPr>
          <w:sz w:val="24"/>
          <w:szCs w:val="24"/>
          <w:color w:val="auto"/>
        </w:rPr>
      </w:pPr>
      <w:r>
        <w:rPr>
          <w:sz w:val="24"/>
          <w:szCs w:val="24"/>
          <w:color w:val="auto"/>
        </w:rPr>
        <w:br w:type="column"/>
      </w:r>
    </w:p>
    <w:p>
      <w:pPr>
        <w:spacing w:after="0" w:line="384" w:lineRule="exact"/>
        <w:rPr>
          <w:sz w:val="24"/>
          <w:szCs w:val="24"/>
          <w:color w:val="auto"/>
        </w:rPr>
      </w:pPr>
    </w:p>
    <w:p>
      <w:pPr>
        <w:ind w:left="200"/>
        <w:spacing w:after="0"/>
        <w:rPr>
          <w:sz w:val="20"/>
          <w:szCs w:val="20"/>
          <w:color w:val="auto"/>
        </w:rPr>
      </w:pPr>
      <w:r>
        <w:rPr>
          <w:rFonts w:ascii="Courier New" w:cs="Courier New" w:eastAsia="Courier New" w:hAnsi="Courier New"/>
          <w:sz w:val="18"/>
          <w:szCs w:val="18"/>
          <w:color w:val="auto"/>
        </w:rPr>
        <w:t>23-1709202</w:t>
      </w:r>
    </w:p>
    <w:p>
      <w:pPr>
        <w:spacing w:after="0" w:line="4" w:lineRule="exact"/>
        <w:rPr>
          <w:sz w:val="24"/>
          <w:szCs w:val="24"/>
          <w:color w:val="auto"/>
        </w:rPr>
      </w:pPr>
    </w:p>
    <w:p>
      <w:pPr>
        <w:ind w:left="3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(IRS employer</w:t>
      </w:r>
    </w:p>
    <w:p>
      <w:pPr>
        <w:spacing w:after="0" w:line="238" w:lineRule="auto"/>
        <w:rPr>
          <w:sz w:val="20"/>
          <w:szCs w:val="20"/>
          <w:color w:val="auto"/>
        </w:rPr>
      </w:pPr>
      <w:r>
        <w:rPr>
          <w:rFonts w:ascii="Courier New" w:cs="Courier New" w:eastAsia="Courier New" w:hAnsi="Courier New"/>
          <w:sz w:val="18"/>
          <w:szCs w:val="18"/>
          <w:color w:val="auto"/>
        </w:rPr>
        <w:t>identification</w:t>
      </w:r>
    </w:p>
    <w:p>
      <w:pPr>
        <w:ind w:left="620"/>
        <w:spacing w:after="0" w:line="238" w:lineRule="auto"/>
        <w:rPr>
          <w:sz w:val="20"/>
          <w:szCs w:val="20"/>
          <w:color w:val="auto"/>
        </w:rPr>
      </w:pPr>
      <w:r>
        <w:rPr>
          <w:rFonts w:ascii="Courier New" w:cs="Courier New" w:eastAsia="Courier New" w:hAnsi="Courier New"/>
          <w:sz w:val="18"/>
          <w:szCs w:val="18"/>
          <w:color w:val="auto"/>
        </w:rPr>
        <w:t>no.)</w:t>
      </w:r>
    </w:p>
    <w:p>
      <w:pPr>
        <w:spacing w:after="0" w:line="200" w:lineRule="exact"/>
        <w:rPr>
          <w:sz w:val="24"/>
          <w:szCs w:val="24"/>
          <w:color w:val="auto"/>
        </w:rPr>
      </w:pPr>
    </w:p>
    <w:p>
      <w:pPr>
        <w:sectPr>
          <w:pgSz w:w="11900" w:h="16838" w:orient="portrait"/>
          <w:cols w:equalWidth="0" w:num="3">
            <w:col w:w="2660" w:space="720"/>
            <w:col w:w="2860" w:space="720"/>
            <w:col w:w="3179"/>
          </w:cols>
          <w:pgMar w:left="320" w:top="447" w:right="1440" w:bottom="1440" w:gutter="0" w:footer="0" w:header="0"/>
          <w:type w:val="continuous"/>
        </w:sectPr>
      </w:pPr>
    </w:p>
    <w:p>
      <w:pPr>
        <w:spacing w:after="0" w:line="200" w:lineRule="exact"/>
        <w:rPr>
          <w:sz w:val="24"/>
          <w:szCs w:val="24"/>
          <w:color w:val="auto"/>
        </w:rPr>
      </w:pPr>
    </w:p>
    <w:p>
      <w:pPr>
        <w:spacing w:after="0" w:line="212" w:lineRule="exact"/>
        <w:rPr>
          <w:sz w:val="24"/>
          <w:szCs w:val="24"/>
          <w:color w:val="auto"/>
        </w:rPr>
      </w:pPr>
    </w:p>
    <w:p>
      <w:pPr>
        <w:jc w:val="both"/>
        <w:ind w:left="1280" w:right="2979" w:firstLine="105"/>
        <w:spacing w:after="0" w:line="236" w:lineRule="auto"/>
        <w:rPr>
          <w:sz w:val="20"/>
          <w:szCs w:val="20"/>
          <w:color w:val="auto"/>
        </w:rPr>
      </w:pPr>
      <w:r>
        <w:rPr>
          <w:rFonts w:ascii="Courier New" w:cs="Courier New" w:eastAsia="Courier New" w:hAnsi="Courier New"/>
          <w:sz w:val="18"/>
          <w:szCs w:val="18"/>
          <w:color w:val="auto"/>
        </w:rPr>
        <w:t>1500 Market Street, Philadelphia, PA 19102-2148 -------------------------------------------------------- (Address of principal executive offices) (Zip Code)</w:t>
      </w:r>
    </w:p>
    <w:p>
      <w:pPr>
        <w:sectPr>
          <w:pgSz w:w="11900" w:h="16838" w:orient="portrait"/>
          <w:cols w:equalWidth="0" w:num="1">
            <w:col w:w="10139"/>
          </w:cols>
          <w:pgMar w:left="320" w:top="447" w:right="1440" w:bottom="1440" w:gutter="0" w:footer="0" w:header="0"/>
          <w:type w:val="continuous"/>
        </w:sect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0" w:lineRule="exact"/>
        <w:rPr>
          <w:sz w:val="24"/>
          <w:szCs w:val="24"/>
          <w:color w:val="auto"/>
        </w:rPr>
      </w:pPr>
    </w:p>
    <w:p>
      <w:pPr>
        <w:ind w:left="860"/>
        <w:spacing w:after="0"/>
        <w:rPr>
          <w:sz w:val="20"/>
          <w:szCs w:val="20"/>
          <w:color w:val="auto"/>
        </w:rPr>
      </w:pPr>
      <w:r>
        <w:rPr>
          <w:rFonts w:ascii="Courier New" w:cs="Courier New" w:eastAsia="Courier New" w:hAnsi="Courier New"/>
          <w:sz w:val="18"/>
          <w:szCs w:val="18"/>
          <w:color w:val="auto"/>
        </w:rPr>
        <w:t>Registrant's telephone number, including area code (215) 665-1700</w:t>
      </w:r>
    </w:p>
    <w:p>
      <w:pPr>
        <w:ind w:left="6220"/>
        <w:spacing w:after="0" w:line="238" w:lineRule="auto"/>
        <w:rPr>
          <w:sz w:val="20"/>
          <w:szCs w:val="20"/>
          <w:color w:val="auto"/>
        </w:rPr>
      </w:pPr>
      <w:r>
        <w:rPr>
          <w:rFonts w:ascii="Courier New" w:cs="Courier New" w:eastAsia="Courier New" w:hAnsi="Courier New"/>
          <w:sz w:val="18"/>
          <w:szCs w:val="18"/>
          <w:color w:val="auto"/>
        </w:rPr>
        <w:t>--------------</w:t>
      </w:r>
    </w:p>
    <w:p>
      <w:pPr>
        <w:spacing w:after="0" w:line="377" w:lineRule="exact"/>
        <w:rPr>
          <w:sz w:val="24"/>
          <w:szCs w:val="24"/>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5.</w:t>
      </w:r>
      <w:r>
        <w:rPr>
          <w:sz w:val="20"/>
          <w:szCs w:val="20"/>
          <w:color w:val="auto"/>
        </w:rPr>
        <w:tab/>
      </w:r>
      <w:r>
        <w:rPr>
          <w:rFonts w:ascii="Courier New" w:cs="Courier New" w:eastAsia="Courier New" w:hAnsi="Courier New"/>
          <w:sz w:val="16"/>
          <w:szCs w:val="16"/>
          <w:color w:val="auto"/>
        </w:rPr>
        <w:t>OTHER EVENTS</w:t>
      </w:r>
    </w:p>
    <w:p>
      <w:pPr>
        <w:spacing w:after="0" w:line="207" w:lineRule="exact"/>
        <w:rPr>
          <w:sz w:val="24"/>
          <w:szCs w:val="24"/>
          <w:color w:val="auto"/>
        </w:rPr>
      </w:pPr>
    </w:p>
    <w:p>
      <w:pPr>
        <w:jc w:val="both"/>
        <w:ind w:right="1699" w:firstLine="526"/>
        <w:spacing w:after="0" w:line="237" w:lineRule="auto"/>
        <w:rPr>
          <w:sz w:val="20"/>
          <w:szCs w:val="20"/>
          <w:color w:val="auto"/>
        </w:rPr>
      </w:pPr>
      <w:r>
        <w:rPr>
          <w:rFonts w:ascii="Courier New" w:cs="Courier New" w:eastAsia="Courier New" w:hAnsi="Courier New"/>
          <w:sz w:val="18"/>
          <w:szCs w:val="18"/>
          <w:color w:val="auto"/>
        </w:rPr>
        <w:t>On December 23, 1999, Comcast Corporation ("Comcast") announced that it had entered into a definitive agreement to acquire the 45% ownership interest in cable operator Comcast MHCP Holdings, L.L.C., an indirect majority owned subsidiary of Comcast, currently held by the California Public Employees' Retirement System ("CalPERS"). The purchase price for CalPERS' ownership stake is $750 million in cash. Closing of the transaction is subject to customary conditions including receipt of applicable regulatory approvals. Closing is expected in the first quarter of 2000.</w:t>
      </w:r>
    </w:p>
    <w:p>
      <w:pPr>
        <w:spacing w:after="0" w:line="212" w:lineRule="exact"/>
        <w:rPr>
          <w:sz w:val="24"/>
          <w:szCs w:val="24"/>
          <w:color w:val="auto"/>
        </w:rPr>
      </w:pPr>
    </w:p>
    <w:p>
      <w:pPr>
        <w:jc w:val="both"/>
        <w:ind w:right="1699" w:firstLine="526"/>
        <w:spacing w:after="0" w:line="235" w:lineRule="auto"/>
        <w:rPr>
          <w:sz w:val="20"/>
          <w:szCs w:val="20"/>
          <w:color w:val="auto"/>
        </w:rPr>
      </w:pPr>
      <w:r>
        <w:rPr>
          <w:rFonts w:ascii="Courier New" w:cs="Courier New" w:eastAsia="Courier New" w:hAnsi="Courier New"/>
          <w:sz w:val="18"/>
          <w:szCs w:val="18"/>
          <w:color w:val="auto"/>
        </w:rPr>
        <w:t>A copy of Comcast's press release dated December 23, 1999 is filed herewith as Exhibit 99.1 and is incorporated herein by reference.</w:t>
      </w:r>
    </w:p>
    <w:p>
      <w:pPr>
        <w:spacing w:after="0" w:line="202" w:lineRule="exact"/>
        <w:rPr>
          <w:sz w:val="24"/>
          <w:szCs w:val="24"/>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7.</w:t>
      </w:r>
      <w:r>
        <w:rPr>
          <w:sz w:val="20"/>
          <w:szCs w:val="20"/>
          <w:color w:val="auto"/>
        </w:rPr>
        <w:tab/>
      </w:r>
      <w:r>
        <w:rPr>
          <w:rFonts w:ascii="Courier New" w:cs="Courier New" w:eastAsia="Courier New" w:hAnsi="Courier New"/>
          <w:sz w:val="16"/>
          <w:szCs w:val="16"/>
          <w:color w:val="auto"/>
        </w:rPr>
        <w:t>Financial Statements and Exhibits.</w:t>
      </w:r>
    </w:p>
    <w:p>
      <w:pPr>
        <w:spacing w:after="0" w:line="201" w:lineRule="exact"/>
        <w:rPr>
          <w:sz w:val="24"/>
          <w:szCs w:val="24"/>
          <w:color w:val="auto"/>
        </w:rPr>
      </w:pPr>
    </w:p>
    <w:p>
      <w:pPr>
        <w:ind w:left="2860" w:hanging="957"/>
        <w:spacing w:after="0"/>
        <w:tabs>
          <w:tab w:leader="none" w:pos="286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Exhibits:</w:t>
      </w:r>
    </w:p>
    <w:p>
      <w:pPr>
        <w:spacing w:after="0" w:line="201" w:lineRule="exact"/>
        <w:rPr>
          <w:sz w:val="24"/>
          <w:szCs w:val="24"/>
          <w:color w:val="auto"/>
        </w:rPr>
      </w:pPr>
    </w:p>
    <w:p>
      <w:pPr>
        <w:ind w:left="1900"/>
        <w:spacing w:after="0"/>
        <w:tabs>
          <w:tab w:leader="none" w:pos="2840" w:val="left"/>
        </w:tabs>
        <w:rPr>
          <w:sz w:val="20"/>
          <w:szCs w:val="20"/>
          <w:color w:val="auto"/>
        </w:rPr>
      </w:pPr>
      <w:r>
        <w:rPr>
          <w:rFonts w:ascii="Courier New" w:cs="Courier New" w:eastAsia="Courier New" w:hAnsi="Courier New"/>
          <w:sz w:val="18"/>
          <w:szCs w:val="18"/>
          <w:color w:val="auto"/>
        </w:rPr>
        <w:t>99.1</w:t>
      </w:r>
      <w:r>
        <w:rPr>
          <w:sz w:val="20"/>
          <w:szCs w:val="20"/>
          <w:color w:val="auto"/>
        </w:rPr>
        <w:tab/>
      </w:r>
      <w:r>
        <w:rPr>
          <w:rFonts w:ascii="Courier New" w:cs="Courier New" w:eastAsia="Courier New" w:hAnsi="Courier New"/>
          <w:sz w:val="16"/>
          <w:szCs w:val="16"/>
          <w:color w:val="auto"/>
        </w:rPr>
        <w:t>Press Release dated December 23, 1999.</w:t>
      </w: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ind w:left="4120"/>
        <w:spacing w:after="0"/>
        <w:rPr>
          <w:sz w:val="20"/>
          <w:szCs w:val="20"/>
          <w:color w:val="auto"/>
        </w:rPr>
      </w:pPr>
      <w:r>
        <w:rPr>
          <w:rFonts w:ascii="Courier New" w:cs="Courier New" w:eastAsia="Courier New" w:hAnsi="Courier New"/>
          <w:sz w:val="18"/>
          <w:szCs w:val="18"/>
          <w:color w:val="auto"/>
        </w:rPr>
        <w:t>2</w:t>
      </w:r>
    </w:p>
    <w:p>
      <w:pPr>
        <w:sectPr>
          <w:pgSz w:w="11900" w:h="16838" w:orient="portrait"/>
          <w:cols w:equalWidth="0" w:num="1">
            <w:col w:w="10139"/>
          </w:cols>
          <w:pgMar w:left="320" w:top="447" w:right="1440" w:bottom="1440" w:gutter="0" w:footer="0" w:header="0"/>
          <w:type w:val="continuous"/>
        </w:sectPr>
      </w:pPr>
    </w:p>
    <w:bookmarkStart w:id="1" w:name="page2"/>
    <w:bookmarkEnd w:id="1"/>
    <w:p>
      <w:pPr>
        <w:ind w:left="3700"/>
        <w:spacing w:after="0"/>
        <w:rPr>
          <w:sz w:val="20"/>
          <w:szCs w:val="20"/>
          <w:color w:val="auto"/>
        </w:rPr>
      </w:pPr>
      <w:r>
        <w:rPr>
          <w:rFonts w:ascii="Courier New" w:cs="Courier New" w:eastAsia="Courier New" w:hAnsi="Courier New"/>
          <w:sz w:val="18"/>
          <w:szCs w:val="18"/>
          <w:color w:val="auto"/>
        </w:rPr>
        <w:t>SIGNATURE</w:t>
      </w:r>
    </w:p>
    <w:p>
      <w:pPr>
        <w:ind w:left="3700"/>
        <w:spacing w:after="0" w:line="238" w:lineRule="auto"/>
        <w:rPr>
          <w:sz w:val="20"/>
          <w:szCs w:val="20"/>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right="2019" w:firstLine="526"/>
        <w:spacing w:after="0" w:line="236" w:lineRule="auto"/>
        <w:rPr>
          <w:sz w:val="20"/>
          <w:szCs w:val="20"/>
          <w:color w:val="auto"/>
        </w:rPr>
      </w:pPr>
      <w:r>
        <w:rPr>
          <w:rFonts w:ascii="Courier New" w:cs="Courier New" w:eastAsia="Courier New" w:hAnsi="Courier New"/>
          <w:sz w:val="18"/>
          <w:szCs w:val="18"/>
          <w:color w:val="auto"/>
        </w:rPr>
        <w:t>Pursuant to the requirements of the Securities Exchange Act of 1934, the Registrant has duly caused this report to be signed on its behalf by the undersigned, thereunto duly authorized.</w:t>
      </w:r>
    </w:p>
    <w:p>
      <w:pPr>
        <w:sectPr>
          <w:pgSz w:w="11900" w:h="16838" w:orient="portrait"/>
          <w:cols w:equalWidth="0" w:num="1">
            <w:col w:w="10139"/>
          </w:cols>
          <w:pgMar w:left="320" w:top="717" w:right="1440" w:bottom="1440" w:gutter="0" w:footer="0" w:header="0"/>
        </w:sectPr>
      </w:pPr>
    </w:p>
    <w:p>
      <w:pPr>
        <w:spacing w:after="0" w:line="20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Dated:</w:t>
      </w:r>
    </w:p>
    <w:p>
      <w:pPr>
        <w:spacing w:after="0" w:line="20" w:lineRule="exact"/>
        <w:rPr>
          <w:sz w:val="20"/>
          <w:szCs w:val="20"/>
          <w:color w:val="auto"/>
        </w:rPr>
      </w:pPr>
      <w:r>
        <w:rPr>
          <w:sz w:val="20"/>
          <w:szCs w:val="20"/>
          <w:color w:val="auto"/>
        </w:rPr>
        <w:br w:type="column"/>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January 4, 2000</w:t>
      </w:r>
    </w:p>
    <w:p>
      <w:pPr>
        <w:spacing w:after="0" w:line="20" w:lineRule="exact"/>
        <w:rPr>
          <w:sz w:val="20"/>
          <w:szCs w:val="20"/>
          <w:color w:val="auto"/>
        </w:rPr>
      </w:pPr>
      <w:r>
        <w:rPr>
          <w:sz w:val="20"/>
          <w:szCs w:val="20"/>
          <w:color w:val="auto"/>
        </w:rPr>
        <w:br w:type="column"/>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COMCAST CORPORATION</w:t>
      </w:r>
    </w:p>
    <w:p>
      <w:pPr>
        <w:spacing w:after="0" w:line="200" w:lineRule="exact"/>
        <w:rPr>
          <w:sz w:val="20"/>
          <w:szCs w:val="20"/>
          <w:color w:val="auto"/>
        </w:rPr>
      </w:pPr>
    </w:p>
    <w:p>
      <w:pPr>
        <w:sectPr>
          <w:pgSz w:w="11900" w:h="16838" w:orient="portrait"/>
          <w:cols w:equalWidth="0" w:num="3">
            <w:col w:w="640" w:space="220"/>
            <w:col w:w="3160" w:space="720"/>
            <w:col w:w="5399"/>
          </w:cols>
          <w:pgMar w:left="320" w:top="717" w:right="1440" w:bottom="1440" w:gutter="0" w:footer="0" w:header="0"/>
          <w:type w:val="continuous"/>
        </w:sectPr>
      </w:pPr>
    </w:p>
    <w:p>
      <w:pPr>
        <w:spacing w:after="0" w:line="24" w:lineRule="exact"/>
        <w:rPr>
          <w:sz w:val="20"/>
          <w:szCs w:val="20"/>
          <w:color w:val="auto"/>
        </w:rPr>
      </w:pPr>
    </w:p>
    <w:p>
      <w:pPr>
        <w:ind w:left="4740"/>
        <w:spacing w:after="0"/>
        <w:rPr>
          <w:sz w:val="20"/>
          <w:szCs w:val="20"/>
          <w:color w:val="auto"/>
        </w:rPr>
      </w:pPr>
      <w:r>
        <w:rPr>
          <w:rFonts w:ascii="Courier New" w:cs="Courier New" w:eastAsia="Courier New" w:hAnsi="Courier New"/>
          <w:sz w:val="16"/>
          <w:szCs w:val="16"/>
          <w:color w:val="auto"/>
        </w:rPr>
        <w:t>By: /s/ Joseph J. Euteneuer</w:t>
      </w:r>
    </w:p>
    <w:p>
      <w:pPr>
        <w:spacing w:after="0" w:line="21" w:lineRule="exact"/>
        <w:rPr>
          <w:sz w:val="20"/>
          <w:szCs w:val="20"/>
          <w:color w:val="auto"/>
        </w:rPr>
      </w:pPr>
    </w:p>
    <w:p>
      <w:pPr>
        <w:ind w:left="516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5160"/>
        <w:spacing w:after="0"/>
        <w:rPr>
          <w:sz w:val="20"/>
          <w:szCs w:val="20"/>
          <w:color w:val="auto"/>
        </w:rPr>
      </w:pPr>
      <w:r>
        <w:rPr>
          <w:rFonts w:ascii="Courier New" w:cs="Courier New" w:eastAsia="Courier New" w:hAnsi="Courier New"/>
          <w:sz w:val="18"/>
          <w:szCs w:val="18"/>
          <w:color w:val="auto"/>
        </w:rPr>
        <w:t>Joseph J. Euteneuer</w:t>
      </w:r>
    </w:p>
    <w:p>
      <w:pPr>
        <w:ind w:left="5160"/>
        <w:spacing w:after="0" w:line="238" w:lineRule="auto"/>
        <w:rPr>
          <w:sz w:val="20"/>
          <w:szCs w:val="20"/>
          <w:color w:val="auto"/>
        </w:rPr>
      </w:pPr>
      <w:r>
        <w:rPr>
          <w:rFonts w:ascii="Courier New" w:cs="Courier New" w:eastAsia="Courier New" w:hAnsi="Courier New"/>
          <w:sz w:val="18"/>
          <w:szCs w:val="18"/>
          <w:color w:val="auto"/>
        </w:rPr>
        <w:t>Vice President and</w:t>
      </w:r>
    </w:p>
    <w:p>
      <w:pPr>
        <w:ind w:left="5160"/>
        <w:spacing w:after="0" w:line="238" w:lineRule="auto"/>
        <w:rPr>
          <w:sz w:val="20"/>
          <w:szCs w:val="20"/>
          <w:color w:val="auto"/>
        </w:rPr>
      </w:pPr>
      <w:r>
        <w:rPr>
          <w:rFonts w:ascii="Courier New" w:cs="Courier New" w:eastAsia="Courier New" w:hAnsi="Courier New"/>
          <w:sz w:val="18"/>
          <w:szCs w:val="18"/>
          <w:color w:val="auto"/>
        </w:rPr>
        <w:t>Corporate Controller</w:t>
      </w:r>
    </w:p>
    <w:p>
      <w:pPr>
        <w:spacing w:after="0" w:line="202"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3</w:t>
      </w:r>
    </w:p>
    <w:p>
      <w:pPr>
        <w:sectPr>
          <w:pgSz w:w="11900" w:h="16838" w:orient="portrait"/>
          <w:cols w:equalWidth="0" w:num="1">
            <w:col w:w="10139"/>
          </w:cols>
          <w:pgMar w:left="320" w:top="717" w:right="1440" w:bottom="1440" w:gutter="0" w:footer="0" w:header="0"/>
          <w:type w:val="continuous"/>
        </w:sectPr>
      </w:pPr>
    </w:p>
    <w:bookmarkStart w:id="2" w:name="page3"/>
    <w:bookmarkEnd w:id="2"/>
    <w:tbl>
      <w:tblPr>
        <w:tblLayout w:type="fixed"/>
        <w:tblInd w:w="0" w:type="dxa"/>
        <w:tblCellMar>
          <w:top w:w="0" w:type="dxa"/>
          <w:left w:w="0" w:type="dxa"/>
          <w:bottom w:w="0" w:type="dxa"/>
          <w:right w:w="0" w:type="dxa"/>
        </w:tblCellMar>
      </w:tblPr>
      <w:tr>
        <w:trPr>
          <w:trHeight w:val="204"/>
        </w:trPr>
        <w:tc>
          <w:tcPr>
            <w:tcW w:w="1000" w:type="dxa"/>
            <w:vAlign w:val="bottom"/>
          </w:tcPr>
          <w:p>
            <w:pPr>
              <w:spacing w:after="0"/>
              <w:rPr>
                <w:sz w:val="17"/>
                <w:szCs w:val="17"/>
                <w:color w:val="auto"/>
              </w:rPr>
            </w:pPr>
          </w:p>
        </w:tc>
        <w:tc>
          <w:tcPr>
            <w:tcW w:w="4580" w:type="dxa"/>
            <w:vAlign w:val="bottom"/>
          </w:tcPr>
          <w:p>
            <w:pPr>
              <w:ind w:left="2040"/>
              <w:spacing w:after="0"/>
              <w:rPr>
                <w:sz w:val="20"/>
                <w:szCs w:val="20"/>
                <w:color w:val="auto"/>
              </w:rPr>
            </w:pPr>
            <w:r>
              <w:rPr>
                <w:rFonts w:ascii="Courier New" w:cs="Courier New" w:eastAsia="Courier New" w:hAnsi="Courier New"/>
                <w:sz w:val="18"/>
                <w:szCs w:val="18"/>
                <w:color w:val="auto"/>
              </w:rPr>
              <w:t>EXHIBIT INDEX</w:t>
            </w:r>
          </w:p>
        </w:tc>
      </w:tr>
      <w:tr>
        <w:trPr>
          <w:trHeight w:val="203"/>
        </w:trPr>
        <w:tc>
          <w:tcPr>
            <w:tcW w:w="1000" w:type="dxa"/>
            <w:vAlign w:val="bottom"/>
          </w:tcPr>
          <w:p>
            <w:pPr>
              <w:spacing w:after="0"/>
              <w:rPr>
                <w:sz w:val="17"/>
                <w:szCs w:val="17"/>
                <w:color w:val="auto"/>
              </w:rPr>
            </w:pPr>
          </w:p>
        </w:tc>
        <w:tc>
          <w:tcPr>
            <w:tcW w:w="4580" w:type="dxa"/>
            <w:vAlign w:val="bottom"/>
          </w:tcPr>
          <w:p>
            <w:pPr>
              <w:ind w:left="2040"/>
              <w:spacing w:after="0" w:line="203" w:lineRule="exact"/>
              <w:rPr>
                <w:sz w:val="20"/>
                <w:szCs w:val="20"/>
                <w:color w:val="auto"/>
              </w:rPr>
            </w:pPr>
            <w:r>
              <w:rPr>
                <w:rFonts w:ascii="Courier New" w:cs="Courier New" w:eastAsia="Courier New" w:hAnsi="Courier New"/>
                <w:sz w:val="18"/>
                <w:szCs w:val="18"/>
                <w:color w:val="auto"/>
              </w:rPr>
              <w:t>-------------</w:t>
            </w:r>
          </w:p>
        </w:tc>
      </w:tr>
      <w:tr>
        <w:trPr>
          <w:trHeight w:val="608"/>
        </w:trPr>
        <w:tc>
          <w:tcPr>
            <w:tcW w:w="1000" w:type="dxa"/>
            <w:vAlign w:val="bottom"/>
          </w:tcPr>
          <w:p>
            <w:pPr>
              <w:jc w:val="right"/>
              <w:ind w:right="492"/>
              <w:spacing w:after="0"/>
              <w:rPr>
                <w:sz w:val="20"/>
                <w:szCs w:val="20"/>
                <w:color w:val="auto"/>
              </w:rPr>
            </w:pPr>
            <w:r>
              <w:rPr>
                <w:rFonts w:ascii="Courier New" w:cs="Courier New" w:eastAsia="Courier New" w:hAnsi="Courier New"/>
                <w:sz w:val="18"/>
                <w:szCs w:val="18"/>
                <w:color w:val="auto"/>
                <w:w w:val="92"/>
              </w:rPr>
              <w:t>99.1</w:t>
            </w:r>
          </w:p>
        </w:tc>
        <w:tc>
          <w:tcPr>
            <w:tcW w:w="4580" w:type="dxa"/>
            <w:vAlign w:val="bottom"/>
          </w:tcPr>
          <w:p>
            <w:pPr>
              <w:ind w:left="580"/>
              <w:spacing w:after="0"/>
              <w:rPr>
                <w:sz w:val="20"/>
                <w:szCs w:val="20"/>
                <w:color w:val="auto"/>
              </w:rPr>
            </w:pPr>
            <w:r>
              <w:rPr>
                <w:rFonts w:ascii="Courier New" w:cs="Courier New" w:eastAsia="Courier New" w:hAnsi="Courier New"/>
                <w:sz w:val="18"/>
                <w:szCs w:val="18"/>
                <w:color w:val="auto"/>
                <w:w w:val="96"/>
              </w:rPr>
              <w:t>Press Release dated December 23, 1999.</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4</w:t>
      </w:r>
    </w:p>
    <w:p>
      <w:pPr>
        <w:sectPr>
          <w:pgSz w:w="11900" w:h="16838" w:orient="portrait"/>
          <w:cols w:equalWidth="0" w:num="1">
            <w:col w:w="9599"/>
          </w:cols>
          <w:pgMar w:left="860" w:top="514" w:right="1440" w:bottom="1440" w:gutter="0" w:footer="0" w:header="0"/>
        </w:sectPr>
      </w:pPr>
    </w:p>
    <w:bookmarkStart w:id="3" w:name="page4"/>
    <w:bookmarkEnd w:id="3"/>
    <w:p>
      <w:pPr>
        <w:spacing w:after="0"/>
        <w:rPr>
          <w:sz w:val="20"/>
          <w:szCs w:val="20"/>
          <w:color w:val="auto"/>
        </w:rPr>
      </w:pPr>
      <w:r>
        <w:rPr>
          <w:rFonts w:ascii="Courier New" w:cs="Courier New" w:eastAsia="Courier New" w:hAnsi="Courier New"/>
          <w:sz w:val="18"/>
          <w:szCs w:val="18"/>
          <w:color w:val="auto"/>
        </w:rPr>
        <w:t>FOR IMMEDIATE RELEASE</w:t>
      </w:r>
    </w:p>
    <w:p>
      <w:pPr>
        <w:spacing w:after="0" w:line="238" w:lineRule="auto"/>
        <w:rPr>
          <w:sz w:val="20"/>
          <w:szCs w:val="20"/>
          <w:color w:val="auto"/>
        </w:rPr>
      </w:pPr>
      <w:r>
        <w:rPr>
          <w:rFonts w:ascii="Courier New" w:cs="Courier New" w:eastAsia="Courier New" w:hAnsi="Courier New"/>
          <w:sz w:val="18"/>
          <w:szCs w:val="18"/>
          <w:color w:val="auto"/>
        </w:rPr>
        <w:t>COMCAST TO ACQUIRE CALPERS' INTEREST IN JOINTLY OWNED CABLE PROPERTIES</w:t>
      </w:r>
    </w:p>
    <w:p>
      <w:pPr>
        <w:spacing w:after="0" w:line="207" w:lineRule="exact"/>
        <w:rPr>
          <w:sz w:val="20"/>
          <w:szCs w:val="20"/>
          <w:color w:val="auto"/>
        </w:rPr>
      </w:pPr>
    </w:p>
    <w:p>
      <w:pPr>
        <w:jc w:val="both"/>
        <w:ind w:right="1699"/>
        <w:spacing w:after="0" w:line="237" w:lineRule="auto"/>
        <w:rPr>
          <w:sz w:val="20"/>
          <w:szCs w:val="20"/>
          <w:color w:val="auto"/>
        </w:rPr>
      </w:pPr>
      <w:r>
        <w:rPr>
          <w:rFonts w:ascii="Courier New" w:cs="Courier New" w:eastAsia="Courier New" w:hAnsi="Courier New"/>
          <w:sz w:val="18"/>
          <w:szCs w:val="18"/>
          <w:color w:val="auto"/>
        </w:rPr>
        <w:t>Philadelphia, PA - December 23, 1999... Comcast Corporation today announced that it has entered into a definitive agreement to acquire the 45% ownership interest in cable operator Comcast MHCP Holdings, L.L.C. currently held by the California Public Employees' Retirement System ("CalPERS"). The purchase price for CalPERS' ownership stake is $750 million in cash. Comcast MHCP served approximately 642,000 cable subscribers as of September 30, 1999 across parts of Michigan, New Jersey and Florida. The company was formed in December 1994 by Comcast (55%) and CalPERS (45%) in order to purchase the domestic cable operations of Maclean Hunter Limited and has been managed by Comcast since that time. The redemption by an affiliate of Comcast will leave Comcast with 100% ownership of the entity. Closing of the transaction is subject to customary conditions including receipt of applicable regulatory approvals. Closing is expected in the first quarter of 2000.</w:t>
      </w:r>
    </w:p>
    <w:p>
      <w:pPr>
        <w:spacing w:after="0" w:line="217" w:lineRule="exact"/>
        <w:rPr>
          <w:sz w:val="20"/>
          <w:szCs w:val="20"/>
          <w:color w:val="auto"/>
        </w:rPr>
      </w:pPr>
    </w:p>
    <w:p>
      <w:pPr>
        <w:jc w:val="both"/>
        <w:ind w:right="1699"/>
        <w:spacing w:after="0" w:line="237" w:lineRule="auto"/>
        <w:rPr>
          <w:sz w:val="20"/>
          <w:szCs w:val="20"/>
          <w:color w:val="auto"/>
        </w:rPr>
      </w:pPr>
      <w:r>
        <w:rPr>
          <w:rFonts w:ascii="Courier New" w:cs="Courier New" w:eastAsia="Courier New" w:hAnsi="Courier New"/>
          <w:sz w:val="18"/>
          <w:szCs w:val="18"/>
          <w:color w:val="auto"/>
        </w:rPr>
        <w:t>Comcast Corporation (www.comcast.com [http://www.comcast.com] ) is principally involved in the development, management and operation of broadband cable networks and the provision of programming content, through principal ownership of QVC, Comcast-Spectacor and Comcast SportsNet, a controlling interest in E! Entertainment Television and through other programming investments.</w:t>
      </w:r>
    </w:p>
    <w:p>
      <w:pPr>
        <w:spacing w:after="0" w:line="208" w:lineRule="exact"/>
        <w:rPr>
          <w:sz w:val="20"/>
          <w:szCs w:val="20"/>
          <w:color w:val="auto"/>
        </w:rPr>
      </w:pPr>
    </w:p>
    <w:p>
      <w:pPr>
        <w:jc w:val="both"/>
        <w:ind w:right="1699"/>
        <w:spacing w:after="0" w:line="235" w:lineRule="auto"/>
        <w:rPr>
          <w:sz w:val="20"/>
          <w:szCs w:val="20"/>
          <w:color w:val="auto"/>
        </w:rPr>
      </w:pPr>
      <w:r>
        <w:rPr>
          <w:rFonts w:ascii="Courier New" w:cs="Courier New" w:eastAsia="Courier New" w:hAnsi="Courier New"/>
          <w:sz w:val="18"/>
          <w:szCs w:val="18"/>
          <w:color w:val="auto"/>
        </w:rPr>
        <w:t>Comcast's Class A Special Common Stock and Class A Common Stock are traded on the Nasdaq Stock Market under the symbols CMCSK and CMCSA, respectively.</w:t>
      </w:r>
    </w:p>
    <w:p>
      <w:pPr>
        <w:spacing w:after="0" w:line="202" w:lineRule="exact"/>
        <w:rPr>
          <w:sz w:val="20"/>
          <w:szCs w:val="20"/>
          <w:color w:val="auto"/>
        </w:rPr>
      </w:pPr>
    </w:p>
    <w:p>
      <w:pPr>
        <w:ind w:left="4000"/>
        <w:spacing w:after="0"/>
        <w:rPr>
          <w:sz w:val="20"/>
          <w:szCs w:val="20"/>
          <w:color w:val="auto"/>
        </w:rPr>
      </w:pPr>
      <w:r>
        <w:rPr>
          <w:rFonts w:ascii="Courier New" w:cs="Courier New" w:eastAsia="Courier New" w:hAnsi="Courier New"/>
          <w:sz w:val="18"/>
          <w:szCs w:val="18"/>
          <w:color w:val="auto"/>
        </w:rPr>
        <w:t>###</w:t>
      </w:r>
    </w:p>
    <w:sectPr>
      <w:pgSz w:w="11900" w:h="16838" w:orient="portrait"/>
      <w:cols w:equalWidth="0" w:num="1">
        <w:col w:w="10139"/>
      </w:cols>
      <w:pgMar w:left="320" w:top="339"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lowerLetter"/>
      <w:start w:val="3"/>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2020-10-07T10:12:28Z</dcterms:created>
  <dcterms:modified xsi:type="dcterms:W3CDTF">2020-10-07T10:12:28Z</dcterms:modified>
</cp:coreProperties>
</file>