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444500</wp:posOffset>
            </wp:positionV>
            <wp:extent cx="142367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40" w:hanging="632"/>
        <w:spacing w:after="0"/>
        <w:tabs>
          <w:tab w:leader="none" w:pos="6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40" w:hanging="632"/>
        <w:spacing w:after="0"/>
        <w:tabs>
          <w:tab w:leader="none" w:pos="6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64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SPECTACOR 401(k)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60" w:type="dxa"/>
            <w:vAlign w:val="bottom"/>
            <w:gridSpan w:val="7"/>
            <w:vMerge w:val="continue"/>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86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60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Net Assets Available for Benefits as of December 31, 2012 and 2011</w:t>
              </w:r>
            </w:hyperlink>
          </w:p>
        </w:tc>
        <w:tc>
          <w:tcPr>
            <w:tcW w:w="4480" w:type="dxa"/>
            <w:vAlign w:val="bottom"/>
            <w:gridSpan w:val="3"/>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04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2012</w:t>
              </w:r>
            </w:hyperlink>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08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400" w:type="dxa"/>
            <w:vAlign w:val="bottom"/>
            <w:gridSpan w:val="2"/>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60" w:type="dxa"/>
            <w:vAlign w:val="bottom"/>
            <w:gridSpan w:val="7"/>
          </w:tcPr>
          <w:p>
            <w:pPr>
              <w:spacing w:after="0"/>
              <w:rPr>
                <w:sz w:val="20"/>
                <w:szCs w:val="20"/>
                <w:color w:val="auto"/>
              </w:rPr>
            </w:pPr>
            <w:r>
              <w:rPr>
                <w:rFonts w:ascii="Arial" w:cs="Arial" w:eastAsia="Arial" w:hAnsi="Arial"/>
                <w:sz w:val="18"/>
                <w:szCs w:val="18"/>
                <w:color w:val="auto"/>
              </w:rPr>
              <w:t>SUPPLEMENTAL SCHEDULE -</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0480" w:type="dxa"/>
            <w:vAlign w:val="bottom"/>
            <w:gridSpan w:val="6"/>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Form 5500, Schedule H—Part IV, Line 4i—Schedule of Assets (Held at End of Year) as of December 31, 2012</w:t>
              </w:r>
            </w:hyperlink>
          </w:p>
        </w:tc>
        <w:tc>
          <w:tcPr>
            <w:tcW w:w="7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480" w:type="dxa"/>
            <w:vAlign w:val="bottom"/>
            <w:gridSpan w:val="6"/>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Form 5500, Schedule H—Part IV, Line 4a—Schedule of Delinquent Participant Contributions for years ended December 31, 2012, 2011,</w:t>
              </w:r>
            </w:hyperlink>
          </w:p>
        </w:tc>
        <w:tc>
          <w:tcPr>
            <w:tcW w:w="7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2010 and 2009</w:t>
              </w:r>
            </w:hyperlink>
          </w:p>
        </w:tc>
        <w:tc>
          <w:tcPr>
            <w:tcW w:w="8620" w:type="dxa"/>
            <w:vAlign w:val="bottom"/>
            <w:tcBorders>
              <w:top w:val="single" w:sz="8" w:color="0000EE"/>
            </w:tcBorders>
            <w:gridSpan w:val="2"/>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59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CONSENT OF INDEPENDENT REGISTERED PUBLIC ACCOUNTING FIRM</w:t>
              </w:r>
            </w:hyperlink>
          </w:p>
        </w:tc>
        <w:tc>
          <w:tcPr>
            <w:tcW w:w="47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1066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SIGNATURE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40" w:right="500"/>
        <w:spacing w:after="0" w:line="342" w:lineRule="auto"/>
        <w:rPr>
          <w:sz w:val="20"/>
          <w:szCs w:val="20"/>
          <w:color w:val="auto"/>
        </w:rPr>
      </w:pPr>
      <w:r>
        <w:rPr>
          <w:rFonts w:ascii="Arial" w:cs="Arial" w:eastAsia="Arial" w:hAnsi="Arial"/>
          <w:sz w:val="16"/>
          <w:szCs w:val="16"/>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 Spectacor 401(k) Plan (the “Plan”) as of December 31, 2012 and 2011, and the related statement of changes in net assets available for benefits for the year ended December 31, 2012.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2012 and 2011, and the changes in net assets available for benefits for the year ended December 31, 2012 in conformity with accounting principles generally accepted in the United States of America.</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audits were conducted for the purpose of forming an opinion on the basic financial statements taken as a whole. The supplemental schedules of (1) assets (held at end of year) as of December 31, 2012 and (2) delinquent participant contributions for the years ended December 31, 2012, 2011, 2010 and 2009,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schedules are the responsibility of the Plan’s management. Such schedules have been subjected to the auditing procedures applied in our audit of the basic financial statements and, in our opinion, are fairly stated in all material respects when considered in relation to the basic financial statements taken as a whole.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2012 AND 2011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Participant-directed investments, at fair value</w:t>
            </w:r>
          </w:p>
        </w:tc>
        <w:tc>
          <w:tcPr>
            <w:tcW w:w="4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77,487,054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62,408,138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 from participants</w:t>
            </w:r>
          </w:p>
        </w:tc>
        <w:tc>
          <w:tcPr>
            <w:tcW w:w="3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2,108,873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Contributions receivable from participants</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79,657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199,722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receivable from employer</w:t>
            </w:r>
          </w:p>
        </w:tc>
        <w:tc>
          <w:tcPr>
            <w:tcW w:w="3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50,497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receivables</w:t>
            </w:r>
          </w:p>
        </w:tc>
        <w:tc>
          <w:tcPr>
            <w:tcW w:w="3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2,239,027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79,726,081</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64,416,051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2"/>
            <w:vMerge w:val="continue"/>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720" w:type="dxa"/>
            <w:vAlign w:val="bottom"/>
          </w:tcPr>
          <w:p>
            <w:pPr>
              <w:jc w:val="right"/>
              <w:ind w:right="245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37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25" w:lineRule="exact"/>
        <w:rPr>
          <w:sz w:val="20"/>
          <w:szCs w:val="20"/>
          <w:color w:val="auto"/>
        </w:rPr>
      </w:pPr>
    </w:p>
    <w:p>
      <w:pPr>
        <w:ind w:right="5320"/>
        <w:spacing w:after="0" w:line="282" w:lineRule="auto"/>
        <w:rPr>
          <w:sz w:val="20"/>
          <w:szCs w:val="20"/>
          <w:color w:val="auto"/>
        </w:rPr>
      </w:pPr>
      <w:r>
        <w:rPr>
          <w:rFonts w:ascii="Arial" w:cs="Arial" w:eastAsia="Arial" w:hAnsi="Arial"/>
          <w:sz w:val="18"/>
          <w:szCs w:val="18"/>
          <w:b w:val="1"/>
          <w:bCs w:val="1"/>
          <w:color w:val="auto"/>
        </w:rPr>
        <w:t>STATEMENT OF CHANGES IN NET ASSETS AVAILABLE FOR BENEFITS YEAR ENDED DECEMBER 31, 2012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5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appreciation in fair value of investments</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7,376,099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2,014,585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Net investment income</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9,390,684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Contributions: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Participant</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Employer</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3,980,545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Rollover</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contributions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10,366,584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on notes receivable from participants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19,861,264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Benefits paid to participants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4,473,758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Increase in net assets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15,310,030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64,416,051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 of year</w:t>
            </w:r>
          </w:p>
        </w:tc>
        <w:tc>
          <w:tcPr>
            <w:tcW w:w="5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79,726,081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gridSpan w:val="2"/>
            <w:vMerge w:val="continue"/>
          </w:tcPr>
          <w:p>
            <w:pPr>
              <w:spacing w:after="0"/>
              <w:rPr>
                <w:sz w:val="24"/>
                <w:szCs w:val="24"/>
                <w:color w:val="auto"/>
              </w:rPr>
            </w:pPr>
          </w:p>
        </w:tc>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120" w:type="dxa"/>
            <w:vAlign w:val="bottom"/>
          </w:tcPr>
          <w:p>
            <w:pPr>
              <w:jc w:val="right"/>
              <w:ind w:right="41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20" w:type="dxa"/>
            <w:vAlign w:val="bottom"/>
            <w:tcBorders>
              <w:bottom w:val="single" w:sz="8" w:color="010101"/>
            </w:tcBorders>
          </w:tcPr>
          <w:p>
            <w:pPr>
              <w:spacing w:after="0"/>
              <w:rPr>
                <w:sz w:val="11"/>
                <w:szCs w:val="11"/>
                <w:color w:val="auto"/>
              </w:rPr>
            </w:pPr>
          </w:p>
        </w:tc>
        <w:tc>
          <w:tcPr>
            <w:tcW w:w="5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2012 AND 2011, YEAR ENDED DECEMBER 31, 2012</w:t>
      </w:r>
    </w:p>
    <w:p>
      <w:pPr>
        <w:spacing w:after="0" w:line="207" w:lineRule="exact"/>
        <w:rPr>
          <w:sz w:val="20"/>
          <w:szCs w:val="20"/>
          <w:color w:val="auto"/>
        </w:rPr>
      </w:pPr>
    </w:p>
    <w:p>
      <w:pPr>
        <w:ind w:left="440" w:right="9220" w:hanging="432"/>
        <w:spacing w:after="0" w:line="503" w:lineRule="auto"/>
        <w:tabs>
          <w:tab w:leader="none" w:pos="44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DESCRIPTION </w:t>
      </w:r>
      <w:r>
        <w:rPr>
          <w:rFonts w:ascii="Arial" w:cs="Arial" w:eastAsia="Arial" w:hAnsi="Arial"/>
          <w:sz w:val="18"/>
          <w:szCs w:val="18"/>
          <w:u w:val="single" w:color="auto"/>
          <w:color w:val="auto"/>
        </w:rPr>
        <w:t>General</w:t>
      </w:r>
    </w:p>
    <w:p>
      <w:pPr>
        <w:ind w:left="4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Comcast Spectacor 401(k) Plan (the “Plan”) provides only general information. Plan participants should refer to the Plan document for a complete description of the Plan’s provisions.</w:t>
      </w:r>
    </w:p>
    <w:p>
      <w:pPr>
        <w:spacing w:after="0" w:line="170" w:lineRule="exact"/>
        <w:rPr>
          <w:rFonts w:ascii="Arial" w:cs="Arial" w:eastAsia="Arial" w:hAnsi="Arial"/>
          <w:sz w:val="18"/>
          <w:szCs w:val="18"/>
          <w:b w:val="1"/>
          <w:bCs w:val="1"/>
          <w:color w:val="auto"/>
        </w:rPr>
      </w:pPr>
    </w:p>
    <w:p>
      <w:pPr>
        <w:jc w:val="both"/>
        <w:ind w:left="440" w:right="3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effective date of the Plan is January 1, 1992. The Plan is a defined contribution plan and is subject to the provisions of the Employee Retirement Income Security Act of 1974 (“ERISA”). The Plan covers “eligible employees,” who have completed the requisite hours of service, as defined in the Plan document, and have attained age 21. The following entities participate in the Plan, referred to collectively as “the Company”:</w:t>
      </w:r>
    </w:p>
    <w:p>
      <w:pPr>
        <w:spacing w:after="0" w:line="146" w:lineRule="exact"/>
        <w:rPr>
          <w:rFonts w:ascii="Arial" w:cs="Arial" w:eastAsia="Arial" w:hAnsi="Arial"/>
          <w:sz w:val="18"/>
          <w:szCs w:val="18"/>
          <w:b w:val="1"/>
          <w:bCs w:val="1"/>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 Spectacor, L.P. (Plan Sponsor or Plan Administrator)</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Philadelphia 76ers,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Comcast-Spectacor Foundation</w:t>
      </w:r>
    </w:p>
    <w:p>
      <w:pPr>
        <w:sectPr>
          <w:pgSz w:w="11900" w:h="16838" w:orient="portrait"/>
          <w:cols w:equalWidth="0" w:num="1">
            <w:col w:w="11460"/>
          </w:cols>
          <w:pgMar w:left="240" w:top="368" w:right="199" w:bottom="0" w:gutter="0" w:footer="0" w:header="0"/>
        </w:sectPr>
      </w:pPr>
    </w:p>
    <w:bookmarkStart w:id="3" w:name="page4"/>
    <w:bookmarkEnd w:id="3"/>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Spectacor, LLC</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FPS Rinks,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Pilots II, Inc.</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 Snider Youth Hockey Foundation</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Front Row Marketing Services,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Paciolan,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 March 31, 2012, participation of Disson Skating, LLC ended with the termination of our partnership.by Comcast Spectacor, L.P.</w:t>
      </w:r>
    </w:p>
    <w:p>
      <w:pPr>
        <w:spacing w:after="0" w:line="225"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In connection with the termination of the service agreement between Philadelphia 76ers, L.P. and Comcast Spectacor, L.P., Philadelphia 76ers, L.P. will no longer be a participating employer in the Plan effective with the close of business on June 30, 2013.</w:t>
      </w:r>
    </w:p>
    <w:p>
      <w:pPr>
        <w:spacing w:after="0" w:line="170"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Each participant may make a pretax contribution deferring not less than 1% or more than 100% of eligible compensation (as defined in the Plan document), subject to applicable Internal Revenue Service (“IRS”) limitations. Effective January 1, 2012, a Roth contribution feature was added to the Plan.</w:t>
      </w:r>
    </w:p>
    <w:p>
      <w:pPr>
        <w:spacing w:after="0" w:line="18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Effective January 1, 2005, the Company matching contribution formula provides a safe-harbor matching contribution on behalf of each participant who has made salary deferrals in the Plan year. This contribution is equal to 100% of the first 4% and 50% of the next 2% of the participant’s annual salary deferral contributions. This contribution shall be determined on an annual basis and shall be adjusted to the extent necessary after the end of each Plan year.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also provides for discretionary profit sharing contributions. There were no such contributions for the 2012 Plan year.</w:t>
      </w:r>
    </w:p>
    <w:p>
      <w:pPr>
        <w:spacing w:after="0" w:line="225" w:lineRule="exact"/>
        <w:rPr>
          <w:sz w:val="20"/>
          <w:szCs w:val="20"/>
          <w:color w:val="auto"/>
        </w:rPr>
      </w:pPr>
    </w:p>
    <w:p>
      <w:pPr>
        <w:jc w:val="both"/>
        <w:ind w:left="440" w:right="60"/>
        <w:spacing w:after="0" w:line="259" w:lineRule="auto"/>
        <w:rPr>
          <w:sz w:val="20"/>
          <w:szCs w:val="20"/>
          <w:color w:val="auto"/>
        </w:rPr>
      </w:pPr>
      <w:r>
        <w:rPr>
          <w:rFonts w:ascii="Arial" w:cs="Arial" w:eastAsia="Arial" w:hAnsi="Arial"/>
          <w:sz w:val="18"/>
          <w:szCs w:val="18"/>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Upon enrollment, or as requested from the Plan Administrator, participants can receive a description of each investment fund in the Plan Enrollment Guide.</w:t>
      </w:r>
    </w:p>
    <w:p>
      <w:pPr>
        <w:spacing w:after="0" w:line="187" w:lineRule="exact"/>
        <w:rPr>
          <w:sz w:val="20"/>
          <w:szCs w:val="20"/>
          <w:color w:val="auto"/>
        </w:rPr>
      </w:pPr>
    </w:p>
    <w:p>
      <w:pPr>
        <w:ind w:left="440" w:right="80"/>
        <w:spacing w:after="0" w:line="264" w:lineRule="auto"/>
        <w:rPr>
          <w:sz w:val="20"/>
          <w:szCs w:val="20"/>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on or after January 1, 2005 are fully and immediately vested. Company matching contributions for Plan years prior to January 1, 2005 vest according to years of service.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benefits under the Plan are paid as lump-sum distributions. In-kind distributions are not provided for under the Plan.</w:t>
      </w:r>
    </w:p>
    <w:p>
      <w:pPr>
        <w:spacing w:after="0" w:line="225" w:lineRule="exact"/>
        <w:rPr>
          <w:sz w:val="20"/>
          <w:szCs w:val="20"/>
          <w:color w:val="auto"/>
        </w:rPr>
      </w:pPr>
    </w:p>
    <w:p>
      <w:pPr>
        <w:jc w:val="both"/>
        <w:ind w:left="440" w:right="40"/>
        <w:spacing w:after="0" w:line="264" w:lineRule="auto"/>
        <w:rPr>
          <w:sz w:val="20"/>
          <w:szCs w:val="20"/>
          <w:color w:val="auto"/>
        </w:rPr>
      </w:pPr>
      <w:r>
        <w:rPr>
          <w:rFonts w:ascii="Arial" w:cs="Arial" w:eastAsia="Arial" w:hAnsi="Arial"/>
          <w:sz w:val="18"/>
          <w:szCs w:val="18"/>
          <w:color w:val="auto"/>
        </w:rPr>
        <w:t>The Trustee may make loans from the Plan to participants in accordance with the Plan document. Interest accrues at the rate of prime plus 2% as of the month the loan application is approved and all loans are to be repaid within five years unless the loan is used to acquire a principal residence, in which case the term may be longer.</w:t>
      </w:r>
    </w:p>
    <w:p>
      <w:pPr>
        <w:spacing w:after="0" w:line="181" w:lineRule="exact"/>
        <w:rPr>
          <w:sz w:val="20"/>
          <w:szCs w:val="20"/>
          <w:color w:val="auto"/>
        </w:rPr>
      </w:pPr>
    </w:p>
    <w:p>
      <w:pPr>
        <w:ind w:left="440" w:right="380"/>
        <w:spacing w:after="0" w:line="276" w:lineRule="auto"/>
        <w:rPr>
          <w:sz w:val="20"/>
          <w:szCs w:val="20"/>
          <w:color w:val="auto"/>
        </w:rPr>
      </w:pPr>
      <w:r>
        <w:rPr>
          <w:rFonts w:ascii="Arial" w:cs="Arial" w:eastAsia="Arial" w:hAnsi="Arial"/>
          <w:sz w:val="17"/>
          <w:szCs w:val="17"/>
          <w:color w:val="auto"/>
        </w:rPr>
        <w:t>Amounts contributed by the Company which are forfeited by participants as a result of the participants’ separation from service prior to becoming 100% vested may be used to pay Plan expenses including legal, consulting, education materials, etc. and/or to reduce the Company’s required contributions. Pending application of the forfeitures, the Company may direct the Trustee to hold the forfeitures in cash or under investment in a suspense account. Forfeitures used for Plan expenses for the year ended December 31, 2012 amounted to $1,000. Outstanding forfeitures not yet applied as of December 31, 2012 and 2011 were $20,625 and $10,350 respectively.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440" w:right="320"/>
        <w:spacing w:after="0" w:line="312" w:lineRule="auto"/>
        <w:rPr>
          <w:sz w:val="20"/>
          <w:szCs w:val="20"/>
          <w:color w:val="auto"/>
        </w:rPr>
      </w:pPr>
      <w:r>
        <w:rPr>
          <w:rFonts w:ascii="Arial" w:cs="Arial" w:eastAsia="Arial" w:hAnsi="Arial"/>
          <w:sz w:val="16"/>
          <w:szCs w:val="16"/>
          <w:color w:val="auto"/>
        </w:rPr>
        <w:t>Effective March 1, 2012, the Trustee of the Plan is ING National Trust (the “Trustee”). The Record-keeper for the Plan is ING Institutional Plan Services, LLC. Prior to March 1, 2012, the Trustee for the Comcast stock held in the Plan was Benefit Trust Company, and the Trustee for all other investment options was Reliance Trust Company. Generally, all costs associated with administering the Plan are paid by the Plan Administrator.</w:t>
      </w:r>
    </w:p>
    <w:p>
      <w:pPr>
        <w:spacing w:after="0" w:line="143" w:lineRule="exact"/>
        <w:rPr>
          <w:sz w:val="20"/>
          <w:szCs w:val="20"/>
          <w:color w:val="auto"/>
        </w:rPr>
      </w:pPr>
    </w:p>
    <w:p>
      <w:pPr>
        <w:ind w:left="440" w:right="6220" w:hanging="432"/>
        <w:spacing w:after="0" w:line="503" w:lineRule="auto"/>
        <w:tabs>
          <w:tab w:leader="none" w:pos="4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of America (“U.S. GAAP”).</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Investment Valuation and Income Recognition</w:t>
      </w:r>
    </w:p>
    <w:p>
      <w:pPr>
        <w:sectPr>
          <w:pgSz w:w="11900" w:h="16838" w:orient="portrait"/>
          <w:cols w:equalWidth="0" w:num="1">
            <w:col w:w="11360"/>
          </w:cols>
          <w:pgMar w:left="240" w:top="125" w:right="299" w:bottom="100" w:gutter="0" w:footer="0" w:header="0"/>
        </w:sectPr>
      </w:pPr>
    </w:p>
    <w:bookmarkStart w:id="4" w:name="page5"/>
    <w:bookmarkEnd w:id="4"/>
    <w:p>
      <w:pPr>
        <w:ind w:left="440" w:right="40"/>
        <w:spacing w:after="0" w:line="257" w:lineRule="auto"/>
        <w:rPr>
          <w:sz w:val="20"/>
          <w:szCs w:val="20"/>
          <w:color w:val="auto"/>
        </w:rPr>
      </w:pPr>
      <w:r>
        <w:rPr>
          <w:rFonts w:ascii="Arial" w:cs="Arial" w:eastAsia="Arial" w:hAnsi="Arial"/>
          <w:sz w:val="18"/>
          <w:szCs w:val="18"/>
          <w:color w:val="auto"/>
        </w:rPr>
        <w:t>The Plan’s investments are stated at fair value. Shares of mutual funds are valued at the net asset value of shares held by the Plan at year-end. The value of the Comcast Stock Fund, which includes shares of Comcast Corporation Class A common stock (CMCSA) and a mutual fund account, is based on the fair market value of the stock held in the fund as well as the market value of the mutual fund on the last trading day of the Plan year. The stable value fund is stated at fair value based on the net asset value of its underlying investments. Notes receivable from participants are measured at their unpaid principal balance plus any accrued but unpaid interest.</w:t>
      </w:r>
    </w:p>
    <w:p>
      <w:pPr>
        <w:spacing w:after="0" w:line="188" w:lineRule="exact"/>
        <w:rPr>
          <w:sz w:val="20"/>
          <w:szCs w:val="20"/>
          <w:color w:val="auto"/>
        </w:rPr>
      </w:pPr>
    </w:p>
    <w:p>
      <w:pPr>
        <w:ind w:left="440" w:right="160"/>
        <w:spacing w:after="0" w:line="312" w:lineRule="auto"/>
        <w:rPr>
          <w:sz w:val="20"/>
          <w:szCs w:val="20"/>
          <w:color w:val="auto"/>
        </w:rPr>
      </w:pPr>
      <w:r>
        <w:rPr>
          <w:rFonts w:ascii="Arial" w:cs="Arial" w:eastAsia="Arial" w:hAnsi="Arial"/>
          <w:sz w:val="16"/>
          <w:szCs w:val="16"/>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ind w:left="440" w:right="180"/>
        <w:spacing w:after="0" w:line="264" w:lineRule="auto"/>
        <w:rPr>
          <w:sz w:val="20"/>
          <w:szCs w:val="20"/>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440" w:right="12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liabilities, and changes therein, and disclosure of contingent assets and liabilities. Actual results could differ from those estimates.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New Accounting Standard</w:t>
      </w:r>
    </w:p>
    <w:p>
      <w:pPr>
        <w:spacing w:after="0" w:line="225" w:lineRule="exact"/>
        <w:rPr>
          <w:sz w:val="20"/>
          <w:szCs w:val="20"/>
          <w:color w:val="auto"/>
        </w:rPr>
      </w:pPr>
    </w:p>
    <w:p>
      <w:pPr>
        <w:jc w:val="both"/>
        <w:ind w:left="440" w:right="260"/>
        <w:spacing w:after="0" w:line="291" w:lineRule="auto"/>
        <w:rPr>
          <w:sz w:val="20"/>
          <w:szCs w:val="20"/>
          <w:color w:val="auto"/>
        </w:rPr>
      </w:pPr>
      <w:r>
        <w:rPr>
          <w:rFonts w:ascii="Arial" w:cs="Arial" w:eastAsia="Arial" w:hAnsi="Arial"/>
          <w:sz w:val="16"/>
          <w:szCs w:val="16"/>
          <w:color w:val="auto"/>
        </w:rPr>
        <w:t xml:space="preserve">In May 2011, the Financial Accounting Standards Board (FASB) issued Accounting Standards Update (ASU) No. 2011-04, </w:t>
      </w:r>
      <w:r>
        <w:rPr>
          <w:rFonts w:ascii="Arial" w:cs="Arial" w:eastAsia="Arial" w:hAnsi="Arial"/>
          <w:sz w:val="16"/>
          <w:szCs w:val="16"/>
          <w:i w:val="1"/>
          <w:iCs w:val="1"/>
          <w:color w:val="auto"/>
        </w:rPr>
        <w:t>Amendments to Achieve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Common Fair Value Measurement and Disclosure Requirements in U.S. GAAP and IFRSs, </w:t>
      </w:r>
      <w:r>
        <w:rPr>
          <w:rFonts w:ascii="Arial" w:cs="Arial" w:eastAsia="Arial" w:hAnsi="Arial"/>
          <w:sz w:val="16"/>
          <w:szCs w:val="16"/>
          <w:color w:val="auto"/>
        </w:rPr>
        <w:t>which amends Accounting Standards Codification (ASC)</w:t>
      </w:r>
    </w:p>
    <w:p>
      <w:pPr>
        <w:ind w:left="800" w:hanging="352"/>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ASU No. 2011-04 clarifies the FASB’s intent about the application of existing fair value measurement and disclosure requirements under ASC</w:t>
      </w:r>
    </w:p>
    <w:p>
      <w:pPr>
        <w:spacing w:after="0" w:line="32" w:lineRule="exact"/>
        <w:rPr>
          <w:rFonts w:ascii="Arial" w:cs="Arial" w:eastAsia="Arial" w:hAnsi="Arial"/>
          <w:sz w:val="16"/>
          <w:szCs w:val="16"/>
          <w:color w:val="auto"/>
        </w:rPr>
      </w:pPr>
    </w:p>
    <w:p>
      <w:pPr>
        <w:ind w:left="440" w:right="220" w:firstLine="8"/>
        <w:spacing w:after="0" w:line="255"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ASU requires the categorization by level for items that are required to be disclosed, but not measured, at fair value. This ASU also requires additional disclosure of information about transfers between Level 1 and Level 2 of the fair value hierarchy and additional disclosure regarding the sensitivity of Level 3 measurements of fair value to changes 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40" w:right="100"/>
        <w:spacing w:after="0" w:line="259" w:lineRule="auto"/>
        <w:rPr>
          <w:sz w:val="20"/>
          <w:szCs w:val="20"/>
          <w:color w:val="auto"/>
        </w:rPr>
      </w:pPr>
      <w:r>
        <w:rPr>
          <w:rFonts w:ascii="Arial" w:cs="Arial" w:eastAsia="Arial" w:hAnsi="Arial"/>
          <w:sz w:val="18"/>
          <w:szCs w:val="18"/>
          <w:color w:val="auto"/>
        </w:rPr>
        <w:t>unobservable inputs and any interrelationships between those inputs. In addition, the ASU provides guidance on measuring the fair value of financial instruments managed within a portfolio and the application of premiums and discounts on fair value measurements. The new guidance is effective for reporting periods beginning after December 15, 2011. The adoption in 2012 did not have a material effect on the Statement of Net Assets Available for Benefits and Statement of Changes in Net Assets Available for Benefits.</w:t>
      </w:r>
    </w:p>
    <w:p>
      <w:pPr>
        <w:spacing w:after="0" w:line="183"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market value of investments, held by the Plan, representing 5% or more of the Plan’s assets are identified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7,443,435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4,696,246</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EuroPacific Growth Fund—F Share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4,755,799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3,553,732</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Washington Mutual Investors Fund—F Share</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7,995,718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7,057,730</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Growth Fund of America—F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9,579,770</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Dreyfus Premier Emerging Markets Fund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5,885,784</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Baron Growth Fund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5,082,015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4,568,119</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Janus Balanced Fund</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6,061,368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4,786,918</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Wells Fargo Advantage Government Securities Fund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6,191,874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5,902,322</w:t>
            </w: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Western Asset Government Money Market Exchange Class A</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3,392,075</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Oppenheimer Developing Markets Fund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7,042,185</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Main Stay Large Cap Growth Fund — R2</w:t>
            </w: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9,915,346</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During 2012, the Plan’s investments, including investments purchased and sold, as well as held during the year, appreciated (depreciated) in fair value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2,762,927</w:t>
            </w: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Stock Fund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1,050,573</w:t>
            </w: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Balanced Funds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3,570,917</w:t>
            </w: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Bond Fund</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(10,599)</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Stable Value Fund</w:t>
            </w:r>
          </w:p>
        </w:tc>
        <w:tc>
          <w:tcPr>
            <w:tcW w:w="3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2,281</w:t>
            </w:r>
          </w:p>
        </w:tc>
      </w:tr>
      <w:tr>
        <w:trPr>
          <w:trHeight w:val="210"/>
        </w:trPr>
        <w:tc>
          <w:tcPr>
            <w:tcW w:w="9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180" w:type="dxa"/>
            <w:vAlign w:val="bottom"/>
          </w:tcPr>
          <w:p>
            <w:pPr>
              <w:ind w:left="180"/>
              <w:spacing w:after="0"/>
              <w:rPr>
                <w:sz w:val="20"/>
                <w:szCs w:val="20"/>
                <w:color w:val="auto"/>
              </w:rPr>
            </w:pPr>
            <w:r>
              <w:rPr>
                <w:rFonts w:ascii="Arial" w:cs="Arial" w:eastAsia="Arial" w:hAnsi="Arial"/>
                <w:sz w:val="18"/>
                <w:szCs w:val="18"/>
                <w:color w:val="auto"/>
              </w:rPr>
              <w:t>Net appreciation in fair value of investments</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7,376,099</w:t>
            </w:r>
          </w:p>
        </w:tc>
        <w:tc>
          <w:tcPr>
            <w:tcW w:w="12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44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ASC 820 establishes a hierarchy that prioritizes fair value measurements based on the types of inputs used for the various valuation techniques. The levels of the hierarchy are described below:</w:t>
      </w:r>
    </w:p>
    <w:p>
      <w:pPr>
        <w:sectPr>
          <w:pgSz w:w="11900" w:h="16838"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Consists of financial instruments whose values are based on quoted market prices for identical financial instruments in an active market.</w:t>
      </w:r>
    </w:p>
    <w:p>
      <w:pPr>
        <w:spacing w:after="0" w:line="211" w:lineRule="exact"/>
        <w:rPr>
          <w:sz w:val="20"/>
          <w:szCs w:val="20"/>
          <w:color w:val="auto"/>
        </w:rPr>
      </w:pPr>
    </w:p>
    <w:p>
      <w:pPr>
        <w:sectPr>
          <w:pgSz w:w="11900" w:h="16838" w:orient="portrait"/>
          <w:cols w:equalWidth="0" w:num="2">
            <w:col w:w="560" w:space="660"/>
            <w:col w:w="10200"/>
          </w:cols>
          <w:pgMar w:left="240" w:top="341" w:right="239" w:bottom="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pacing w:after="0" w:line="170" w:lineRule="exact"/>
        <w:rPr>
          <w:sz w:val="20"/>
          <w:szCs w:val="20"/>
          <w:color w:val="auto"/>
        </w:rPr>
      </w:pPr>
    </w:p>
    <w:p>
      <w:pPr>
        <w:sectPr>
          <w:pgSz w:w="11900" w:h="16838" w:orient="portrait"/>
          <w:cols w:equalWidth="0" w:num="2">
            <w:col w:w="560" w:space="660"/>
            <w:col w:w="10200"/>
          </w:cols>
          <w:pgMar w:left="240" w:top="341" w:right="239" w:bottom="0" w:gutter="0" w:footer="0" w:header="0"/>
          <w:type w:val="continuous"/>
        </w:sectPr>
      </w:pPr>
    </w:p>
    <w:p>
      <w:pPr>
        <w:ind w:left="1740" w:hanging="84"/>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5" w:lineRule="exact"/>
        <w:rPr>
          <w:rFonts w:ascii="Arial" w:cs="Arial" w:eastAsia="Arial" w:hAnsi="Arial"/>
          <w:sz w:val="18"/>
          <w:szCs w:val="18"/>
          <w:color w:val="auto"/>
        </w:rPr>
      </w:pPr>
    </w:p>
    <w:p>
      <w:pPr>
        <w:ind w:left="1740" w:hanging="84"/>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225" w:lineRule="exact"/>
        <w:rPr>
          <w:rFonts w:ascii="Arial" w:cs="Arial" w:eastAsia="Arial" w:hAnsi="Arial"/>
          <w:sz w:val="18"/>
          <w:szCs w:val="18"/>
          <w:color w:val="auto"/>
        </w:rPr>
      </w:pPr>
    </w:p>
    <w:p>
      <w:pPr>
        <w:ind w:left="1740" w:hanging="84"/>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w:t>
      </w:r>
    </w:p>
    <w:p>
      <w:pPr>
        <w:spacing w:after="0" w:line="225" w:lineRule="exact"/>
        <w:rPr>
          <w:rFonts w:ascii="Arial" w:cs="Arial" w:eastAsia="Arial" w:hAnsi="Arial"/>
          <w:sz w:val="18"/>
          <w:szCs w:val="18"/>
          <w:color w:val="auto"/>
        </w:rPr>
      </w:pPr>
    </w:p>
    <w:p>
      <w:pPr>
        <w:ind w:left="1660" w:right="400" w:hanging="4"/>
        <w:spacing w:after="0" w:line="277" w:lineRule="auto"/>
        <w:tabs>
          <w:tab w:leader="none" w:pos="17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Consists of financial instruments whose values are determined using pricing models that use significant inputs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00" w:right="980"/>
        <w:spacing w:after="0" w:line="277" w:lineRule="auto"/>
        <w:rPr>
          <w:sz w:val="20"/>
          <w:szCs w:val="20"/>
          <w:color w:val="auto"/>
        </w:rPr>
      </w:pPr>
      <w:r>
        <w:rPr>
          <w:rFonts w:ascii="Arial" w:cs="Arial" w:eastAsia="Arial" w:hAnsi="Arial"/>
          <w:sz w:val="18"/>
          <w:szCs w:val="18"/>
          <w:color w:val="auto"/>
        </w:rPr>
        <w:t>that are primarily unobservable, discounted cash flow methodologies, or similar techniques, as well as instruments for which the determination of fair value requires significant judgment or estimation.</w:t>
      </w:r>
    </w:p>
    <w:p>
      <w:pPr>
        <w:spacing w:after="0" w:line="170"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Mutual funds and stable value fund: Valued at the net asset value of shares held by the Plan at year end.</w:t>
      </w:r>
    </w:p>
    <w:p>
      <w:pPr>
        <w:spacing w:after="0" w:line="225" w:lineRule="exact"/>
        <w:rPr>
          <w:sz w:val="20"/>
          <w:szCs w:val="20"/>
          <w:color w:val="auto"/>
        </w:rPr>
      </w:pPr>
    </w:p>
    <w:p>
      <w:pPr>
        <w:ind w:left="880" w:right="100"/>
        <w:spacing w:after="0" w:line="277" w:lineRule="auto"/>
        <w:rPr>
          <w:sz w:val="20"/>
          <w:szCs w:val="20"/>
          <w:color w:val="auto"/>
        </w:rPr>
      </w:pPr>
      <w:r>
        <w:rPr>
          <w:rFonts w:ascii="Arial" w:cs="Arial" w:eastAsia="Arial" w:hAnsi="Arial"/>
          <w:sz w:val="18"/>
          <w:szCs w:val="18"/>
          <w:color w:val="auto"/>
        </w:rPr>
        <w:t>Common stock fund: Valued at the market value of the CMCSA stock and the cost plus accrued interest of certain short-term investments, which approximates their fair value, at year end.</w:t>
      </w:r>
    </w:p>
    <w:p>
      <w:pPr>
        <w:spacing w:after="0" w:line="170"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by level, within the fair value hierarchy, the Plan’s assets at fair value as of December 31, 2012 and 2011: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at Fair Value as of December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Balanced Funds</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51,488,046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51,488,046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Stock Fund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7,042,185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Bond Fund</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11,134,027</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11,134,027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7,443,435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Stable Value Fund</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379,361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379,361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69,664,258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7,822,796</w:t>
            </w:r>
          </w:p>
        </w:tc>
        <w:tc>
          <w:tcPr>
            <w:tcW w:w="140" w:type="dxa"/>
            <w:vAlign w:val="bottom"/>
          </w:tcPr>
          <w:p>
            <w:pPr>
              <w:spacing w:after="0"/>
              <w:rPr>
                <w:sz w:val="18"/>
                <w:szCs w:val="18"/>
                <w:color w:val="auto"/>
              </w:rPr>
            </w:pPr>
          </w:p>
        </w:tc>
        <w:tc>
          <w:tcPr>
            <w:tcW w:w="150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77,487,054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8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Assets at Fair Value as of December 31, 2011</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Balanced Funds</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42,074,151</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42,074,151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Stock Fund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5,885,784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Bond Fund</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9,751,957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9,751,957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Comcast Stock Fund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4,696,246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4,696,246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57,711,892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4,696,246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62,408,138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2012 and 2011 there were no transfers between levels.</w:t>
      </w:r>
    </w:p>
    <w:p>
      <w:pPr>
        <w:spacing w:after="0" w:line="18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Although no participating employer has expressed any intent to do so, each participating employer has the right under the Plan to discontinue its contributions and to terminate the Plan, with respect to its eligible employees, subject to the provisions of ERISA. Additionally, Comcast Spectacor, L.P. has the right to terminate the Plan. In the event of Plan termination, participants will become 100% vested in their accounts.</w:t>
      </w:r>
    </w:p>
    <w:p>
      <w:pPr>
        <w:sectPr>
          <w:pgSz w:w="11900" w:h="16838" w:orient="portrait"/>
          <w:cols w:equalWidth="0" w:num="1">
            <w:col w:w="11420"/>
          </w:cols>
          <w:pgMar w:left="240" w:top="341" w:right="239" w:bottom="0" w:gutter="0" w:footer="0" w:header="0"/>
          <w:type w:val="continuous"/>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ind w:left="1440" w:right="80" w:hanging="441"/>
        <w:spacing w:after="0" w:line="255" w:lineRule="auto"/>
        <w:tabs>
          <w:tab w:leader="none" w:pos="1434"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 Status of the Plan</w:t>
      </w:r>
      <w:r>
        <w:rPr>
          <w:rFonts w:ascii="Arial" w:cs="Arial" w:eastAsia="Arial" w:hAnsi="Arial"/>
          <w:sz w:val="18"/>
          <w:szCs w:val="18"/>
          <w:color w:val="auto"/>
        </w:rPr>
        <w:t>— In June 2009, the Plan received a determination letter from the IRS stating that the Plan is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 401(a) of the Internal Revenue Code (the “Code”) subject to the adoption of an amendment which was adopted on August 14, 2009 and effective January 1, 2007. As a result, the Plan remains exempt from taxation. The Plan is required to operate in conformity with the Code to maintain its qualified status. The Plan Administrator believes the Plan is being operated in compliance with the applicable requirements of the Code and no provision for income taxes has been included in the Plan’s financial statements. The Plan was again submitted for a determination letter in August 2012.</w:t>
      </w:r>
    </w:p>
    <w:p>
      <w:pPr>
        <w:spacing w:after="0" w:line="193" w:lineRule="exact"/>
        <w:rPr>
          <w:rFonts w:ascii="Arial" w:cs="Arial" w:eastAsia="Arial" w:hAnsi="Arial"/>
          <w:sz w:val="18"/>
          <w:szCs w:val="18"/>
          <w:color w:val="auto"/>
        </w:rPr>
      </w:pPr>
    </w:p>
    <w:p>
      <w:pPr>
        <w:jc w:val="both"/>
        <w:ind w:left="1440" w:right="700" w:hanging="441"/>
        <w:spacing w:after="0" w:line="264" w:lineRule="auto"/>
        <w:tabs>
          <w:tab w:leader="none" w:pos="1444"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ind w:left="1440" w:right="20" w:hanging="441"/>
        <w:spacing w:after="0" w:line="257" w:lineRule="auto"/>
        <w:tabs>
          <w:tab w:leader="none" w:pos="1448"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Evaluation of Tax Positions</w:t>
      </w:r>
      <w:r>
        <w:rPr>
          <w:rFonts w:ascii="Arial" w:cs="Arial" w:eastAsia="Arial" w:hAnsi="Arial"/>
          <w:sz w:val="18"/>
          <w:szCs w:val="18"/>
          <w:color w:val="auto"/>
        </w:rPr>
        <w:t>— In accordance with ASC 740-10-50-15 c — e, the Plan Administrator has analyzed the tax positions taken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Plan and has concluded that as of December 31, 2012, there are no uncertain tax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2009.</w:t>
      </w:r>
    </w:p>
    <w:p>
      <w:pPr>
        <w:spacing w:after="0" w:line="184" w:lineRule="exact"/>
        <w:rPr>
          <w:rFonts w:ascii="Arial" w:cs="Arial" w:eastAsia="Arial" w:hAnsi="Arial"/>
          <w:sz w:val="18"/>
          <w:szCs w:val="18"/>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NON EXEMPT PARTY IN INTEREST TRANSACTIONS</w:t>
      </w:r>
    </w:p>
    <w:p>
      <w:pPr>
        <w:spacing w:after="0" w:line="229" w:lineRule="exact"/>
        <w:rPr>
          <w:sz w:val="20"/>
          <w:szCs w:val="20"/>
          <w:color w:val="auto"/>
        </w:rPr>
      </w:pPr>
    </w:p>
    <w:p>
      <w:pPr>
        <w:ind w:left="440" w:right="140"/>
        <w:spacing w:after="0" w:line="264" w:lineRule="auto"/>
        <w:rPr>
          <w:sz w:val="20"/>
          <w:szCs w:val="20"/>
          <w:color w:val="auto"/>
        </w:rPr>
      </w:pPr>
      <w:r>
        <w:rPr>
          <w:rFonts w:ascii="Arial" w:cs="Arial" w:eastAsia="Arial" w:hAnsi="Arial"/>
          <w:sz w:val="18"/>
          <w:szCs w:val="18"/>
          <w:color w:val="auto"/>
        </w:rPr>
        <w:t>For the Plan years 2012, 2011, 2010 and 2009 , the Company has not remitted certain participant contributions and loan repayments to the Trustee in a timely manner based on when the participant contributions and loan repayments were withheld from participant paychecks as required under Department of Labor Regulation §2510.3-102.</w:t>
      </w:r>
    </w:p>
    <w:p>
      <w:pPr>
        <w:spacing w:after="0" w:line="181" w:lineRule="exact"/>
        <w:rPr>
          <w:sz w:val="20"/>
          <w:szCs w:val="20"/>
          <w:color w:val="auto"/>
        </w:rPr>
      </w:pPr>
    </w:p>
    <w:p>
      <w:pPr>
        <w:ind w:left="440" w:right="160"/>
        <w:spacing w:after="0" w:line="297" w:lineRule="auto"/>
        <w:rPr>
          <w:sz w:val="20"/>
          <w:szCs w:val="20"/>
          <w:color w:val="auto"/>
        </w:rPr>
      </w:pPr>
      <w:r>
        <w:rPr>
          <w:rFonts w:ascii="Arial" w:cs="Arial" w:eastAsia="Arial" w:hAnsi="Arial"/>
          <w:sz w:val="16"/>
          <w:szCs w:val="16"/>
          <w:color w:val="auto"/>
        </w:rPr>
        <w:t>In February 2012, the Company filed IRS Form 5330 to report and pay an excise tax with respect to the 2010 and 2009 late remittances as required pursuant to Section 4975 of the Code. In addition, the Company submitted an application under the Voluntary Fiduciary Correction Program (VFCP) with the Department of Labor (DOL) and participant accounts were credited with the amount of investment income that would have been earned had the participant contributions been remitted on a timely basis. The Company has received confirmation that the IRS has accepted the 5330 filings. The DOL has requested more information and the Company is in the process of gathering the additional information requested.</w:t>
      </w:r>
    </w:p>
    <w:p>
      <w:pPr>
        <w:spacing w:after="0" w:line="158" w:lineRule="exact"/>
        <w:rPr>
          <w:sz w:val="20"/>
          <w:szCs w:val="20"/>
          <w:color w:val="auto"/>
        </w:rPr>
      </w:pPr>
    </w:p>
    <w:p>
      <w:pPr>
        <w:ind w:left="440" w:right="40"/>
        <w:spacing w:after="0" w:line="264" w:lineRule="auto"/>
        <w:rPr>
          <w:sz w:val="20"/>
          <w:szCs w:val="20"/>
          <w:color w:val="auto"/>
        </w:rPr>
      </w:pPr>
      <w:r>
        <w:rPr>
          <w:rFonts w:ascii="Arial" w:cs="Arial" w:eastAsia="Arial" w:hAnsi="Arial"/>
          <w:sz w:val="18"/>
          <w:szCs w:val="18"/>
          <w:color w:val="auto"/>
        </w:rPr>
        <w:t>The Company is in the process of filing IRS Form 5330 to report and pay an excise tax with respect to the 2012 and 2011 late remittances, and participant accounts will be credited with the amount of investment income that would have been earned had the participant contributions been remitted on a timely basis. Such amounts are not material to the Plan’s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H—PART IV—LINE 4i-SCHEDULE OF ASSETS (HELD AT END OF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EIN 23-2303756</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#004</w:t>
            </w:r>
          </w:p>
        </w:tc>
        <w:tc>
          <w:tcPr>
            <w:tcW w:w="0" w:type="dxa"/>
            <w:vAlign w:val="bottom"/>
          </w:tcPr>
          <w:p>
            <w:pPr>
              <w:spacing w:after="0"/>
              <w:rPr>
                <w:sz w:val="1"/>
                <w:szCs w:val="1"/>
                <w:color w:val="auto"/>
              </w:rPr>
            </w:pPr>
          </w:p>
        </w:tc>
      </w:tr>
      <w:tr>
        <w:trPr>
          <w:trHeight w:val="342"/>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 Description of</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Investment,</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Including Maturity Date,</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(e) Current</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2"/>
                <w:szCs w:val="12"/>
                <w:color w:val="auto"/>
              </w:rPr>
            </w:pPr>
          </w:p>
        </w:tc>
        <w:tc>
          <w:tcPr>
            <w:tcW w:w="59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3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 or</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980" w:type="dxa"/>
            <w:vAlign w:val="bottom"/>
            <w:gridSpan w:val="2"/>
            <w:vMerge w:val="continue"/>
          </w:tcPr>
          <w:p>
            <w:pPr>
              <w:spacing w:after="0"/>
              <w:rPr>
                <w:sz w:val="14"/>
                <w:szCs w:val="14"/>
                <w:color w:val="auto"/>
              </w:rPr>
            </w:pPr>
          </w:p>
        </w:tc>
        <w:tc>
          <w:tcPr>
            <w:tcW w:w="3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Maturity Value</w:t>
            </w:r>
          </w:p>
        </w:tc>
        <w:tc>
          <w:tcPr>
            <w:tcW w:w="16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2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EuroPacific Growth Fund - F Share</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4,755,799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 Mutual Investors Fund - F Share</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7,995,718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Baron Growth Fund</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5,082,015</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Cohen and Steers Realty Shares</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2,178,229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Dreyfus Appreciation Fund</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2,586,368</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ING GNMA Income Fund</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1,938,416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Dreyfus US Treasury Long Term Fund</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1,819,529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Janus Balanced Fund</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6,061,368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Wells Fargo Advantage Government Securities Fund</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6,191,874</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Royce Total Return Fund</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3,594,082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Western Asset Gov’t Money Market Exchange Class A</w:t>
            </w:r>
          </w:p>
        </w:tc>
        <w:tc>
          <w:tcPr>
            <w:tcW w:w="31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Money Market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3,814,563</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 Rowe Price International Bond Advisor</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2,130,385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Pru, Jenn Resources</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357,712</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Pimco Real Return</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992,239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T Rowe Price Retirement Target Funds</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1,807,358</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Oppenheimer Developing Markets Fund</w:t>
            </w:r>
          </w:p>
        </w:tc>
        <w:tc>
          <w:tcPr>
            <w:tcW w:w="3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7,042,185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8"/>
                <w:szCs w:val="18"/>
                <w:color w:val="auto"/>
              </w:rPr>
              <w:t>Jennison Mid Cap Growth Fund</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Mutual fund</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1,318,570</w:t>
            </w:r>
          </w:p>
        </w:tc>
        <w:tc>
          <w:tcPr>
            <w:tcW w:w="0" w:type="dxa"/>
            <w:vAlign w:val="bottom"/>
          </w:tcPr>
          <w:p>
            <w:pPr>
              <w:spacing w:after="0"/>
              <w:rPr>
                <w:sz w:val="1"/>
                <w:szCs w:val="1"/>
                <w:color w:val="auto"/>
              </w:rPr>
            </w:pPr>
          </w:p>
        </w:tc>
      </w:tr>
      <w:tr>
        <w:trPr>
          <w:trHeight w:val="178"/>
        </w:trPr>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Main Stay Large Cap Growth Fund</w:t>
            </w:r>
          </w:p>
        </w:tc>
        <w:tc>
          <w:tcPr>
            <w:tcW w:w="45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5"/>
              </w:rPr>
              <w:t>Mutual fund</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00" w:type="dxa"/>
            <w:vAlign w:val="bottom"/>
          </w:tcPr>
          <w:p>
            <w:pPr>
              <w:ind w:left="560"/>
              <w:spacing w:after="0"/>
              <w:rPr>
                <w:sz w:val="20"/>
                <w:szCs w:val="20"/>
                <w:color w:val="auto"/>
              </w:rPr>
            </w:pPr>
            <w:r>
              <w:rPr>
                <w:rFonts w:ascii="Arial" w:cs="Arial" w:eastAsia="Arial" w:hAnsi="Arial"/>
                <w:sz w:val="18"/>
                <w:szCs w:val="18"/>
                <w:color w:val="auto"/>
              </w:rPr>
              <w:t>T Rowe Price Retirement Income Fund Advisor</w:t>
            </w:r>
          </w:p>
        </w:tc>
        <w:tc>
          <w:tcPr>
            <w:tcW w:w="4520" w:type="dxa"/>
            <w:vAlign w:val="bottom"/>
            <w:gridSpan w:val="2"/>
          </w:tcPr>
          <w:p>
            <w:pPr>
              <w:jc w:val="center"/>
              <w:ind w:left="370"/>
              <w:spacing w:after="0"/>
              <w:rPr>
                <w:sz w:val="20"/>
                <w:szCs w:val="20"/>
                <w:color w:val="auto"/>
              </w:rPr>
            </w:pPr>
            <w:r>
              <w:rPr>
                <w:rFonts w:ascii="Arial" w:cs="Arial" w:eastAsia="Arial" w:hAnsi="Arial"/>
                <w:sz w:val="18"/>
                <w:szCs w:val="18"/>
                <w:color w:val="auto"/>
                <w:w w:val="95"/>
              </w:rPr>
              <w:t>Mutual fund</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69,664,258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300" w:type="dxa"/>
            <w:vAlign w:val="bottom"/>
          </w:tcPr>
          <w:p>
            <w:pPr>
              <w:ind w:left="380"/>
              <w:spacing w:after="0" w:line="196" w:lineRule="exact"/>
              <w:rPr>
                <w:sz w:val="20"/>
                <w:szCs w:val="20"/>
                <w:color w:val="auto"/>
              </w:rPr>
            </w:pPr>
            <w:r>
              <w:rPr>
                <w:rFonts w:ascii="Arial" w:cs="Arial" w:eastAsia="Arial" w:hAnsi="Arial"/>
                <w:sz w:val="18"/>
                <w:szCs w:val="18"/>
                <w:color w:val="auto"/>
              </w:rPr>
              <w:t>Stable Value Fund (at fair value)</w:t>
            </w: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4"/>
              </w:rPr>
              <w:t>*</w:t>
            </w:r>
          </w:p>
        </w:tc>
        <w:tc>
          <w:tcPr>
            <w:tcW w:w="5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ING Stable Value Fund</w:t>
            </w:r>
          </w:p>
        </w:tc>
        <w:tc>
          <w:tcPr>
            <w:tcW w:w="45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Stable Value fund</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4"/>
              </w:rPr>
              <w:t>*</w:t>
            </w:r>
          </w:p>
        </w:tc>
        <w:tc>
          <w:tcPr>
            <w:tcW w:w="5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Comcast Stock Fund</w:t>
            </w:r>
          </w:p>
        </w:tc>
        <w:tc>
          <w:tcPr>
            <w:tcW w:w="45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Unitized stock fund</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3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Notes receivable from participants</w:t>
            </w:r>
          </w:p>
        </w:tc>
        <w:tc>
          <w:tcPr>
            <w:tcW w:w="4520" w:type="dxa"/>
            <w:vAlign w:val="bottom"/>
            <w:gridSpan w:val="2"/>
            <w:shd w:val="clear" w:color="auto" w:fill="CCEEFF"/>
          </w:tcPr>
          <w:p>
            <w:pPr>
              <w:jc w:val="center"/>
              <w:ind w:left="370"/>
              <w:spacing w:after="0" w:line="201" w:lineRule="exact"/>
              <w:rPr>
                <w:sz w:val="20"/>
                <w:szCs w:val="20"/>
                <w:color w:val="auto"/>
              </w:rPr>
            </w:pPr>
            <w:r>
              <w:rPr>
                <w:rFonts w:ascii="Arial" w:cs="Arial" w:eastAsia="Arial" w:hAnsi="Arial"/>
                <w:sz w:val="18"/>
                <w:szCs w:val="18"/>
                <w:color w:val="auto"/>
                <w:w w:val="91"/>
              </w:rPr>
              <w:t>Interest rates from 4.25%-10.25%;</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(principal balance plus accrued but unpaid interest)</w:t>
            </w:r>
          </w:p>
        </w:tc>
        <w:tc>
          <w:tcPr>
            <w:tcW w:w="45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2"/>
              </w:rPr>
              <w:t>maturities from 2013-2042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2,108,873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79,595,927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SPECTACOR 401(k) PLAN</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FORM 5500, SCHEDULE H—PART IV—LINE 4a—SCHEDULE OF DELINQUENT PARTICIPANT CONTRIBUTIONS FOR THE YEARS ENDED DECEMBER 31, 2012, 2011,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EIN 23-2303756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#004</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3"/>
              </w:rPr>
              <w:t>Total that Constitute Nonexempt Prohibited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Transactions</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Total Fully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83"/>
              <w:spacing w:after="0" w:line="119" w:lineRule="exact"/>
              <w:rPr>
                <w:sz w:val="20"/>
                <w:szCs w:val="20"/>
                <w:color w:val="auto"/>
              </w:rPr>
            </w:pPr>
            <w:r>
              <w:rPr>
                <w:rFonts w:ascii="Arial" w:cs="Arial" w:eastAsia="Arial" w:hAnsi="Arial"/>
                <w:sz w:val="13"/>
                <w:szCs w:val="13"/>
                <w:b w:val="1"/>
                <w:bCs w:val="1"/>
                <w:color w:val="auto"/>
              </w:rPr>
              <w:t>Contributions</w:t>
            </w:r>
          </w:p>
        </w:tc>
        <w:tc>
          <w:tcPr>
            <w:tcW w:w="2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Contributions</w:t>
            </w: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Pending</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Corrected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Corrected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Correction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VFCP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Not Corrected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Outside VFCP</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VFCP</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PTE 2002-51*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12/31/2012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160,323</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12/31/2011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256,821</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 Contributions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12/31/2010</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48,218</w:t>
            </w: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 Contributions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12/31/2009</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22,137</w:t>
            </w: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Prohibited Transaction Exemption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333-101295 of Comcast Corporation on Form S-8 of our report dated June 28, 2013, relating to the financial statements and supplemental schedules of the Comcast Spectacor 401(k) Plan, appearing in this Annual Report on Form 11-K of the Comcast Spectacor 401(k) Plan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ectPr>
          <w:pgSz w:w="11900" w:h="16870" w:orient="portrait"/>
          <w:cols w:equalWidth="0" w:num="1">
            <w:col w:w="11420"/>
          </w:cols>
          <w:pgMar w:left="240" w:top="140" w:right="239" w:bottom="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COMCAST SPECTACOR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9"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Lawrence J. Salva</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Controller</w:t>
      </w:r>
    </w:p>
    <w:p>
      <w:pPr>
        <w:spacing w:after="0" w:line="2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00"/>
      </w:cols>
      <w:pgMar w:left="240" w:top="34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820"/>
    </w:lvl>
  </w:abstractNum>
  <w:abstractNum w:abstractNumId="6">
    <w:nsid w:val="12200854"/>
    <w:multiLevelType w:val="hybridMultilevel"/>
    <w:lvl w:ilvl="0">
      <w:lvlJc w:val="left"/>
      <w:lvlText w:val="%1."/>
      <w:numFmt w:val="decimal"/>
      <w:start w:val="820"/>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2019-12-07T03:40:37Z</dcterms:created>
  <dcterms:modified xsi:type="dcterms:W3CDTF">2019-12-07T03:40:37Z</dcterms:modified>
</cp:coreProperties>
</file>