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16,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COMCAST CORPORATION</w:t>
      </w:r>
    </w:p>
    <w:p>
      <w:pPr>
        <w:spacing w:after="0" w:line="50" w:lineRule="exact"/>
        <w:rPr>
          <w:sz w:val="24"/>
          <w:szCs w:val="24"/>
          <w:color w:val="auto"/>
        </w:rPr>
      </w:pPr>
    </w:p>
    <w:tbl>
      <w:tblPr>
        <w:tblLayout w:type="fixed"/>
        <w:tblInd w:w="1980" w:type="dxa"/>
        <w:tblCellMar>
          <w:top w:w="0" w:type="dxa"/>
          <w:left w:w="0" w:type="dxa"/>
          <w:bottom w:w="0" w:type="dxa"/>
          <w:right w:w="0" w:type="dxa"/>
        </w:tblCellMar>
      </w:tblPr>
      <w:tr>
        <w:trPr>
          <w:trHeight w:val="174"/>
        </w:trPr>
        <w:tc>
          <w:tcPr>
            <w:tcW w:w="2040" w:type="dxa"/>
            <w:vAlign w:val="bottom"/>
          </w:tcPr>
          <w:p>
            <w:pPr>
              <w:spacing w:after="0"/>
              <w:rPr>
                <w:sz w:val="15"/>
                <w:szCs w:val="15"/>
                <w:color w:val="auto"/>
              </w:rPr>
            </w:pPr>
          </w:p>
        </w:tc>
        <w:tc>
          <w:tcPr>
            <w:tcW w:w="5200" w:type="dxa"/>
            <w:vAlign w:val="bottom"/>
            <w:gridSpan w:val="3"/>
          </w:tcPr>
          <w:p>
            <w:pPr>
              <w:jc w:val="center"/>
              <w:ind w:right="1752"/>
              <w:spacing w:after="0"/>
              <w:rPr>
                <w:sz w:val="20"/>
                <w:szCs w:val="20"/>
                <w:color w:val="auto"/>
              </w:rPr>
            </w:pPr>
            <w:r>
              <w:rPr>
                <w:rFonts w:ascii="Arial" w:cs="Arial" w:eastAsia="Arial" w:hAnsi="Arial"/>
                <w:sz w:val="14"/>
                <w:szCs w:val="14"/>
                <w:b w:val="1"/>
                <w:bCs w:val="1"/>
                <w:color w:val="auto"/>
                <w:w w:val="86"/>
              </w:rPr>
              <w:t>(Exact name of registrant as specified in charter)</w:t>
            </w:r>
          </w:p>
        </w:tc>
      </w:tr>
      <w:tr>
        <w:trPr>
          <w:trHeight w:val="257"/>
        </w:trPr>
        <w:tc>
          <w:tcPr>
            <w:tcW w:w="20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380" w:type="dxa"/>
            <w:vAlign w:val="bottom"/>
            <w:tcBorders>
              <w:bottom w:val="single" w:sz="8" w:color="auto"/>
            </w:tcBorders>
          </w:tcPr>
          <w:p>
            <w:pPr>
              <w:spacing w:after="0"/>
              <w:rPr>
                <w:sz w:val="22"/>
                <w:szCs w:val="22"/>
                <w:color w:val="auto"/>
              </w:rPr>
            </w:pPr>
          </w:p>
        </w:tc>
        <w:tc>
          <w:tcPr>
            <w:tcW w:w="2320" w:type="dxa"/>
            <w:vAlign w:val="bottom"/>
          </w:tcPr>
          <w:p>
            <w:pPr>
              <w:spacing w:after="0"/>
              <w:rPr>
                <w:sz w:val="22"/>
                <w:szCs w:val="22"/>
                <w:color w:val="auto"/>
              </w:rPr>
            </w:pPr>
          </w:p>
        </w:tc>
      </w:tr>
      <w:tr>
        <w:trPr>
          <w:trHeight w:val="426"/>
        </w:trPr>
        <w:tc>
          <w:tcPr>
            <w:tcW w:w="2040" w:type="dxa"/>
            <w:vAlign w:val="bottom"/>
          </w:tcPr>
          <w:p>
            <w:pPr>
              <w:jc w:val="center"/>
              <w:ind w:right="206"/>
              <w:spacing w:after="0"/>
              <w:rPr>
                <w:sz w:val="20"/>
                <w:szCs w:val="20"/>
                <w:color w:val="auto"/>
              </w:rPr>
            </w:pPr>
            <w:r>
              <w:rPr>
                <w:rFonts w:ascii="Arial" w:cs="Arial" w:eastAsia="Arial" w:hAnsi="Arial"/>
                <w:sz w:val="18"/>
                <w:szCs w:val="18"/>
                <w:b w:val="1"/>
                <w:bCs w:val="1"/>
                <w:color w:val="auto"/>
                <w:w w:val="86"/>
              </w:rPr>
              <w:t>Pennsylvania</w:t>
            </w:r>
          </w:p>
        </w:tc>
        <w:tc>
          <w:tcPr>
            <w:tcW w:w="5200" w:type="dxa"/>
            <w:vAlign w:val="bottom"/>
            <w:gridSpan w:val="3"/>
          </w:tcPr>
          <w:p>
            <w:pPr>
              <w:jc w:val="center"/>
              <w:ind w:left="4042"/>
              <w:spacing w:after="0"/>
              <w:rPr>
                <w:sz w:val="20"/>
                <w:szCs w:val="20"/>
                <w:color w:val="auto"/>
              </w:rPr>
            </w:pPr>
            <w:r>
              <w:rPr>
                <w:rFonts w:ascii="Arial" w:cs="Arial" w:eastAsia="Arial" w:hAnsi="Arial"/>
                <w:sz w:val="18"/>
                <w:szCs w:val="18"/>
                <w:b w:val="1"/>
                <w:bCs w:val="1"/>
                <w:color w:val="auto"/>
                <w:w w:val="87"/>
              </w:rPr>
              <w:t>27-0000798</w:t>
            </w:r>
          </w:p>
        </w:tc>
      </w:tr>
      <w:tr>
        <w:trPr>
          <w:trHeight w:val="149"/>
        </w:trPr>
        <w:tc>
          <w:tcPr>
            <w:tcW w:w="2040" w:type="dxa"/>
            <w:vAlign w:val="bottom"/>
          </w:tcPr>
          <w:p>
            <w:pPr>
              <w:jc w:val="center"/>
              <w:ind w:right="206"/>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320" w:type="dxa"/>
            <w:vAlign w:val="bottom"/>
          </w:tcPr>
          <w:p>
            <w:pPr>
              <w:jc w:val="center"/>
              <w:ind w:left="119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040" w:type="dxa"/>
            <w:vAlign w:val="bottom"/>
          </w:tcPr>
          <w:p>
            <w:pPr>
              <w:jc w:val="center"/>
              <w:ind w:right="206"/>
              <w:spacing w:after="0"/>
              <w:rPr>
                <w:sz w:val="20"/>
                <w:szCs w:val="20"/>
                <w:color w:val="auto"/>
              </w:rPr>
            </w:pPr>
            <w:r>
              <w:rPr>
                <w:rFonts w:ascii="Arial" w:cs="Arial" w:eastAsia="Arial" w:hAnsi="Arial"/>
                <w:sz w:val="14"/>
                <w:szCs w:val="14"/>
                <w:b w:val="1"/>
                <w:bCs w:val="1"/>
                <w:color w:val="auto"/>
                <w:w w:val="88"/>
              </w:rPr>
              <w:t>incorporation or organization)</w:t>
            </w:r>
          </w:p>
        </w:tc>
        <w:tc>
          <w:tcPr>
            <w:tcW w:w="5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320" w:type="dxa"/>
            <w:vAlign w:val="bottom"/>
          </w:tcPr>
          <w:p>
            <w:pPr>
              <w:jc w:val="center"/>
              <w:ind w:left="1192"/>
              <w:spacing w:after="0"/>
              <w:rPr>
                <w:sz w:val="20"/>
                <w:szCs w:val="20"/>
                <w:color w:val="auto"/>
              </w:rPr>
            </w:pPr>
            <w:r>
              <w:rPr>
                <w:rFonts w:ascii="Arial" w:cs="Arial" w:eastAsia="Arial" w:hAnsi="Arial"/>
                <w:sz w:val="14"/>
                <w:szCs w:val="14"/>
                <w:b w:val="1"/>
                <w:bCs w:val="1"/>
                <w:color w:val="auto"/>
                <w:w w:val="89"/>
              </w:rPr>
              <w:t>Identification No.)</w:t>
            </w:r>
          </w:p>
        </w:tc>
      </w:tr>
      <w:tr>
        <w:trPr>
          <w:trHeight w:val="364"/>
        </w:trPr>
        <w:tc>
          <w:tcPr>
            <w:tcW w:w="2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700" w:type="dxa"/>
            <w:vAlign w:val="bottom"/>
            <w:gridSpan w:val="2"/>
          </w:tcPr>
          <w:p>
            <w:pPr>
              <w:jc w:val="center"/>
              <w:ind w:right="2252"/>
              <w:spacing w:after="0"/>
              <w:rPr>
                <w:sz w:val="20"/>
                <w:szCs w:val="20"/>
                <w:color w:val="auto"/>
              </w:rPr>
            </w:pPr>
            <w:r>
              <w:rPr>
                <w:rFonts w:ascii="Arial" w:cs="Arial" w:eastAsia="Arial" w:hAnsi="Arial"/>
                <w:sz w:val="18"/>
                <w:szCs w:val="18"/>
                <w:b w:val="1"/>
                <w:bCs w:val="1"/>
                <w:color w:val="auto"/>
                <w:w w:val="88"/>
              </w:rPr>
              <w:t>One Comcast Center</w:t>
            </w:r>
          </w:p>
        </w:tc>
      </w:tr>
      <w:tr>
        <w:trPr>
          <w:trHeight w:val="218"/>
        </w:trPr>
        <w:tc>
          <w:tcPr>
            <w:tcW w:w="2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700" w:type="dxa"/>
            <w:vAlign w:val="bottom"/>
            <w:gridSpan w:val="2"/>
          </w:tcPr>
          <w:p>
            <w:pPr>
              <w:jc w:val="center"/>
              <w:ind w:right="2252"/>
              <w:spacing w:after="0"/>
              <w:rPr>
                <w:sz w:val="20"/>
                <w:szCs w:val="20"/>
                <w:color w:val="auto"/>
              </w:rPr>
            </w:pPr>
            <w:r>
              <w:rPr>
                <w:rFonts w:ascii="Arial" w:cs="Arial" w:eastAsia="Arial" w:hAnsi="Arial"/>
                <w:sz w:val="18"/>
                <w:szCs w:val="18"/>
                <w:b w:val="1"/>
                <w:bCs w:val="1"/>
                <w:color w:val="auto"/>
                <w:w w:val="88"/>
              </w:rPr>
              <w:t>Philadelphia, PA 19103-2838</w:t>
            </w:r>
          </w:p>
        </w:tc>
      </w:tr>
      <w:tr>
        <w:trPr>
          <w:trHeight w:val="174"/>
        </w:trPr>
        <w:tc>
          <w:tcPr>
            <w:tcW w:w="2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700" w:type="dxa"/>
            <w:vAlign w:val="bottom"/>
            <w:gridSpan w:val="2"/>
          </w:tcPr>
          <w:p>
            <w:pPr>
              <w:jc w:val="center"/>
              <w:ind w:right="2232"/>
              <w:spacing w:after="0"/>
              <w:rPr>
                <w:sz w:val="20"/>
                <w:szCs w:val="20"/>
                <w:color w:val="auto"/>
              </w:rPr>
            </w:pPr>
            <w:r>
              <w:rPr>
                <w:rFonts w:ascii="Arial" w:cs="Arial" w:eastAsia="Arial" w:hAnsi="Arial"/>
                <w:sz w:val="14"/>
                <w:szCs w:val="14"/>
                <w:b w:val="1"/>
                <w:bCs w:val="1"/>
                <w:color w:val="auto"/>
                <w:w w:val="85"/>
              </w:rPr>
              <w:t>(Address of principal executive offices)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COMCAST CORPORATION 2002 RESTRICTED STOCK PLAN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COMCAST CORPORATION 2003 STOCK OPTION 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Arthur R. Block</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Vice President and 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Comcast Center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Philadelphia, Pennsylvania 19103-2838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(215) 286-1700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5" w:lineRule="exact"/>
        <w:rPr>
          <w:sz w:val="24"/>
          <w:szCs w:val="24"/>
          <w:color w:val="auto"/>
        </w:rPr>
      </w:pPr>
    </w:p>
    <w:p>
      <w:pPr>
        <w:ind w:right="50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60" w:type="dxa"/>
            <w:vAlign w:val="bottom"/>
          </w:tcPr>
          <w:p>
            <w:pPr>
              <w:ind w:left="1120"/>
              <w:spacing w:after="0"/>
              <w:rPr>
                <w:sz w:val="20"/>
                <w:szCs w:val="20"/>
                <w:color w:val="auto"/>
              </w:rPr>
            </w:pPr>
            <w:r>
              <w:rPr>
                <w:rFonts w:ascii="Arial" w:cs="Arial" w:eastAsia="Arial" w:hAnsi="Arial"/>
                <w:sz w:val="18"/>
                <w:szCs w:val="18"/>
                <w:color w:val="auto"/>
              </w:rPr>
              <w:t>Large accelerated filer</w:t>
            </w:r>
          </w:p>
        </w:tc>
        <w:tc>
          <w:tcPr>
            <w:tcW w:w="7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1240" w:type="dxa"/>
            <w:vAlign w:val="bottom"/>
          </w:tcPr>
          <w:p>
            <w:pPr>
              <w:spacing w:after="0"/>
              <w:rPr>
                <w:sz w:val="18"/>
                <w:szCs w:val="18"/>
                <w:color w:val="auto"/>
              </w:rPr>
            </w:pPr>
          </w:p>
        </w:tc>
        <w:tc>
          <w:tcPr>
            <w:tcW w:w="1880" w:type="dxa"/>
            <w:vAlign w:val="bottom"/>
            <w:gridSpan w:val="2"/>
          </w:tcPr>
          <w:p>
            <w:pPr>
              <w:ind w:left="660"/>
              <w:spacing w:after="0"/>
              <w:rPr>
                <w:sz w:val="20"/>
                <w:szCs w:val="20"/>
                <w:color w:val="auto"/>
              </w:rPr>
            </w:pPr>
            <w:r>
              <w:rPr>
                <w:rFonts w:ascii="Arial" w:cs="Arial" w:eastAsia="Arial" w:hAnsi="Arial"/>
                <w:sz w:val="18"/>
                <w:szCs w:val="18"/>
                <w:color w:val="auto"/>
                <w:w w:val="92"/>
              </w:rPr>
              <w:t>Accelerated filer</w:t>
            </w:r>
          </w:p>
        </w:tc>
        <w:tc>
          <w:tcPr>
            <w:tcW w:w="1120" w:type="dxa"/>
            <w:vAlign w:val="bottom"/>
          </w:tcPr>
          <w:p>
            <w:pPr>
              <w:spacing w:after="0"/>
              <w:rPr>
                <w:sz w:val="18"/>
                <w:szCs w:val="18"/>
                <w:color w:val="auto"/>
              </w:rPr>
            </w:pPr>
          </w:p>
        </w:tc>
        <w:tc>
          <w:tcPr>
            <w:tcW w:w="1800" w:type="dxa"/>
            <w:vAlign w:val="bottom"/>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1560" w:type="dxa"/>
            <w:vAlign w:val="bottom"/>
          </w:tcPr>
          <w:p>
            <w:pPr>
              <w:spacing w:after="0"/>
              <w:rPr>
                <w:sz w:val="18"/>
                <w:szCs w:val="18"/>
                <w:color w:val="auto"/>
              </w:rPr>
            </w:pPr>
          </w:p>
        </w:tc>
      </w:tr>
      <w:tr>
        <w:trPr>
          <w:trHeight w:val="275"/>
        </w:trPr>
        <w:tc>
          <w:tcPr>
            <w:tcW w:w="20" w:type="dxa"/>
            <w:vAlign w:val="bottom"/>
          </w:tcPr>
          <w:p>
            <w:pPr>
              <w:spacing w:after="0"/>
              <w:rPr>
                <w:sz w:val="23"/>
                <w:szCs w:val="23"/>
                <w:color w:val="auto"/>
              </w:rPr>
            </w:pPr>
          </w:p>
        </w:tc>
        <w:tc>
          <w:tcPr>
            <w:tcW w:w="3060" w:type="dxa"/>
            <w:vAlign w:val="bottom"/>
          </w:tcPr>
          <w:p>
            <w:pPr>
              <w:ind w:left="1120"/>
              <w:spacing w:after="0"/>
              <w:rPr>
                <w:sz w:val="20"/>
                <w:szCs w:val="20"/>
                <w:color w:val="auto"/>
              </w:rPr>
            </w:pPr>
            <w:r>
              <w:rPr>
                <w:rFonts w:ascii="Arial" w:cs="Arial" w:eastAsia="Arial" w:hAnsi="Arial"/>
                <w:sz w:val="18"/>
                <w:szCs w:val="18"/>
                <w:color w:val="auto"/>
              </w:rPr>
              <w:t>Non-accelerated filer</w:t>
            </w:r>
          </w:p>
        </w:tc>
        <w:tc>
          <w:tcPr>
            <w:tcW w:w="7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1240" w:type="dxa"/>
            <w:vAlign w:val="bottom"/>
          </w:tcPr>
          <w:p>
            <w:pPr>
              <w:spacing w:after="0"/>
              <w:rPr>
                <w:sz w:val="23"/>
                <w:szCs w:val="23"/>
                <w:color w:val="auto"/>
              </w:rPr>
            </w:pPr>
          </w:p>
        </w:tc>
        <w:tc>
          <w:tcPr>
            <w:tcW w:w="3000" w:type="dxa"/>
            <w:vAlign w:val="bottom"/>
            <w:gridSpan w:val="3"/>
          </w:tcPr>
          <w:p>
            <w:pPr>
              <w:ind w:left="660"/>
              <w:spacing w:after="0"/>
              <w:rPr>
                <w:sz w:val="20"/>
                <w:szCs w:val="20"/>
                <w:color w:val="auto"/>
              </w:rPr>
            </w:pPr>
            <w:r>
              <w:rPr>
                <w:rFonts w:ascii="Arial" w:cs="Arial" w:eastAsia="Arial" w:hAnsi="Arial"/>
                <w:sz w:val="18"/>
                <w:szCs w:val="18"/>
                <w:color w:val="auto"/>
              </w:rPr>
              <w:t>Smaller reporting company</w:t>
            </w:r>
          </w:p>
        </w:tc>
        <w:tc>
          <w:tcPr>
            <w:tcW w:w="1800" w:type="dxa"/>
            <w:vAlign w:val="bottom"/>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1560" w:type="dxa"/>
            <w:vAlign w:val="bottom"/>
          </w:tcPr>
          <w:p>
            <w:pPr>
              <w:spacing w:after="0"/>
              <w:rPr>
                <w:sz w:val="23"/>
                <w:szCs w:val="23"/>
                <w:color w:val="auto"/>
              </w:rPr>
            </w:pPr>
          </w:p>
        </w:tc>
      </w:tr>
      <w:tr>
        <w:trPr>
          <w:trHeight w:val="359"/>
        </w:trPr>
        <w:tc>
          <w:tcPr>
            <w:tcW w:w="20" w:type="dxa"/>
            <w:vAlign w:val="bottom"/>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4"/>
          </w:tcPr>
          <w:p>
            <w:pPr>
              <w:ind w:left="200"/>
              <w:spacing w:after="0"/>
              <w:rPr>
                <w:sz w:val="20"/>
                <w:szCs w:val="20"/>
                <w:color w:val="auto"/>
              </w:rPr>
            </w:pPr>
            <w:r>
              <w:rPr>
                <w:rFonts w:ascii="Arial" w:cs="Arial" w:eastAsia="Arial" w:hAnsi="Arial"/>
                <w:sz w:val="18"/>
                <w:szCs w:val="18"/>
                <w:b w:val="1"/>
                <w:bCs w:val="1"/>
                <w:color w:val="auto"/>
              </w:rPr>
              <w:t>CALCULATION OF REGISTRATION FEE</w:t>
            </w:r>
          </w:p>
        </w:tc>
        <w:tc>
          <w:tcPr>
            <w:tcW w:w="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jc w:val="center"/>
              <w:ind w:left="30"/>
              <w:spacing w:after="0" w:line="118" w:lineRule="exact"/>
              <w:rPr>
                <w:sz w:val="20"/>
                <w:szCs w:val="20"/>
                <w:color w:val="auto"/>
              </w:rPr>
            </w:pPr>
            <w:r>
              <w:rPr>
                <w:rFonts w:ascii="Arial" w:cs="Arial" w:eastAsia="Arial" w:hAnsi="Arial"/>
                <w:sz w:val="12"/>
                <w:szCs w:val="12"/>
                <w:b w:val="1"/>
                <w:bCs w:val="1"/>
                <w:color w:val="auto"/>
                <w:w w:val="97"/>
              </w:rPr>
              <w:t>Proposed</w:t>
            </w:r>
          </w:p>
        </w:tc>
        <w:tc>
          <w:tcPr>
            <w:tcW w:w="15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Proposed</w:t>
            </w:r>
          </w:p>
        </w:tc>
        <w:tc>
          <w:tcPr>
            <w:tcW w:w="20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30"/>
              <w:spacing w:after="0" w:line="149" w:lineRule="exact"/>
              <w:rPr>
                <w:sz w:val="20"/>
                <w:szCs w:val="20"/>
                <w:color w:val="auto"/>
              </w:rPr>
            </w:pPr>
            <w:r>
              <w:rPr>
                <w:rFonts w:ascii="Arial" w:cs="Arial" w:eastAsia="Arial" w:hAnsi="Arial"/>
                <w:sz w:val="14"/>
                <w:szCs w:val="14"/>
                <w:b w:val="1"/>
                <w:bCs w:val="1"/>
                <w:color w:val="auto"/>
                <w:w w:val="88"/>
              </w:rPr>
              <w:t>maximum</w:t>
            </w:r>
          </w:p>
        </w:tc>
        <w:tc>
          <w:tcPr>
            <w:tcW w:w="15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Amount to be</w:t>
            </w:r>
          </w:p>
        </w:tc>
        <w:tc>
          <w:tcPr>
            <w:tcW w:w="2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maximum offering</w:t>
            </w:r>
          </w:p>
        </w:tc>
        <w:tc>
          <w:tcPr>
            <w:tcW w:w="20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83"/>
              </w:rPr>
              <w:t>aggregate</w:t>
            </w:r>
          </w:p>
        </w:tc>
        <w:tc>
          <w:tcPr>
            <w:tcW w:w="1560" w:type="dxa"/>
            <w:vAlign w:val="bottom"/>
          </w:tcPr>
          <w:p>
            <w:pPr>
              <w:jc w:val="center"/>
              <w:ind w:left="26"/>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75"/>
        </w:trPr>
        <w:tc>
          <w:tcPr>
            <w:tcW w:w="20" w:type="dxa"/>
            <w:vAlign w:val="bottom"/>
          </w:tcPr>
          <w:p>
            <w:pPr>
              <w:spacing w:after="0"/>
              <w:rPr>
                <w:sz w:val="15"/>
                <w:szCs w:val="15"/>
                <w:color w:val="auto"/>
              </w:rPr>
            </w:pPr>
          </w:p>
        </w:tc>
        <w:tc>
          <w:tcPr>
            <w:tcW w:w="3800" w:type="dxa"/>
            <w:vAlign w:val="bottom"/>
            <w:tcBorders>
              <w:bottom w:val="single" w:sz="8" w:color="auto"/>
            </w:tcBorders>
            <w:gridSpan w:val="2"/>
          </w:tcPr>
          <w:p>
            <w:pPr>
              <w:ind w:left="1540"/>
              <w:spacing w:after="0"/>
              <w:rPr>
                <w:sz w:val="20"/>
                <w:szCs w:val="20"/>
                <w:color w:val="auto"/>
              </w:rPr>
            </w:pPr>
            <w:r>
              <w:rPr>
                <w:rFonts w:ascii="Arial" w:cs="Arial" w:eastAsia="Arial" w:hAnsi="Arial"/>
                <w:sz w:val="14"/>
                <w:szCs w:val="14"/>
                <w:b w:val="1"/>
                <w:bCs w:val="1"/>
                <w:color w:val="auto"/>
                <w:w w:val="99"/>
              </w:rPr>
              <w:t>Title of securities to be registered</w:t>
            </w:r>
          </w:p>
        </w:tc>
        <w:tc>
          <w:tcPr>
            <w:tcW w:w="124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registered (1) (2)</w:t>
            </w: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price per unit (1)</w:t>
            </w:r>
          </w:p>
        </w:tc>
        <w:tc>
          <w:tcPr>
            <w:tcW w:w="20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jc w:val="center"/>
              <w:ind w:left="30"/>
              <w:spacing w:after="0"/>
              <w:rPr>
                <w:sz w:val="20"/>
                <w:szCs w:val="20"/>
                <w:color w:val="auto"/>
              </w:rPr>
            </w:pPr>
            <w:r>
              <w:rPr>
                <w:rFonts w:ascii="Arial" w:cs="Arial" w:eastAsia="Arial" w:hAnsi="Arial"/>
                <w:sz w:val="14"/>
                <w:szCs w:val="14"/>
                <w:b w:val="1"/>
                <w:bCs w:val="1"/>
                <w:color w:val="auto"/>
                <w:w w:val="88"/>
              </w:rPr>
              <w:t>offering price(3)</w:t>
            </w:r>
          </w:p>
        </w:tc>
        <w:tc>
          <w:tcPr>
            <w:tcW w:w="1560" w:type="dxa"/>
            <w:vAlign w:val="bottom"/>
            <w:tcBorders>
              <w:bottom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87"/>
              </w:rPr>
              <w:t>registration fee(3)</w:t>
            </w:r>
          </w:p>
        </w:tc>
      </w:tr>
      <w:tr>
        <w:trPr>
          <w:trHeight w:val="210"/>
        </w:trPr>
        <w:tc>
          <w:tcPr>
            <w:tcW w:w="20" w:type="dxa"/>
            <w:vAlign w:val="bottom"/>
          </w:tcPr>
          <w:p>
            <w:pPr>
              <w:spacing w:after="0"/>
              <w:rPr>
                <w:sz w:val="18"/>
                <w:szCs w:val="18"/>
                <w:color w:val="auto"/>
              </w:rPr>
            </w:pPr>
          </w:p>
        </w:tc>
        <w:tc>
          <w:tcPr>
            <w:tcW w:w="3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Class A Common Stock, par value $0.01 per share</w:t>
            </w:r>
          </w:p>
        </w:tc>
        <w:tc>
          <w:tcPr>
            <w:tcW w:w="124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48,000,000</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$21.81</w:t>
            </w:r>
          </w:p>
        </w:tc>
        <w:tc>
          <w:tcPr>
            <w:tcW w:w="2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87"/>
              </w:rPr>
              <w:t>$1,046,880,000.00</w:t>
            </w:r>
          </w:p>
        </w:tc>
        <w:tc>
          <w:tcPr>
            <w:tcW w:w="1560" w:type="dxa"/>
            <w:vAlign w:val="bottom"/>
            <w:tcBorders>
              <w:bottom w:val="single" w:sz="8" w:color="auto"/>
            </w:tcBorders>
          </w:tcPr>
          <w:p>
            <w:pPr>
              <w:jc w:val="center"/>
              <w:ind w:left="6"/>
              <w:spacing w:after="0"/>
              <w:rPr>
                <w:sz w:val="20"/>
                <w:szCs w:val="20"/>
                <w:color w:val="auto"/>
              </w:rPr>
            </w:pPr>
            <w:r>
              <w:rPr>
                <w:rFonts w:ascii="Arial" w:cs="Arial" w:eastAsia="Arial" w:hAnsi="Arial"/>
                <w:sz w:val="18"/>
                <w:szCs w:val="18"/>
                <w:color w:val="auto"/>
                <w:w w:val="88"/>
              </w:rPr>
              <w:t>$41,142.38</w:t>
            </w:r>
          </w:p>
        </w:tc>
      </w:tr>
      <w:tr>
        <w:trPr>
          <w:trHeight w:val="20"/>
        </w:trPr>
        <w:tc>
          <w:tcPr>
            <w:tcW w:w="20" w:type="dxa"/>
            <w:vAlign w:val="bottom"/>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86" w:lineRule="exact"/>
        <w:rPr>
          <w:sz w:val="24"/>
          <w:szCs w:val="24"/>
          <w:color w:val="auto"/>
        </w:rPr>
      </w:pPr>
    </w:p>
    <w:p>
      <w:pPr>
        <w:ind w:left="460" w:right="100" w:hanging="452"/>
        <w:spacing w:after="0" w:line="283"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This registration statement (the “Registration Statement”) registers the issuance of 48,000,000 shares of Class A Common Stock (the “Common Stock”) of Comcast Corporation (the “Registrant”), par value $0.01, 14,000,000 of which are issuable pursuant to the Comcast Corporation 2002 Restricted Stock Plan, as amended and restated (the “Restricted Stock Plan”) and 34,000,000 of which are issuable pursuant to the Comcast Corporation 2003 Stock Option Plan (the “Stock Option Plan”, and together with the Restricted Stock Plan, the “Plans”).</w:t>
      </w:r>
    </w:p>
    <w:p>
      <w:pPr>
        <w:spacing w:after="0" w:line="2" w:lineRule="exact"/>
        <w:rPr>
          <w:rFonts w:ascii="Arial" w:cs="Arial" w:eastAsia="Arial" w:hAnsi="Arial"/>
          <w:sz w:val="16"/>
          <w:szCs w:val="16"/>
          <w:color w:val="auto"/>
        </w:rPr>
      </w:pPr>
    </w:p>
    <w:p>
      <w:pPr>
        <w:ind w:left="460" w:right="26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there shall also be deemed covered hereby such additional shares as may result from anti-dilution adjustments under the Plans and which may hereinafter be offered or issued to prevent dilution resulting from stock splits, stock dividends, recapitalizations or certain other capital adjustments.</w:t>
      </w:r>
    </w:p>
    <w:p>
      <w:pPr>
        <w:spacing w:after="0" w:line="1" w:lineRule="exact"/>
        <w:rPr>
          <w:rFonts w:ascii="Arial" w:cs="Arial" w:eastAsia="Arial" w:hAnsi="Arial"/>
          <w:sz w:val="18"/>
          <w:szCs w:val="18"/>
          <w:color w:val="auto"/>
        </w:rPr>
      </w:pPr>
    </w:p>
    <w:p>
      <w:pPr>
        <w:ind w:left="460" w:hanging="452"/>
        <w:spacing w:after="0" w:line="323"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pursuant to paragraphs (c) and (h) of Rule 457 of the Securities Act of 1933, as amended, solely for the purpose of calculating the registration fee on the basis of the high and low sales prices of shares of Class A Common Stock on the Nasdaq National Market on May 9,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EXPLANATORY NOTE</w:t>
      </w:r>
    </w:p>
    <w:p>
      <w:pPr>
        <w:spacing w:after="0" w:line="177" w:lineRule="exact"/>
        <w:rPr>
          <w:sz w:val="20"/>
          <w:szCs w:val="20"/>
          <w:color w:val="auto"/>
        </w:rPr>
      </w:pPr>
    </w:p>
    <w:p>
      <w:pPr>
        <w:ind w:right="180"/>
        <w:spacing w:after="0" w:line="302" w:lineRule="auto"/>
        <w:rPr>
          <w:sz w:val="20"/>
          <w:szCs w:val="20"/>
          <w:color w:val="auto"/>
        </w:rPr>
      </w:pPr>
      <w:r>
        <w:rPr>
          <w:rFonts w:ascii="Arial" w:cs="Arial" w:eastAsia="Arial" w:hAnsi="Arial"/>
          <w:sz w:val="15"/>
          <w:szCs w:val="15"/>
          <w:color w:val="auto"/>
        </w:rPr>
        <w:t>Pursuant to General Instruction E of Form S-8, this registration statement on Form S-8 (the “Registration Statement”) is being filed in order to register an additional 14,000,000 shares of the Registrant’s Class A Common Stock, par value $0.01 per share, which are securities of the same class and relate to the same employee benefit plan, the Comcast Corporation 2002 Restricted Stock Plan, as amended and restated, as those shares registered on the Registrant’s registration statements on Form S-8 previously filed with the Commission on January 4, 2006 (Registration No. 333-130847), March 1, 2005 (Registration No. 333-</w:t>
      </w:r>
    </w:p>
    <w:p>
      <w:pPr>
        <w:spacing w:after="0" w:line="3"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123059), April 8, 2003 (Registration No. 333-104385), December 4, 2002 (Registration No. 333-101645) and November 19, 2002 (Registration No. 333-101295), as amended by post-effective amendment no. 1 filed on December 4, 2002), all of which are hereby incorporated by reference.</w:t>
      </w:r>
    </w:p>
    <w:p>
      <w:pPr>
        <w:spacing w:after="0" w:line="93"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Pursuant to General Instruction E of Form S-8, this Registration Statement is also being filed in order to register an additional 34,000,000 shares of the Registrant’s Class A Common Stock, par value $0.01 per share, which are securities of the same class and relate to the same employee benefit plan, the Comcast Corporation 2003 Stock Option Plan, as amended and restated, as those shares registered on the Registrant’s registration statement on Form S-8, previously filed with the Commission on April 8, 2003 (Registration No. 333-104385), which is hereby incorporated by reference.</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Exhibits.</w:t>
      </w:r>
    </w:p>
    <w:p>
      <w:pPr>
        <w:spacing w:after="0" w:line="218"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Pepper Hamilton LLP.</w:t>
      </w:r>
    </w:p>
    <w:p>
      <w:pPr>
        <w:spacing w:after="0" w:line="117"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Opinion of Pepper Hamilton LLP.</w:t>
      </w:r>
    </w:p>
    <w:p>
      <w:pPr>
        <w:spacing w:after="0" w:line="117"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Deloitte &amp; Touche LLP.</w:t>
      </w:r>
    </w:p>
    <w:p>
      <w:pPr>
        <w:spacing w:after="0" w:line="117"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Pepper Hamilton LLP (contained in Exhibits 5.1 and 5.2).</w:t>
      </w:r>
    </w:p>
    <w:p>
      <w:pPr>
        <w:spacing w:after="0" w:line="117"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5"/>
          <w:szCs w:val="15"/>
          <w:color w:val="auto"/>
        </w:rPr>
        <w:t>Power of Attorney (contained in the signature pages hereto).</w:t>
      </w:r>
    </w:p>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Commonwealth of Pennsylvania, on May 14, 2008.</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R. Block</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Arthur R. Block, Senior Vice</w:t>
            </w:r>
          </w:p>
        </w:tc>
      </w:tr>
      <w:tr>
        <w:trPr>
          <w:trHeight w:val="222"/>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President, General Counsel and Secretary</w:t>
            </w:r>
          </w:p>
        </w:tc>
      </w:tr>
    </w:tbl>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KNOW ALL MEN BY THESE PRESENTS, that each person whose signature appears below hereby constitutes and appoints each of David L. Cohen, Michael J. Angelakis, Arthur R. Block and Lawrence J. Salva his true and lawful attorney-in-fact and agent, with full power of substitution and resubstitution, for him and in his name, place and stead, in any and all capacities, to sign any and all amendments (including post-effective amendments) to this registration statement, and to file the same, with exhibits thereto, and other documents in connection therewith, with the Securities and Exchange Commission, granting unto said attorney-in-fact and agent full power and authority to do and perform each and every act and thing requisite and necessary to be done, as fully to all intents and purposes as he might or could do in person, hereby ratifying and confirming all that said attorney-in-fact and agent or either of them, or their or his substitute or substitutes, may lawfully do or cause to be done by virtue hereof.</w:t>
      </w:r>
    </w:p>
    <w:p>
      <w:pPr>
        <w:spacing w:after="0" w:line="11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0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Signature</w:t>
            </w:r>
          </w:p>
        </w:tc>
        <w:tc>
          <w:tcPr>
            <w:tcW w:w="240" w:type="dxa"/>
            <w:vAlign w:val="bottom"/>
          </w:tcPr>
          <w:p>
            <w:pPr>
              <w:spacing w:after="0"/>
              <w:rPr>
                <w:sz w:val="15"/>
                <w:szCs w:val="15"/>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Title</w:t>
            </w:r>
          </w:p>
        </w:tc>
        <w:tc>
          <w:tcPr>
            <w:tcW w:w="220" w:type="dxa"/>
            <w:vAlign w:val="bottom"/>
          </w:tcPr>
          <w:p>
            <w:pPr>
              <w:spacing w:after="0"/>
              <w:rPr>
                <w:sz w:val="15"/>
                <w:szCs w:val="15"/>
                <w:color w:val="auto"/>
              </w:rPr>
            </w:pPr>
          </w:p>
        </w:tc>
        <w:tc>
          <w:tcPr>
            <w:tcW w:w="3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r>
      <w:tr>
        <w:trPr>
          <w:trHeight w:val="424"/>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L. Roberts</w:t>
            </w:r>
          </w:p>
        </w:tc>
        <w:tc>
          <w:tcPr>
            <w:tcW w:w="24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89"/>
              </w:rPr>
              <w:t>Chairman and CEO; Director</w:t>
            </w:r>
          </w:p>
        </w:tc>
        <w:tc>
          <w:tcPr>
            <w:tcW w:w="220" w:type="dxa"/>
            <w:vAlign w:val="bottom"/>
          </w:tcPr>
          <w:p>
            <w:pPr>
              <w:spacing w:after="0"/>
              <w:rPr>
                <w:sz w:val="24"/>
                <w:szCs w:val="24"/>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89"/>
              </w:rPr>
              <w:t>May 14, 2008</w:t>
            </w: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Brian L. Roberts</w:t>
            </w:r>
          </w:p>
        </w:tc>
        <w:tc>
          <w:tcPr>
            <w:tcW w:w="240" w:type="dxa"/>
            <w:vAlign w:val="bottom"/>
          </w:tcPr>
          <w:p>
            <w:pPr>
              <w:spacing w:after="0"/>
              <w:rPr>
                <w:sz w:val="19"/>
                <w:szCs w:val="19"/>
                <w:color w:val="auto"/>
              </w:rPr>
            </w:pPr>
          </w:p>
        </w:tc>
        <w:tc>
          <w:tcPr>
            <w:tcW w:w="3660" w:type="dxa"/>
            <w:vAlign w:val="bottom"/>
          </w:tcPr>
          <w:p>
            <w:pPr>
              <w:jc w:val="center"/>
              <w:spacing w:after="0" w:line="202" w:lineRule="exact"/>
              <w:rPr>
                <w:sz w:val="20"/>
                <w:szCs w:val="20"/>
                <w:color w:val="auto"/>
              </w:rPr>
            </w:pPr>
            <w:r>
              <w:rPr>
                <w:rFonts w:ascii="Arial" w:cs="Arial" w:eastAsia="Arial" w:hAnsi="Arial"/>
                <w:sz w:val="18"/>
                <w:szCs w:val="18"/>
                <w:color w:val="auto"/>
                <w:w w:val="91"/>
              </w:rPr>
              <w:t>(Principal Executive Director)</w:t>
            </w:r>
          </w:p>
        </w:tc>
        <w:tc>
          <w:tcPr>
            <w:tcW w:w="220" w:type="dxa"/>
            <w:vAlign w:val="bottom"/>
          </w:tcPr>
          <w:p>
            <w:pPr>
              <w:spacing w:after="0"/>
              <w:rPr>
                <w:sz w:val="19"/>
                <w:szCs w:val="19"/>
                <w:color w:val="auto"/>
              </w:rPr>
            </w:pPr>
          </w:p>
        </w:tc>
        <w:tc>
          <w:tcPr>
            <w:tcW w:w="3300" w:type="dxa"/>
            <w:vAlign w:val="bottom"/>
          </w:tcPr>
          <w:p>
            <w:pPr>
              <w:spacing w:after="0"/>
              <w:rPr>
                <w:sz w:val="19"/>
                <w:szCs w:val="19"/>
                <w:color w:val="auto"/>
              </w:rPr>
            </w:pPr>
          </w:p>
        </w:tc>
      </w:tr>
      <w:tr>
        <w:trPr>
          <w:trHeight w:val="432"/>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Ralph J. Roberts</w:t>
            </w:r>
          </w:p>
        </w:tc>
        <w:tc>
          <w:tcPr>
            <w:tcW w:w="24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88"/>
              </w:rPr>
              <w:t>Chairman of the Executive and Finance</w:t>
            </w:r>
          </w:p>
        </w:tc>
        <w:tc>
          <w:tcPr>
            <w:tcW w:w="220" w:type="dxa"/>
            <w:vAlign w:val="bottom"/>
          </w:tcPr>
          <w:p>
            <w:pPr>
              <w:spacing w:after="0"/>
              <w:rPr>
                <w:sz w:val="24"/>
                <w:szCs w:val="24"/>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89"/>
              </w:rPr>
              <w:t>May 14, 2008</w:t>
            </w: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Ralph J. Roberts</w:t>
            </w:r>
          </w:p>
        </w:tc>
        <w:tc>
          <w:tcPr>
            <w:tcW w:w="240" w:type="dxa"/>
            <w:vAlign w:val="bottom"/>
          </w:tcPr>
          <w:p>
            <w:pPr>
              <w:spacing w:after="0"/>
              <w:rPr>
                <w:sz w:val="19"/>
                <w:szCs w:val="19"/>
                <w:color w:val="auto"/>
              </w:rPr>
            </w:pPr>
          </w:p>
        </w:tc>
        <w:tc>
          <w:tcPr>
            <w:tcW w:w="3660" w:type="dxa"/>
            <w:vAlign w:val="bottom"/>
          </w:tcPr>
          <w:p>
            <w:pPr>
              <w:jc w:val="center"/>
              <w:spacing w:after="0" w:line="202" w:lineRule="exact"/>
              <w:rPr>
                <w:sz w:val="20"/>
                <w:szCs w:val="20"/>
                <w:color w:val="auto"/>
              </w:rPr>
            </w:pPr>
            <w:r>
              <w:rPr>
                <w:rFonts w:ascii="Arial" w:cs="Arial" w:eastAsia="Arial" w:hAnsi="Arial"/>
                <w:sz w:val="18"/>
                <w:szCs w:val="18"/>
                <w:color w:val="auto"/>
                <w:w w:val="90"/>
              </w:rPr>
              <w:t>Committee of the Board of Directors; Director</w:t>
            </w:r>
          </w:p>
        </w:tc>
        <w:tc>
          <w:tcPr>
            <w:tcW w:w="220" w:type="dxa"/>
            <w:vAlign w:val="bottom"/>
          </w:tcPr>
          <w:p>
            <w:pPr>
              <w:spacing w:after="0"/>
              <w:rPr>
                <w:sz w:val="19"/>
                <w:szCs w:val="19"/>
                <w:color w:val="auto"/>
              </w:rPr>
            </w:pPr>
          </w:p>
        </w:tc>
        <w:tc>
          <w:tcPr>
            <w:tcW w:w="3300" w:type="dxa"/>
            <w:vAlign w:val="bottom"/>
          </w:tcPr>
          <w:p>
            <w:pPr>
              <w:spacing w:after="0"/>
              <w:rPr>
                <w:sz w:val="19"/>
                <w:szCs w:val="19"/>
                <w:color w:val="auto"/>
              </w:rPr>
            </w:pPr>
          </w:p>
        </w:tc>
      </w:tr>
      <w:tr>
        <w:trPr>
          <w:trHeight w:val="433"/>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Julian A. Brodsky</w:t>
            </w:r>
          </w:p>
        </w:tc>
        <w:tc>
          <w:tcPr>
            <w:tcW w:w="24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Non-Executive Vice Chairman; Director</w:t>
            </w:r>
          </w:p>
        </w:tc>
        <w:tc>
          <w:tcPr>
            <w:tcW w:w="220" w:type="dxa"/>
            <w:vAlign w:val="bottom"/>
          </w:tcPr>
          <w:p>
            <w:pPr>
              <w:spacing w:after="0"/>
              <w:rPr>
                <w:sz w:val="24"/>
                <w:szCs w:val="24"/>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89"/>
              </w:rPr>
              <w:t>May 14, 2008</w:t>
            </w:r>
          </w:p>
        </w:tc>
      </w:t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Julian A. Brodsky</w:t>
            </w:r>
          </w:p>
        </w:tc>
        <w:tc>
          <w:tcPr>
            <w:tcW w:w="2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00" w:type="dxa"/>
            <w:vAlign w:val="bottom"/>
          </w:tcPr>
          <w:p>
            <w:pPr>
              <w:spacing w:after="0"/>
              <w:rPr>
                <w:sz w:val="19"/>
                <w:szCs w:val="19"/>
                <w:color w:val="auto"/>
              </w:rPr>
            </w:pPr>
          </w:p>
        </w:tc>
      </w:tr>
      <w:tr>
        <w:trPr>
          <w:trHeight w:val="432"/>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Angelakis</w:t>
            </w:r>
          </w:p>
        </w:tc>
        <w:tc>
          <w:tcPr>
            <w:tcW w:w="24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88"/>
              </w:rPr>
              <w:t>Executive Vice President</w:t>
            </w:r>
          </w:p>
        </w:tc>
        <w:tc>
          <w:tcPr>
            <w:tcW w:w="220" w:type="dxa"/>
            <w:vAlign w:val="bottom"/>
          </w:tcPr>
          <w:p>
            <w:pPr>
              <w:spacing w:after="0"/>
              <w:rPr>
                <w:sz w:val="24"/>
                <w:szCs w:val="24"/>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89"/>
              </w:rPr>
              <w:t>May 14, 2008</w:t>
            </w: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Michael J. Angelakis</w:t>
            </w:r>
          </w:p>
        </w:tc>
        <w:tc>
          <w:tcPr>
            <w:tcW w:w="240" w:type="dxa"/>
            <w:vAlign w:val="bottom"/>
          </w:tcPr>
          <w:p>
            <w:pPr>
              <w:spacing w:after="0"/>
              <w:rPr>
                <w:sz w:val="19"/>
                <w:szCs w:val="19"/>
                <w:color w:val="auto"/>
              </w:rPr>
            </w:pPr>
          </w:p>
        </w:tc>
        <w:tc>
          <w:tcPr>
            <w:tcW w:w="3660" w:type="dxa"/>
            <w:vAlign w:val="bottom"/>
          </w:tcPr>
          <w:p>
            <w:pPr>
              <w:jc w:val="center"/>
              <w:spacing w:after="0" w:line="202" w:lineRule="exact"/>
              <w:rPr>
                <w:sz w:val="20"/>
                <w:szCs w:val="20"/>
                <w:color w:val="auto"/>
              </w:rPr>
            </w:pPr>
            <w:r>
              <w:rPr>
                <w:rFonts w:ascii="Arial" w:cs="Arial" w:eastAsia="Arial" w:hAnsi="Arial"/>
                <w:sz w:val="18"/>
                <w:szCs w:val="18"/>
                <w:color w:val="auto"/>
                <w:w w:val="92"/>
              </w:rPr>
              <w:t>(Principal Financial Officer)</w:t>
            </w:r>
          </w:p>
        </w:tc>
        <w:tc>
          <w:tcPr>
            <w:tcW w:w="220" w:type="dxa"/>
            <w:vAlign w:val="bottom"/>
          </w:tcPr>
          <w:p>
            <w:pPr>
              <w:spacing w:after="0"/>
              <w:rPr>
                <w:sz w:val="19"/>
                <w:szCs w:val="19"/>
                <w:color w:val="auto"/>
              </w:rPr>
            </w:pPr>
          </w:p>
        </w:tc>
        <w:tc>
          <w:tcPr>
            <w:tcW w:w="3300" w:type="dxa"/>
            <w:vAlign w:val="bottom"/>
          </w:tcPr>
          <w:p>
            <w:pPr>
              <w:spacing w:after="0"/>
              <w:rPr>
                <w:sz w:val="19"/>
                <w:szCs w:val="19"/>
                <w:color w:val="auto"/>
              </w:rPr>
            </w:pPr>
          </w:p>
        </w:tc>
      </w:tr>
    </w:tbl>
    <w:p>
      <w:pPr>
        <w:sectPr>
          <w:pgSz w:w="11900" w:h="16838" w:orient="portrait"/>
          <w:cols w:equalWidth="0" w:num="1">
            <w:col w:w="11420"/>
          </w:cols>
          <w:pgMar w:left="240" w:top="280"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400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Signature</w:t>
            </w:r>
          </w:p>
        </w:tc>
        <w:tc>
          <w:tcPr>
            <w:tcW w:w="240" w:type="dxa"/>
            <w:vAlign w:val="bottom"/>
          </w:tcPr>
          <w:p>
            <w:pPr>
              <w:spacing w:after="0"/>
              <w:rPr>
                <w:sz w:val="15"/>
                <w:szCs w:val="15"/>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Title</w:t>
            </w:r>
          </w:p>
        </w:tc>
        <w:tc>
          <w:tcPr>
            <w:tcW w:w="220" w:type="dxa"/>
            <w:vAlign w:val="bottom"/>
          </w:tcPr>
          <w:p>
            <w:pPr>
              <w:spacing w:after="0"/>
              <w:rPr>
                <w:sz w:val="15"/>
                <w:szCs w:val="15"/>
                <w:color w:val="auto"/>
              </w:rPr>
            </w:pPr>
          </w:p>
        </w:tc>
        <w:tc>
          <w:tcPr>
            <w:tcW w:w="3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418"/>
        </w:trPr>
        <w:tc>
          <w:tcPr>
            <w:tcW w:w="4000" w:type="dxa"/>
            <w:vAlign w:val="bottom"/>
            <w:vMerge w:val="restart"/>
          </w:tcPr>
          <w:p>
            <w:pPr>
              <w:spacing w:after="0"/>
              <w:rPr>
                <w:sz w:val="20"/>
                <w:szCs w:val="20"/>
                <w:color w:val="auto"/>
              </w:rPr>
            </w:pPr>
            <w:r>
              <w:rPr>
                <w:rFonts w:ascii="Arial" w:cs="Arial" w:eastAsia="Arial" w:hAnsi="Arial"/>
                <w:sz w:val="18"/>
                <w:szCs w:val="18"/>
                <w:color w:val="auto"/>
              </w:rPr>
              <w:t>/s/ Lawrence J. Salva</w:t>
            </w:r>
          </w:p>
        </w:tc>
        <w:tc>
          <w:tcPr>
            <w:tcW w:w="24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89"/>
              </w:rPr>
              <w:t>Senior Vice President, Chief Accounting</w:t>
            </w:r>
          </w:p>
        </w:tc>
        <w:tc>
          <w:tcPr>
            <w:tcW w:w="220" w:type="dxa"/>
            <w:vAlign w:val="bottom"/>
          </w:tcPr>
          <w:p>
            <w:pPr>
              <w:spacing w:after="0"/>
              <w:rPr>
                <w:sz w:val="24"/>
                <w:szCs w:val="24"/>
                <w:color w:val="auto"/>
              </w:rPr>
            </w:pPr>
          </w:p>
        </w:tc>
        <w:tc>
          <w:tcPr>
            <w:tcW w:w="3300" w:type="dxa"/>
            <w:vAlign w:val="bottom"/>
            <w:vMerge w:val="restart"/>
          </w:tcPr>
          <w:p>
            <w:pPr>
              <w:jc w:val="center"/>
              <w:spacing w:after="0"/>
              <w:rPr>
                <w:sz w:val="20"/>
                <w:szCs w:val="20"/>
                <w:color w:val="auto"/>
              </w:rPr>
            </w:pPr>
            <w:r>
              <w:rPr>
                <w:rFonts w:ascii="Arial" w:cs="Arial" w:eastAsia="Arial" w:hAnsi="Arial"/>
                <w:sz w:val="18"/>
                <w:szCs w:val="18"/>
                <w:color w:val="auto"/>
                <w:w w:val="89"/>
              </w:rPr>
              <w:t>May 14, 2008</w:t>
            </w:r>
          </w:p>
        </w:tc>
        <w:tc>
          <w:tcPr>
            <w:tcW w:w="0" w:type="dxa"/>
            <w:vAlign w:val="bottom"/>
          </w:tcPr>
          <w:p>
            <w:pPr>
              <w:spacing w:after="0"/>
              <w:rPr>
                <w:sz w:val="1"/>
                <w:szCs w:val="1"/>
                <w:color w:val="auto"/>
              </w:rPr>
            </w:pPr>
          </w:p>
        </w:tc>
      </w:tr>
      <w:tr>
        <w:trPr>
          <w:trHeight w:val="108"/>
        </w:trPr>
        <w:tc>
          <w:tcPr>
            <w:tcW w:w="4000" w:type="dxa"/>
            <w:vAlign w:val="bottom"/>
            <w:tcBorders>
              <w:bottom w:val="single" w:sz="8" w:color="auto"/>
            </w:tcBorders>
            <w:vMerge w:val="continue"/>
          </w:tcPr>
          <w:p>
            <w:pPr>
              <w:spacing w:after="0"/>
              <w:rPr>
                <w:sz w:val="8"/>
                <w:szCs w:val="8"/>
                <w:color w:val="auto"/>
              </w:rPr>
            </w:pPr>
          </w:p>
        </w:tc>
        <w:tc>
          <w:tcPr>
            <w:tcW w:w="240" w:type="dxa"/>
            <w:vAlign w:val="bottom"/>
          </w:tcPr>
          <w:p>
            <w:pPr>
              <w:spacing w:after="0"/>
              <w:rPr>
                <w:sz w:val="8"/>
                <w:szCs w:val="8"/>
                <w:color w:val="auto"/>
              </w:rPr>
            </w:pPr>
          </w:p>
        </w:tc>
        <w:tc>
          <w:tcPr>
            <w:tcW w:w="3660" w:type="dxa"/>
            <w:vAlign w:val="bottom"/>
            <w:vMerge w:val="restart"/>
          </w:tcPr>
          <w:p>
            <w:pPr>
              <w:jc w:val="center"/>
              <w:spacing w:after="0"/>
              <w:rPr>
                <w:sz w:val="20"/>
                <w:szCs w:val="20"/>
                <w:color w:val="auto"/>
              </w:rPr>
            </w:pPr>
            <w:r>
              <w:rPr>
                <w:rFonts w:ascii="Arial" w:cs="Arial" w:eastAsia="Arial" w:hAnsi="Arial"/>
                <w:sz w:val="18"/>
                <w:szCs w:val="18"/>
                <w:color w:val="auto"/>
                <w:w w:val="91"/>
              </w:rPr>
              <w:t>Officer and Controller</w:t>
            </w:r>
          </w:p>
        </w:tc>
        <w:tc>
          <w:tcPr>
            <w:tcW w:w="220" w:type="dxa"/>
            <w:vAlign w:val="bottom"/>
          </w:tcPr>
          <w:p>
            <w:pPr>
              <w:spacing w:after="0"/>
              <w:rPr>
                <w:sz w:val="8"/>
                <w:szCs w:val="8"/>
                <w:color w:val="auto"/>
              </w:rPr>
            </w:pPr>
          </w:p>
        </w:tc>
        <w:tc>
          <w:tcPr>
            <w:tcW w:w="3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00" w:type="dxa"/>
            <w:vAlign w:val="bottom"/>
            <w:vMerge w:val="restart"/>
          </w:tcPr>
          <w:p>
            <w:pPr>
              <w:spacing w:after="0"/>
              <w:rPr>
                <w:sz w:val="20"/>
                <w:szCs w:val="20"/>
                <w:color w:val="auto"/>
              </w:rPr>
            </w:pPr>
            <w:r>
              <w:rPr>
                <w:rFonts w:ascii="Arial" w:cs="Arial" w:eastAsia="Arial" w:hAnsi="Arial"/>
                <w:sz w:val="18"/>
                <w:szCs w:val="18"/>
                <w:color w:val="auto"/>
              </w:rPr>
              <w:t>Lawrence J. Salva</w:t>
            </w:r>
          </w:p>
        </w:tc>
        <w:tc>
          <w:tcPr>
            <w:tcW w:w="240" w:type="dxa"/>
            <w:vAlign w:val="bottom"/>
          </w:tcPr>
          <w:p>
            <w:pPr>
              <w:spacing w:after="0"/>
              <w:rPr>
                <w:sz w:val="8"/>
                <w:szCs w:val="8"/>
                <w:color w:val="auto"/>
              </w:rPr>
            </w:pPr>
          </w:p>
        </w:tc>
        <w:tc>
          <w:tcPr>
            <w:tcW w:w="3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3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40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3660" w:type="dxa"/>
            <w:vAlign w:val="bottom"/>
            <w:vMerge w:val="restart"/>
          </w:tcPr>
          <w:p>
            <w:pPr>
              <w:jc w:val="center"/>
              <w:spacing w:after="0"/>
              <w:rPr>
                <w:sz w:val="20"/>
                <w:szCs w:val="20"/>
                <w:color w:val="auto"/>
              </w:rPr>
            </w:pPr>
            <w:r>
              <w:rPr>
                <w:rFonts w:ascii="Arial" w:cs="Arial" w:eastAsia="Arial" w:hAnsi="Arial"/>
                <w:sz w:val="18"/>
                <w:szCs w:val="18"/>
                <w:color w:val="auto"/>
                <w:w w:val="92"/>
              </w:rPr>
              <w:t>(Principal Accounting Officer)</w:t>
            </w:r>
          </w:p>
        </w:tc>
        <w:tc>
          <w:tcPr>
            <w:tcW w:w="2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3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47"/>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 Decker Anstrom</w:t>
            </w:r>
          </w:p>
        </w:tc>
        <w:tc>
          <w:tcPr>
            <w:tcW w:w="24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20" w:type="dxa"/>
            <w:vAlign w:val="bottom"/>
          </w:tcPr>
          <w:p>
            <w:pPr>
              <w:spacing w:after="0"/>
              <w:rPr>
                <w:sz w:val="24"/>
                <w:szCs w:val="24"/>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89"/>
              </w:rPr>
              <w:t>May 14, 2008</w:t>
            </w:r>
          </w:p>
        </w:tc>
        <w:tc>
          <w:tcPr>
            <w:tcW w:w="0" w:type="dxa"/>
            <w:vAlign w:val="bottom"/>
          </w:tcPr>
          <w:p>
            <w:pPr>
              <w:spacing w:after="0"/>
              <w:rPr>
                <w:sz w:val="1"/>
                <w:szCs w:val="1"/>
                <w:color w:val="auto"/>
              </w:rPr>
            </w:pPr>
          </w:p>
        </w:tc>
      </w:t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S. Decker Anstrom</w:t>
            </w:r>
          </w:p>
        </w:tc>
        <w:tc>
          <w:tcPr>
            <w:tcW w:w="2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Kenneth J. Bacon</w:t>
            </w:r>
          </w:p>
        </w:tc>
        <w:tc>
          <w:tcPr>
            <w:tcW w:w="24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20" w:type="dxa"/>
            <w:vAlign w:val="bottom"/>
          </w:tcPr>
          <w:p>
            <w:pPr>
              <w:spacing w:after="0"/>
              <w:rPr>
                <w:sz w:val="24"/>
                <w:szCs w:val="24"/>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89"/>
              </w:rPr>
              <w:t>May 14, 2008</w:t>
            </w:r>
          </w:p>
        </w:tc>
        <w:tc>
          <w:tcPr>
            <w:tcW w:w="0" w:type="dxa"/>
            <w:vAlign w:val="bottom"/>
          </w:tcPr>
          <w:p>
            <w:pPr>
              <w:spacing w:after="0"/>
              <w:rPr>
                <w:sz w:val="1"/>
                <w:szCs w:val="1"/>
                <w:color w:val="auto"/>
              </w:rPr>
            </w:pPr>
          </w:p>
        </w:tc>
      </w:t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Kenneth J. Bacon</w:t>
            </w:r>
          </w:p>
        </w:tc>
        <w:tc>
          <w:tcPr>
            <w:tcW w:w="2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Sheldon M. Bonovitz</w:t>
            </w:r>
          </w:p>
        </w:tc>
        <w:tc>
          <w:tcPr>
            <w:tcW w:w="24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20" w:type="dxa"/>
            <w:vAlign w:val="bottom"/>
          </w:tcPr>
          <w:p>
            <w:pPr>
              <w:spacing w:after="0"/>
              <w:rPr>
                <w:sz w:val="24"/>
                <w:szCs w:val="24"/>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89"/>
              </w:rPr>
              <w:t>May 14, 2008</w:t>
            </w:r>
          </w:p>
        </w:tc>
        <w:tc>
          <w:tcPr>
            <w:tcW w:w="0" w:type="dxa"/>
            <w:vAlign w:val="bottom"/>
          </w:tcPr>
          <w:p>
            <w:pPr>
              <w:spacing w:after="0"/>
              <w:rPr>
                <w:sz w:val="1"/>
                <w:szCs w:val="1"/>
                <w:color w:val="auto"/>
              </w:rPr>
            </w:pPr>
          </w:p>
        </w:tc>
      </w:t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Sheldon M. Bonovitz</w:t>
            </w:r>
          </w:p>
        </w:tc>
        <w:tc>
          <w:tcPr>
            <w:tcW w:w="2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Breen</w:t>
            </w:r>
          </w:p>
        </w:tc>
        <w:tc>
          <w:tcPr>
            <w:tcW w:w="24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20" w:type="dxa"/>
            <w:vAlign w:val="bottom"/>
          </w:tcPr>
          <w:p>
            <w:pPr>
              <w:spacing w:after="0"/>
              <w:rPr>
                <w:sz w:val="24"/>
                <w:szCs w:val="24"/>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89"/>
              </w:rPr>
              <w:t>May 14, 2008</w:t>
            </w:r>
          </w:p>
        </w:tc>
        <w:tc>
          <w:tcPr>
            <w:tcW w:w="0" w:type="dxa"/>
            <w:vAlign w:val="bottom"/>
          </w:tcPr>
          <w:p>
            <w:pPr>
              <w:spacing w:after="0"/>
              <w:rPr>
                <w:sz w:val="1"/>
                <w:szCs w:val="1"/>
                <w:color w:val="auto"/>
              </w:rPr>
            </w:pPr>
          </w:p>
        </w:tc>
      </w:t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Edward Breen</w:t>
            </w:r>
          </w:p>
        </w:tc>
        <w:tc>
          <w:tcPr>
            <w:tcW w:w="2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J. Collins</w:t>
            </w:r>
          </w:p>
        </w:tc>
        <w:tc>
          <w:tcPr>
            <w:tcW w:w="24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20" w:type="dxa"/>
            <w:vAlign w:val="bottom"/>
          </w:tcPr>
          <w:p>
            <w:pPr>
              <w:spacing w:after="0"/>
              <w:rPr>
                <w:sz w:val="24"/>
                <w:szCs w:val="24"/>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89"/>
              </w:rPr>
              <w:t>May 14, 2008</w:t>
            </w:r>
          </w:p>
        </w:tc>
        <w:tc>
          <w:tcPr>
            <w:tcW w:w="0" w:type="dxa"/>
            <w:vAlign w:val="bottom"/>
          </w:tcPr>
          <w:p>
            <w:pPr>
              <w:spacing w:after="0"/>
              <w:rPr>
                <w:sz w:val="1"/>
                <w:szCs w:val="1"/>
                <w:color w:val="auto"/>
              </w:rPr>
            </w:pPr>
          </w:p>
        </w:tc>
      </w:t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Joseph J. Collins</w:t>
            </w:r>
          </w:p>
        </w:tc>
        <w:tc>
          <w:tcPr>
            <w:tcW w:w="2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 Michael Cook</w:t>
            </w:r>
          </w:p>
        </w:tc>
        <w:tc>
          <w:tcPr>
            <w:tcW w:w="24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20" w:type="dxa"/>
            <w:vAlign w:val="bottom"/>
          </w:tcPr>
          <w:p>
            <w:pPr>
              <w:spacing w:after="0"/>
              <w:rPr>
                <w:sz w:val="24"/>
                <w:szCs w:val="24"/>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89"/>
              </w:rPr>
              <w:t>May 14, 2008</w:t>
            </w:r>
          </w:p>
        </w:tc>
        <w:tc>
          <w:tcPr>
            <w:tcW w:w="0" w:type="dxa"/>
            <w:vAlign w:val="bottom"/>
          </w:tcPr>
          <w:p>
            <w:pPr>
              <w:spacing w:after="0"/>
              <w:rPr>
                <w:sz w:val="1"/>
                <w:szCs w:val="1"/>
                <w:color w:val="auto"/>
              </w:rPr>
            </w:pPr>
          </w:p>
        </w:tc>
      </w:t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J. Michael Cook</w:t>
            </w:r>
          </w:p>
        </w:tc>
        <w:tc>
          <w:tcPr>
            <w:tcW w:w="2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Gerald L. Hassell</w:t>
            </w:r>
          </w:p>
        </w:tc>
        <w:tc>
          <w:tcPr>
            <w:tcW w:w="24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20" w:type="dxa"/>
            <w:vAlign w:val="bottom"/>
          </w:tcPr>
          <w:p>
            <w:pPr>
              <w:spacing w:after="0"/>
              <w:rPr>
                <w:sz w:val="24"/>
                <w:szCs w:val="24"/>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89"/>
              </w:rPr>
              <w:t>May 14, 2008</w:t>
            </w:r>
          </w:p>
        </w:tc>
        <w:tc>
          <w:tcPr>
            <w:tcW w:w="0" w:type="dxa"/>
            <w:vAlign w:val="bottom"/>
          </w:tcPr>
          <w:p>
            <w:pPr>
              <w:spacing w:after="0"/>
              <w:rPr>
                <w:sz w:val="1"/>
                <w:szCs w:val="1"/>
                <w:color w:val="auto"/>
              </w:rPr>
            </w:pPr>
          </w:p>
        </w:tc>
      </w:t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Gerald L. Hassell</w:t>
            </w:r>
          </w:p>
        </w:tc>
        <w:tc>
          <w:tcPr>
            <w:tcW w:w="2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A. Honickman</w:t>
            </w:r>
          </w:p>
        </w:tc>
        <w:tc>
          <w:tcPr>
            <w:tcW w:w="24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20" w:type="dxa"/>
            <w:vAlign w:val="bottom"/>
          </w:tcPr>
          <w:p>
            <w:pPr>
              <w:spacing w:after="0"/>
              <w:rPr>
                <w:sz w:val="24"/>
                <w:szCs w:val="24"/>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89"/>
              </w:rPr>
              <w:t>May 14, 2008</w:t>
            </w:r>
          </w:p>
        </w:tc>
        <w:tc>
          <w:tcPr>
            <w:tcW w:w="0" w:type="dxa"/>
            <w:vAlign w:val="bottom"/>
          </w:tcPr>
          <w:p>
            <w:pPr>
              <w:spacing w:after="0"/>
              <w:rPr>
                <w:sz w:val="1"/>
                <w:szCs w:val="1"/>
                <w:color w:val="auto"/>
              </w:rPr>
            </w:pPr>
          </w:p>
        </w:tc>
      </w:t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Jeffrey A. Honickman</w:t>
            </w:r>
          </w:p>
        </w:tc>
        <w:tc>
          <w:tcPr>
            <w:tcW w:w="2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Judith Rodin</w:t>
            </w:r>
          </w:p>
        </w:tc>
        <w:tc>
          <w:tcPr>
            <w:tcW w:w="24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20" w:type="dxa"/>
            <w:vAlign w:val="bottom"/>
          </w:tcPr>
          <w:p>
            <w:pPr>
              <w:spacing w:after="0"/>
              <w:rPr>
                <w:sz w:val="24"/>
                <w:szCs w:val="24"/>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89"/>
              </w:rPr>
              <w:t>May 14, 2008</w:t>
            </w:r>
          </w:p>
        </w:tc>
        <w:tc>
          <w:tcPr>
            <w:tcW w:w="0" w:type="dxa"/>
            <w:vAlign w:val="bottom"/>
          </w:tcPr>
          <w:p>
            <w:pPr>
              <w:spacing w:after="0"/>
              <w:rPr>
                <w:sz w:val="1"/>
                <w:szCs w:val="1"/>
                <w:color w:val="auto"/>
              </w:rPr>
            </w:pPr>
          </w:p>
        </w:tc>
      </w:t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Dr. Judith Rodin</w:t>
            </w:r>
          </w:p>
        </w:tc>
        <w:tc>
          <w:tcPr>
            <w:tcW w:w="2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I. Sovern</w:t>
            </w:r>
          </w:p>
        </w:tc>
        <w:tc>
          <w:tcPr>
            <w:tcW w:w="24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20" w:type="dxa"/>
            <w:vAlign w:val="bottom"/>
          </w:tcPr>
          <w:p>
            <w:pPr>
              <w:spacing w:after="0"/>
              <w:rPr>
                <w:sz w:val="24"/>
                <w:szCs w:val="24"/>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89"/>
              </w:rPr>
              <w:t>May 14, 2008</w:t>
            </w:r>
          </w:p>
        </w:tc>
        <w:tc>
          <w:tcPr>
            <w:tcW w:w="0" w:type="dxa"/>
            <w:vAlign w:val="bottom"/>
          </w:tcPr>
          <w:p>
            <w:pPr>
              <w:spacing w:after="0"/>
              <w:rPr>
                <w:sz w:val="1"/>
                <w:szCs w:val="1"/>
                <w:color w:val="auto"/>
              </w:rPr>
            </w:pPr>
          </w:p>
        </w:tc>
      </w:t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Michael I. Sovern</w:t>
            </w:r>
          </w:p>
        </w:tc>
        <w:tc>
          <w:tcPr>
            <w:tcW w:w="2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14"/>
                <w:szCs w:val="14"/>
                <w:color w:val="auto"/>
              </w:rPr>
            </w:pPr>
          </w:p>
        </w:tc>
        <w:tc>
          <w:tcPr>
            <w:tcW w:w="10500" w:type="dxa"/>
            <w:vAlign w:val="bottom"/>
          </w:tcPr>
          <w:p>
            <w:pPr>
              <w:spacing w:after="0"/>
              <w:rPr>
                <w:sz w:val="14"/>
                <w:szCs w:val="14"/>
                <w:color w:val="auto"/>
              </w:rPr>
            </w:pPr>
          </w:p>
        </w:tc>
      </w:tr>
      <w:tr>
        <w:trPr>
          <w:trHeight w:val="18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420" w:type="dxa"/>
            <w:vAlign w:val="bottom"/>
          </w:tcPr>
          <w:p>
            <w:pPr>
              <w:spacing w:after="0"/>
              <w:rPr>
                <w:sz w:val="15"/>
                <w:szCs w:val="15"/>
                <w:color w:val="auto"/>
              </w:rPr>
            </w:pPr>
          </w:p>
        </w:tc>
        <w:tc>
          <w:tcPr>
            <w:tcW w:w="10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Description</w:t>
            </w:r>
          </w:p>
        </w:tc>
      </w:tr>
      <w:tr>
        <w:trPr>
          <w:trHeight w:val="209"/>
        </w:trPr>
        <w:tc>
          <w:tcPr>
            <w:tcW w:w="500" w:type="dxa"/>
            <w:vAlign w:val="bottom"/>
          </w:tcPr>
          <w:p>
            <w:pPr>
              <w:jc w:val="right"/>
              <w:ind w:right="98"/>
              <w:spacing w:after="0" w:line="202" w:lineRule="exact"/>
              <w:rPr>
                <w:sz w:val="20"/>
                <w:szCs w:val="20"/>
                <w:color w:val="auto"/>
              </w:rPr>
            </w:pPr>
            <w:r>
              <w:rPr>
                <w:rFonts w:ascii="Arial" w:cs="Arial" w:eastAsia="Arial" w:hAnsi="Arial"/>
                <w:sz w:val="18"/>
                <w:szCs w:val="18"/>
                <w:color w:val="auto"/>
              </w:rPr>
              <w:t>5.1</w:t>
            </w:r>
          </w:p>
        </w:tc>
        <w:tc>
          <w:tcPr>
            <w:tcW w:w="42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Opinion of Pepper Hamilton LLP.</w:t>
            </w:r>
          </w:p>
        </w:tc>
      </w:tr>
      <w:tr>
        <w:trPr>
          <w:trHeight w:val="316"/>
        </w:trPr>
        <w:tc>
          <w:tcPr>
            <w:tcW w:w="500" w:type="dxa"/>
            <w:vAlign w:val="bottom"/>
          </w:tcPr>
          <w:p>
            <w:pPr>
              <w:jc w:val="right"/>
              <w:ind w:right="98"/>
              <w:spacing w:after="0"/>
              <w:rPr>
                <w:sz w:val="20"/>
                <w:szCs w:val="20"/>
                <w:color w:val="auto"/>
              </w:rPr>
            </w:pPr>
            <w:r>
              <w:rPr>
                <w:rFonts w:ascii="Arial" w:cs="Arial" w:eastAsia="Arial" w:hAnsi="Arial"/>
                <w:sz w:val="18"/>
                <w:szCs w:val="18"/>
                <w:color w:val="auto"/>
              </w:rPr>
              <w:t>5.2</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Opinion of Pepper Hamilton LLP.</w:t>
            </w:r>
          </w:p>
        </w:tc>
      </w:tr>
      <w:tr>
        <w:trPr>
          <w:trHeight w:val="324"/>
        </w:trPr>
        <w:tc>
          <w:tcPr>
            <w:tcW w:w="500" w:type="dxa"/>
            <w:vAlign w:val="bottom"/>
          </w:tcPr>
          <w:p>
            <w:pPr>
              <w:jc w:val="right"/>
              <w:ind w:right="98"/>
              <w:spacing w:after="0"/>
              <w:rPr>
                <w:sz w:val="20"/>
                <w:szCs w:val="20"/>
                <w:color w:val="auto"/>
              </w:rPr>
            </w:pPr>
            <w:r>
              <w:rPr>
                <w:rFonts w:ascii="Arial" w:cs="Arial" w:eastAsia="Arial" w:hAnsi="Arial"/>
                <w:sz w:val="18"/>
                <w:szCs w:val="18"/>
                <w:color w:val="auto"/>
                <w:w w:val="85"/>
              </w:rPr>
              <w:t>23.1</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Consent of Deloitte &amp; Touche LLP.</w:t>
            </w:r>
          </w:p>
        </w:tc>
      </w:tr>
      <w:tr>
        <w:trPr>
          <w:trHeight w:val="324"/>
        </w:trPr>
        <w:tc>
          <w:tcPr>
            <w:tcW w:w="500" w:type="dxa"/>
            <w:vAlign w:val="bottom"/>
          </w:tcPr>
          <w:p>
            <w:pPr>
              <w:jc w:val="right"/>
              <w:ind w:right="98"/>
              <w:spacing w:after="0"/>
              <w:rPr>
                <w:sz w:val="20"/>
                <w:szCs w:val="20"/>
                <w:color w:val="auto"/>
              </w:rPr>
            </w:pPr>
            <w:r>
              <w:rPr>
                <w:rFonts w:ascii="Arial" w:cs="Arial" w:eastAsia="Arial" w:hAnsi="Arial"/>
                <w:sz w:val="18"/>
                <w:szCs w:val="18"/>
                <w:color w:val="auto"/>
                <w:w w:val="85"/>
              </w:rPr>
              <w:t>23.2</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Consent of Pepper Hamilton LLP (contained in Exhibits 5.1 and 5.2).</w:t>
            </w:r>
          </w:p>
        </w:tc>
      </w:tr>
      <w:tr>
        <w:trPr>
          <w:trHeight w:val="324"/>
        </w:trPr>
        <w:tc>
          <w:tcPr>
            <w:tcW w:w="500" w:type="dxa"/>
            <w:vAlign w:val="bottom"/>
          </w:tcPr>
          <w:p>
            <w:pPr>
              <w:jc w:val="right"/>
              <w:ind w:right="98"/>
              <w:spacing w:after="0"/>
              <w:rPr>
                <w:sz w:val="20"/>
                <w:szCs w:val="20"/>
                <w:color w:val="auto"/>
              </w:rPr>
            </w:pPr>
            <w:r>
              <w:rPr>
                <w:rFonts w:ascii="Arial" w:cs="Arial" w:eastAsia="Arial" w:hAnsi="Arial"/>
                <w:sz w:val="18"/>
                <w:szCs w:val="18"/>
                <w:color w:val="auto"/>
                <w:w w:val="85"/>
              </w:rPr>
              <w:t>24.1</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Power of Attorney (contained in the signature pages hereto).</w:t>
            </w:r>
          </w:p>
        </w:tc>
      </w:tr>
    </w:tbl>
    <w:p>
      <w:pPr>
        <w:sectPr>
          <w:pgSz w:w="11900" w:h="16838" w:orient="portrait"/>
          <w:cols w:equalWidth="0" w:num="1">
            <w:col w:w="11420"/>
          </w:cols>
          <w:pgMar w:left="240" w:top="280"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u w:val="single" w:color="auto"/>
          <w:color w:val="auto"/>
        </w:rPr>
        <w:t>EXHIBIT 5.1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Pepper Hamilton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Attorneys at Law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3000 Two Logan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Eighteenth and Arch Streets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19103-2799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215.981.4000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215.981.4750</w:t>
      </w:r>
    </w:p>
    <w:p>
      <w:pPr>
        <w:spacing w:after="0" w:line="16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May 16, 2008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19103-2838</w:t>
      </w:r>
    </w:p>
    <w:p>
      <w:pPr>
        <w:spacing w:after="0" w:line="20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Registration Statement on Form S-8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Reference is made to a registration statement on Form S-8 of Comcast Corporation (the “Company”) which is being filed with the Securities and Exchange Commission (the “Registration Statement”). Capitalized terms not otherwise defined herein shall have the meanings ascribed to them in the Registration Statement.</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Registration Statement relates to 48,000,000 shares of Class A Common Stock, par value $0.01, of the Company (the “Shares”), 14,000,000 of which may be issued by the Company pursuant to the Comcast Corporation 2002 Restricted Stock Plan, as Amended and Restated (the “Restricted Stock Plan”) and 34,000,000 of which may be issued by the Company pursuant to the Comcast Corporation 2003 Stock Option Plan, as Amended and Restated (the “Stock Option Plan”, and together with the Restricted Stock Plan, the “Plans”).</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connection with our representation of the Company, as a basis for our opinions hereinafter set forth, we have examined the Registration Statement, including the exhibits thereto, the Company’s Articles of Incorporation, as amended, the Company’s By-laws, as amended, the Plans and such other documents as we have deemed appropriate in rendering this opinion. As to matters of fact, we have relied on representations of officers of the Company. In our examination, we have assumed the genuineness of all signatures, the authenticity of all documents submitted to us as originals and the authenticity of all documents submitted to us as copies of originals.</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Based on the foregoing, we are of the opinion that the Shares, when issued in accordance with the terms of the Plans, will be validly issued, fully paid and non-assessable. This opinion is being furnished to you solely for submission to the Securities and Exchange Commission as an exhibit to the Registration Statement and, accordingly, may not be relied upon, quoted in any manner to, or delivered to any other person or entity, without in each instance our prior written consent.</w:t>
      </w:r>
    </w:p>
    <w:p>
      <w:pPr>
        <w:spacing w:after="0" w:line="14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Our opinion is limited to the Business Corporation Law of the Commonwealth of Pennsylvania, as amended, including the statutory provisions and all applicable provisions of the Constitution of the</w:t>
      </w:r>
    </w:p>
    <w:p>
      <w:pPr>
        <w:sectPr>
          <w:pgSz w:w="11900" w:h="16838" w:orient="portrait"/>
          <w:cols w:equalWidth="0" w:num="1">
            <w:col w:w="11420"/>
          </w:cols>
          <w:pgMar w:left="240" w:top="125" w:right="239" w:bottom="1440" w:gutter="0" w:footer="0" w:header="0"/>
        </w:sectPr>
      </w:pPr>
    </w:p>
    <w:bookmarkStart w:id="6" w:name="page7"/>
    <w:bookmarkEnd w:id="6"/>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Commonwealth of Pennsylvania and reported judicial decisions interpreting these laws, and the federal securities laws, each as in effect on the date hereof. We assume no obligation to supplement this opinion if any applicable law changes after the date hereof or if we become aware of any fact that might change the opinion expressed herein after the date hereof.</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In giving such consent, we do not thereby admit that we come within the category of persons whose consent is required under Section 7 of the Securities Act of 1933 or the rules or regulations of the Securities and Exchange Commission thereunder.</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Pepper Hamilton LLP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Pepper Hamilton LLP</w:t>
      </w:r>
    </w:p>
    <w:p>
      <w:pPr>
        <w:sectPr>
          <w:pgSz w:w="11900" w:h="16838" w:orient="portrait"/>
          <w:cols w:equalWidth="0" w:num="1">
            <w:col w:w="11280"/>
          </w:cols>
          <w:pgMar w:left="240" w:top="280" w:right="37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u w:val="single" w:color="auto"/>
          <w:color w:val="auto"/>
        </w:rPr>
        <w:t>EXHIBIT 5.2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Pepper Hamilton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Attorneys at Law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3000 Two Logan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Eighteenth and Arch Streets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19103-2799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215.981.4000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215.981.4750</w:t>
      </w:r>
    </w:p>
    <w:p>
      <w:pPr>
        <w:spacing w:after="0" w:line="16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May 16, 2008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19103-2838</w:t>
      </w:r>
    </w:p>
    <w:p>
      <w:pPr>
        <w:spacing w:after="0" w:line="20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Comcast Corporation 2002 Restricted Stock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have served as counsel to Comcast Corporation, a Pennsylvania Corporation (the “Company”), in connection with the registration by the Company of 48,000,000 shares of Class A Common Stock, par value $0.01 (the “Shares”), on Form S-8 with the Securities and Exchange Commission. Of the total Shares registered, 14,000,000 may be issued pursuant to the Company’s 2002 Restricted Stock Plan, as Amended and Restated (the “Restricted Stock Plan”). Unless otherwise defined herein, capitalized terms used herein shall have the meanings assigned to them in the Registration Statement.</w:t>
      </w:r>
    </w:p>
    <w:p>
      <w:pPr>
        <w:spacing w:after="0" w:line="11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As such counsel, we have made such legal and factual examination and inquiries as we have deemed necessary or appropriate for purposes of this opinion and have made such additional assumptions as are set forth below.</w:t>
      </w:r>
    </w:p>
    <w:p>
      <w:pPr>
        <w:spacing w:after="0" w:line="13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Restricted Stock Plan document states that the Restricted Stock Plan was established to permit eligible employees and non-employee directors to defer the receipt of compensation otherwise payable to such outside directors and eligible employees in accordance with the terms of the Restricted Stock Plan. The Restricted Stock Plan is unfunded and states that it is maintained primarily for the purpose of providing deferred compensation to outside directors and to a select group of management or highly compensated employees. For the purpose of this opinion, we have assumed that (1) the Restricted Stock Plan was duly adopted by the Company on December 19, 1990 and amended and restated, effective as of March 24, 2008 in its current form, and (2) the deferral provisions of the Restricted Stock Plan are maintained primarily for the purpose of providing the opportunity to defer the receipt of shares upon the vesting of awards of restricted stock and restricted stock units and to convert the right to receive shares to the right to receive the cash value of the shares to non-employee directors and a select group of management or highly compensated employees.</w:t>
      </w:r>
    </w:p>
    <w:p>
      <w:pPr>
        <w:sectPr>
          <w:pgSz w:w="11900" w:h="16838" w:orient="portrait"/>
          <w:cols w:equalWidth="0" w:num="1">
            <w:col w:w="11420"/>
          </w:cols>
          <w:pgMar w:left="240" w:top="125" w:right="239" w:bottom="1440" w:gutter="0" w:footer="0" w:header="0"/>
        </w:sectPr>
      </w:pPr>
    </w:p>
    <w:bookmarkStart w:id="8" w:name="page9"/>
    <w:bookmarkEnd w:id="8"/>
    <w:p>
      <w:pPr>
        <w:ind w:right="6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 its express terms, the Restricted Stock Plan potentially results in a deferral of income by employees for periods extending to the termination of covered employment or beyond. Accordingly, the Restricted Stock Plan is an “employee pension benefit plan” described in section 3(3) of the Employee Retirement Income Security Act of 1974, as amended (“ERISA”). However, as a plan that is unfunded and maintained primarily for the purpose of providing deferred compensation to outside directors and to a select group of management or highly compensated employees, the Restricted Stock Plan is subject to parts 1 and 5 of Title I of ERISA, but not to any other provisions of ERISA.</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Restricted Stock Plan is not designed or operated with the purpose of satisfying the requirements for qualification under section 401(a) of the Internal Revenue Code of 1986, as amended.</w:t>
      </w:r>
    </w:p>
    <w:p>
      <w:pPr>
        <w:spacing w:after="0" w:line="132"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Parts 1 and 5 of Title 1 of ERISA do not impose any specific written requirements on non-qualified deferred compensation arrangements such as the Restricted Stock Plan as a condition to compliance with the applicable provisions of ERISA. Further, the operation of the Restricted Stock Plan pursuant to the written provisions of the Restricted Stock Plan will not cause the Restricted Stock Plan to fail to comply with parts 1 or 5 of Title 5 of ERISA.</w:t>
      </w:r>
    </w:p>
    <w:p>
      <w:pPr>
        <w:spacing w:after="0" w:line="10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On the basis of the foregoing, we are of the opinion that the provisions of the written document constituting the Restricted Stock Plan comply with the requirements of ERISA pertaining to such provisions.</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This opinion letter is issued as of the date hereof and is limited to the laws now in effect and in all respects is subject to and may be limited by future legislation, as well as by future case law. We assume no responsibility to keep this opinion current or to supplement it to reflect facts or circumstances which may hereafter come to our attention or any changes in laws which may hereafter occur.</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hereby expressly consent to the filing of this opinion with the Commission as an exhibit to the Registration Statement. In giving this consent, we do not hereby admit that we are in the category of persons whose consent is required under Section 7 of the 1933 Act or the Rules and Regulations of the Commission.</w:t>
      </w:r>
    </w:p>
    <w:p>
      <w:pPr>
        <w:spacing w:after="0" w:line="1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Pepper Hamilton LLP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Pepper Hamilton LLP</w:t>
      </w:r>
    </w:p>
    <w:p>
      <w:pPr>
        <w:sectPr>
          <w:pgSz w:w="11900" w:h="16838" w:orient="portrait"/>
          <w:cols w:equalWidth="0" w:num="1">
            <w:col w:w="11380"/>
          </w:cols>
          <w:pgMar w:left="240" w:top="280" w:right="27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u w:val="single" w:color="auto"/>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We consent to the incorporation by reference in this Registration Statement on Form S-8 of our reports dated February 20, 2008, relating to the consolidated financial statements and financial statement schedule of Comcast Corporation (which reports express unqualified opinions and include an explanatory paragraph relating to the adoption of new accounting pronouncements in 2007 and 2006), and the effectiveness of Comcast Corporation’s internal control over financial reporting, appearing in the Annual Report on Form 10-K of Comcast Corporation for the year ended December 31, 2007.</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16, 2008</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2019-12-15T05:13:43Z</dcterms:created>
  <dcterms:modified xsi:type="dcterms:W3CDTF">2019-12-15T05:13:43Z</dcterms:modified>
</cp:coreProperties>
</file>