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586105</wp:posOffset>
            </wp:positionV>
            <wp:extent cx="711517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43180"/>
                    </a:xfrm>
                    <a:prstGeom prst="rect">
                      <a:avLst/>
                    </a:prstGeom>
                    <a:noFill/>
                  </pic:spPr>
                </pic:pic>
              </a:graphicData>
            </a:graphic>
          </wp:anchor>
        </w:drawing>
        <w:t>UNITED STATES</w:t>
      </w:r>
    </w:p>
    <w:p>
      <w:pPr>
        <w:spacing w:after="0" w:line="48"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4"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102235</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91" w:lineRule="exact"/>
        <w:rPr>
          <w:sz w:val="24"/>
          <w:szCs w:val="24"/>
          <w:color w:val="auto"/>
        </w:rPr>
      </w:pPr>
    </w:p>
    <w:tbl>
      <w:tblPr>
        <w:tblLayout w:type="fixed"/>
        <w:tblInd w:w="700" w:type="dxa"/>
        <w:tblCellMar>
          <w:top w:w="0" w:type="dxa"/>
          <w:left w:w="0" w:type="dxa"/>
          <w:bottom w:w="0" w:type="dxa"/>
          <w:right w:w="0" w:type="dxa"/>
        </w:tblCellMar>
      </w:tblPr>
      <w:tr>
        <w:trPr>
          <w:trHeight w:val="359"/>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Times New Roman" w:cs="Times New Roman" w:eastAsia="Times New Roman" w:hAnsi="Times New Roman"/>
                <w:sz w:val="27"/>
                <w:szCs w:val="27"/>
                <w:b w:val="1"/>
                <w:bCs w:val="1"/>
                <w:color w:val="auto"/>
                <w:w w:val="99"/>
              </w:rPr>
              <w:t>FORM 8-K</w:t>
            </w:r>
          </w:p>
        </w:tc>
      </w:tr>
      <w:tr>
        <w:trPr>
          <w:trHeight w:val="397"/>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Times New Roman" w:cs="Times New Roman" w:eastAsia="Times New Roman" w:hAnsi="Times New Roman"/>
                <w:sz w:val="27"/>
                <w:szCs w:val="27"/>
                <w:b w:val="1"/>
                <w:bCs w:val="1"/>
                <w:color w:val="auto"/>
                <w:w w:val="99"/>
              </w:rPr>
              <w:t>CURRENT REPORT</w:t>
            </w:r>
          </w:p>
        </w:tc>
      </w:tr>
      <w:tr>
        <w:trPr>
          <w:trHeight w:val="324"/>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Times New Roman" w:cs="Times New Roman" w:eastAsia="Times New Roman" w:hAnsi="Times New Roman"/>
                <w:sz w:val="27"/>
                <w:szCs w:val="27"/>
                <w:b w:val="1"/>
                <w:bCs w:val="1"/>
                <w:color w:val="auto"/>
              </w:rPr>
              <w:t>Pursuant to Section 13 or 15(d) of the</w:t>
            </w:r>
          </w:p>
        </w:tc>
      </w:tr>
      <w:tr>
        <w:trPr>
          <w:trHeight w:val="326"/>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Times New Roman" w:cs="Times New Roman" w:eastAsia="Times New Roman" w:hAnsi="Times New Roman"/>
                <w:sz w:val="27"/>
                <w:szCs w:val="27"/>
                <w:b w:val="1"/>
                <w:bCs w:val="1"/>
                <w:color w:val="auto"/>
                <w:w w:val="99"/>
              </w:rPr>
              <w:t>Securities Exchange Act of 1934</w:t>
            </w:r>
          </w:p>
        </w:tc>
      </w:tr>
      <w:tr>
        <w:trPr>
          <w:trHeight w:val="234"/>
        </w:trPr>
        <w:tc>
          <w:tcPr>
            <w:tcW w:w="2500" w:type="dxa"/>
            <w:vAlign w:val="bottom"/>
          </w:tcPr>
          <w:p>
            <w:pPr>
              <w:spacing w:after="0"/>
              <w:rPr>
                <w:sz w:val="20"/>
                <w:szCs w:val="20"/>
                <w:color w:val="auto"/>
              </w:rPr>
            </w:pPr>
          </w:p>
        </w:tc>
        <w:tc>
          <w:tcPr>
            <w:tcW w:w="7160" w:type="dxa"/>
            <w:vAlign w:val="bottom"/>
          </w:tcPr>
          <w:p>
            <w:pPr>
              <w:jc w:val="center"/>
              <w:ind w:right="2203"/>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April 24, 2025</w:t>
            </w:r>
          </w:p>
        </w:tc>
      </w:tr>
      <w:tr>
        <w:trPr>
          <w:trHeight w:val="450"/>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Times New Roman" w:cs="Times New Roman" w:eastAsia="Times New Roman" w:hAnsi="Times New Roman"/>
                <w:sz w:val="29"/>
                <w:szCs w:val="29"/>
                <w:b w:val="1"/>
                <w:bCs w:val="1"/>
                <w:color w:val="auto"/>
                <w:w w:val="99"/>
              </w:rPr>
              <w:t>Comcast Corporation</w:t>
            </w:r>
          </w:p>
        </w:tc>
      </w:tr>
      <w:tr>
        <w:trPr>
          <w:trHeight w:val="144"/>
        </w:trPr>
        <w:tc>
          <w:tcPr>
            <w:tcW w:w="2500" w:type="dxa"/>
            <w:vAlign w:val="bottom"/>
          </w:tcPr>
          <w:p>
            <w:pPr>
              <w:spacing w:after="0"/>
              <w:rPr>
                <w:sz w:val="12"/>
                <w:szCs w:val="12"/>
                <w:color w:val="auto"/>
              </w:rPr>
            </w:pPr>
          </w:p>
        </w:tc>
        <w:tc>
          <w:tcPr>
            <w:tcW w:w="7160" w:type="dxa"/>
            <w:vAlign w:val="bottom"/>
          </w:tcPr>
          <w:p>
            <w:pPr>
              <w:jc w:val="center"/>
              <w:ind w:right="2243"/>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500" w:type="dxa"/>
            <w:vAlign w:val="bottom"/>
          </w:tcPr>
          <w:p>
            <w:pPr>
              <w:spacing w:after="0"/>
              <w:rPr>
                <w:sz w:val="16"/>
                <w:szCs w:val="16"/>
                <w:color w:val="auto"/>
              </w:rPr>
            </w:pPr>
          </w:p>
        </w:tc>
        <w:tc>
          <w:tcPr>
            <w:tcW w:w="7160" w:type="dxa"/>
            <w:vAlign w:val="bottom"/>
          </w:tcPr>
          <w:p>
            <w:pPr>
              <w:jc w:val="center"/>
              <w:ind w:right="2243"/>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289"/>
        </w:trPr>
        <w:tc>
          <w:tcPr>
            <w:tcW w:w="2500" w:type="dxa"/>
            <w:vAlign w:val="bottom"/>
          </w:tcPr>
          <w:p>
            <w:pPr>
              <w:spacing w:after="0"/>
              <w:rPr>
                <w:sz w:val="24"/>
                <w:szCs w:val="24"/>
                <w:color w:val="auto"/>
              </w:rPr>
            </w:pPr>
          </w:p>
        </w:tc>
        <w:tc>
          <w:tcPr>
            <w:tcW w:w="7160" w:type="dxa"/>
            <w:vAlign w:val="bottom"/>
          </w:tcPr>
          <w:p>
            <w:pPr>
              <w:jc w:val="center"/>
              <w:ind w:right="2243"/>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r>
      <w:tr>
        <w:trPr>
          <w:trHeight w:val="188"/>
        </w:trPr>
        <w:tc>
          <w:tcPr>
            <w:tcW w:w="2500" w:type="dxa"/>
            <w:vAlign w:val="bottom"/>
          </w:tcPr>
          <w:p>
            <w:pPr>
              <w:spacing w:after="0"/>
              <w:rPr>
                <w:sz w:val="16"/>
                <w:szCs w:val="16"/>
                <w:color w:val="auto"/>
              </w:rPr>
            </w:pPr>
          </w:p>
        </w:tc>
        <w:tc>
          <w:tcPr>
            <w:tcW w:w="7160" w:type="dxa"/>
            <w:vAlign w:val="bottom"/>
          </w:tcPr>
          <w:p>
            <w:pPr>
              <w:jc w:val="center"/>
              <w:ind w:right="2243"/>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298"/>
        </w:trPr>
        <w:tc>
          <w:tcPr>
            <w:tcW w:w="2500" w:type="dxa"/>
            <w:vAlign w:val="bottom"/>
          </w:tcPr>
          <w:p>
            <w:pPr>
              <w:jc w:val="center"/>
              <w:ind w:right="77"/>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7160" w:type="dxa"/>
            <w:vAlign w:val="bottom"/>
          </w:tcPr>
          <w:p>
            <w:pPr>
              <w:jc w:val="center"/>
              <w:ind w:left="5063"/>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188"/>
        </w:trPr>
        <w:tc>
          <w:tcPr>
            <w:tcW w:w="2500" w:type="dxa"/>
            <w:vAlign w:val="bottom"/>
          </w:tcPr>
          <w:p>
            <w:pPr>
              <w:jc w:val="center"/>
              <w:ind w:right="77"/>
              <w:spacing w:after="0"/>
              <w:rPr>
                <w:sz w:val="20"/>
                <w:szCs w:val="20"/>
                <w:color w:val="auto"/>
              </w:rPr>
            </w:pPr>
            <w:r>
              <w:rPr>
                <w:rFonts w:ascii="Times New Roman" w:cs="Times New Roman" w:eastAsia="Times New Roman" w:hAnsi="Times New Roman"/>
                <w:sz w:val="14"/>
                <w:szCs w:val="14"/>
                <w:color w:val="auto"/>
              </w:rPr>
              <w:t>(Commission File Number)</w:t>
            </w:r>
          </w:p>
        </w:tc>
        <w:tc>
          <w:tcPr>
            <w:tcW w:w="7160" w:type="dxa"/>
            <w:vAlign w:val="bottom"/>
          </w:tcPr>
          <w:p>
            <w:pPr>
              <w:jc w:val="center"/>
              <w:ind w:left="5083"/>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8"/>
        </w:trPr>
        <w:tc>
          <w:tcPr>
            <w:tcW w:w="2500" w:type="dxa"/>
            <w:vAlign w:val="bottom"/>
          </w:tcPr>
          <w:p>
            <w:pPr>
              <w:jc w:val="center"/>
              <w:ind w:right="77"/>
              <w:spacing w:after="0"/>
              <w:rPr>
                <w:sz w:val="20"/>
                <w:szCs w:val="20"/>
                <w:color w:val="auto"/>
              </w:rPr>
            </w:pPr>
            <w:r>
              <w:rPr>
                <w:rFonts w:ascii="Times New Roman" w:cs="Times New Roman" w:eastAsia="Times New Roman" w:hAnsi="Times New Roman"/>
                <w:sz w:val="18"/>
                <w:szCs w:val="18"/>
                <w:b w:val="1"/>
                <w:bCs w:val="1"/>
                <w:color w:val="auto"/>
              </w:rPr>
              <w:t>One Comcast Center</w:t>
            </w:r>
          </w:p>
        </w:tc>
        <w:tc>
          <w:tcPr>
            <w:tcW w:w="7160" w:type="dxa"/>
            <w:vAlign w:val="bottom"/>
          </w:tcPr>
          <w:p>
            <w:pPr>
              <w:spacing w:after="0"/>
              <w:rPr>
                <w:sz w:val="24"/>
                <w:szCs w:val="24"/>
                <w:color w:val="auto"/>
              </w:rPr>
            </w:pPr>
          </w:p>
        </w:tc>
      </w:tr>
      <w:tr>
        <w:trPr>
          <w:trHeight w:val="229"/>
        </w:trPr>
        <w:tc>
          <w:tcPr>
            <w:tcW w:w="25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Philadelphia, PA</w:t>
            </w:r>
          </w:p>
        </w:tc>
        <w:tc>
          <w:tcPr>
            <w:tcW w:w="7160" w:type="dxa"/>
            <w:vAlign w:val="bottom"/>
          </w:tcPr>
          <w:p>
            <w:pPr>
              <w:jc w:val="center"/>
              <w:ind w:left="5063"/>
              <w:spacing w:after="0"/>
              <w:rPr>
                <w:sz w:val="20"/>
                <w:szCs w:val="20"/>
                <w:color w:val="auto"/>
              </w:rPr>
            </w:pPr>
            <w:r>
              <w:rPr>
                <w:rFonts w:ascii="Times New Roman" w:cs="Times New Roman" w:eastAsia="Times New Roman" w:hAnsi="Times New Roman"/>
                <w:sz w:val="18"/>
                <w:szCs w:val="18"/>
                <w:b w:val="1"/>
                <w:bCs w:val="1"/>
                <w:color w:val="auto"/>
              </w:rPr>
              <w:t>19103-2838</w:t>
            </w:r>
          </w:p>
        </w:tc>
      </w:tr>
      <w:tr>
        <w:trPr>
          <w:trHeight w:val="188"/>
        </w:trPr>
        <w:tc>
          <w:tcPr>
            <w:tcW w:w="2500" w:type="dxa"/>
            <w:vAlign w:val="bottom"/>
          </w:tcPr>
          <w:p>
            <w:pPr>
              <w:jc w:val="center"/>
              <w:ind w:right="7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7160" w:type="dxa"/>
            <w:vAlign w:val="bottom"/>
          </w:tcPr>
          <w:p>
            <w:pPr>
              <w:jc w:val="center"/>
              <w:ind w:left="5063"/>
              <w:spacing w:after="0"/>
              <w:rPr>
                <w:sz w:val="20"/>
                <w:szCs w:val="20"/>
                <w:color w:val="auto"/>
              </w:rPr>
            </w:pPr>
            <w:r>
              <w:rPr>
                <w:rFonts w:ascii="Times New Roman" w:cs="Times New Roman" w:eastAsia="Times New Roman" w:hAnsi="Times New Roman"/>
                <w:sz w:val="14"/>
                <w:szCs w:val="14"/>
                <w:color w:val="auto"/>
              </w:rPr>
              <w:t>(Zip Code)</w:t>
            </w:r>
          </w:p>
        </w:tc>
      </w:tr>
      <w:tr>
        <w:trPr>
          <w:trHeight w:val="298"/>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7"/>
                <w:szCs w:val="17"/>
                <w:b w:val="1"/>
                <w:bCs w:val="1"/>
                <w:color w:val="auto"/>
              </w:rPr>
              <w:t>(215) 286-1700</w:t>
            </w:r>
          </w:p>
        </w:tc>
      </w:tr>
      <w:tr>
        <w:trPr>
          <w:trHeight w:val="188"/>
        </w:trPr>
        <w:tc>
          <w:tcPr>
            <w:tcW w:w="2500" w:type="dxa"/>
            <w:vAlign w:val="bottom"/>
          </w:tcPr>
          <w:p>
            <w:pPr>
              <w:spacing w:after="0"/>
              <w:rPr>
                <w:sz w:val="16"/>
                <w:szCs w:val="16"/>
                <w:color w:val="auto"/>
              </w:rPr>
            </w:pPr>
          </w:p>
        </w:tc>
        <w:tc>
          <w:tcPr>
            <w:tcW w:w="7160" w:type="dxa"/>
            <w:vAlign w:val="bottom"/>
          </w:tcPr>
          <w:p>
            <w:pPr>
              <w:jc w:val="center"/>
              <w:ind w:right="2223"/>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3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58" w:lineRule="exact"/>
        <w:rPr>
          <w:sz w:val="24"/>
          <w:szCs w:val="24"/>
          <w:color w:val="auto"/>
        </w:rPr>
      </w:pPr>
    </w:p>
    <w:tbl>
      <w:tblPr>
        <w:tblLayout w:type="fixed"/>
        <w:tblInd w:w="640" w:type="dxa"/>
        <w:tblCellMar>
          <w:top w:w="0" w:type="dxa"/>
          <w:left w:w="0" w:type="dxa"/>
          <w:bottom w:w="0" w:type="dxa"/>
          <w:right w:w="0" w:type="dxa"/>
        </w:tblCellMar>
      </w:tblPr>
      <w:tr>
        <w:trPr>
          <w:trHeight w:val="187"/>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190"/>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182"/>
        </w:trPr>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$0.01 par value</w:t>
            </w: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CMCSA</w:t>
            </w:r>
          </w:p>
        </w:tc>
        <w:tc>
          <w:tcPr>
            <w:tcW w:w="100" w:type="dxa"/>
            <w:vAlign w:val="bottom"/>
          </w:tcPr>
          <w:p>
            <w:pPr>
              <w:spacing w:after="0"/>
              <w:rPr>
                <w:sz w:val="15"/>
                <w:szCs w:val="15"/>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0.000% Notes due 2026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2027</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CMCS27</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1.500%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CMCS29A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2"/>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0.750% Notes due 2032</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CMCS32</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3.250% Notes due 2032</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CMCS32A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1.875% Notes due 2036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3.550% Notes due 2036</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CMCS36A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2"/>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1.250% Notes due 2040</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CMCS40</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5.250% Notes due 2040</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CMCS40A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5.50%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CCGBP29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02"/>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2.0% Exchangeable Subordinated Debentures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CCZ</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7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75"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104140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52705</wp:posOffset>
            </wp:positionV>
            <wp:extent cx="711517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43180"/>
                    </a:xfrm>
                    <a:prstGeom prst="rect">
                      <a:avLst/>
                    </a:prstGeom>
                    <a:noFill/>
                  </pic:spPr>
                </pic:pic>
              </a:graphicData>
            </a:graphic>
          </wp:anchor>
        </w:drawing>
      </w:r>
    </w:p>
    <w:p>
      <w:pPr>
        <w:sectPr>
          <w:pgSz w:w="11900" w:h="16838" w:orient="portrait"/>
          <w:cols w:equalWidth="0" w:num="1">
            <w:col w:w="10900"/>
          </w:cols>
          <w:pgMar w:left="320" w:top="1334" w:right="6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24, 2025, Comcast Corporation (“Comcast”) issued a press release reporting the results of its operations for the three months ended March 31, 2025. The press release is attached hereto as Exhibit 99.1. Exhibit 99.2 sets forth the reasons Comcast believes that presentation of the non-GAAP financial measures contained in the press release provides useful information to investors regarding Comcast's results of operations and financial condition.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9.01. Exhibits</w:t>
            </w:r>
          </w:p>
        </w:tc>
        <w:tc>
          <w:tcPr>
            <w:tcW w:w="9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126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7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1480" w:type="dxa"/>
            <w:vAlign w:val="bottom"/>
            <w:gridSpan w:val="5"/>
          </w:tcPr>
          <w:p>
            <w:pPr>
              <w:jc w:val="center"/>
              <w:ind w:right="4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97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20" w:type="dxa"/>
            <w:vAlign w:val="bottom"/>
            <w:tcBorders>
              <w:right w:val="single" w:sz="8" w:color="auto"/>
            </w:tcBorders>
            <w:gridSpan w:val="2"/>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Comcast Corporation press release dated April 24, 2025.</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FF"/>
            </w:tcBorders>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2</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Explanation of Non-GAAP and Other Financial Measures.</w:t>
            </w: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20" w:type="dxa"/>
            <w:vAlign w:val="bottom"/>
            <w:gridSpan w:val="3"/>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w w:val="96"/>
              </w:rPr>
              <w:t>104</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87"/>
        </w:trPr>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716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54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April 24, 2025</w:t>
            </w:r>
          </w:p>
        </w:tc>
        <w:tc>
          <w:tcPr>
            <w:tcW w:w="71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Daniel C. Murdock</w:t>
            </w:r>
          </w:p>
        </w:tc>
      </w:tr>
      <w:tr>
        <w:trPr>
          <w:trHeight w:val="218"/>
        </w:trPr>
        <w:tc>
          <w:tcPr>
            <w:tcW w:w="7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Daniel C. Murdock</w:t>
            </w:r>
          </w:p>
        </w:tc>
      </w:tr>
      <w:tr>
        <w:trPr>
          <w:trHeight w:val="180"/>
        </w:trPr>
        <w:tc>
          <w:tcPr>
            <w:tcW w:w="7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Accounting Officer and</w:t>
            </w:r>
          </w:p>
        </w:tc>
      </w:tr>
      <w:tr>
        <w:trPr>
          <w:trHeight w:val="234"/>
        </w:trPr>
        <w:tc>
          <w:tcPr>
            <w:tcW w:w="7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Controller</w:t>
            </w:r>
          </w:p>
        </w:tc>
      </w:tr>
      <w:tr>
        <w:trPr>
          <w:trHeight w:val="238"/>
        </w:trPr>
        <w:tc>
          <w:tcPr>
            <w:tcW w:w="7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941" w:right="339" w:bottom="1440" w:gutter="0" w:footer="0" w:header="0"/>
        </w:sectPr>
      </w:pPr>
    </w:p>
    <w:bookmarkStart w:id="3" w:name="page4"/>
    <w:bookmarkEnd w:id="3"/>
    <w:p>
      <w:pPr>
        <w:ind w:left="85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525145</wp:posOffset>
            </wp:positionH>
            <wp:positionV relativeFrom="page">
              <wp:posOffset>260350</wp:posOffset>
            </wp:positionV>
            <wp:extent cx="1371600" cy="540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540385"/>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263525</wp:posOffset>
            </wp:positionV>
            <wp:extent cx="7098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1st QUARTER 2025 RESULTS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PHILADELPHIA - April 24, 2025… Comcast Corporation (NASDAQ: CMCSA) today reported results for the quarter ended March 31, 2025.</w:t>
      </w:r>
    </w:p>
    <w:p>
      <w:pPr>
        <w:spacing w:after="0" w:line="9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 had strong financial results in the first quarter, growing Adjusted EPS mid-single digits and generating $5.4 billion of free cash flow while</w:t>
      </w:r>
      <w:r>
        <w:rPr>
          <w:rFonts w:ascii="Arial" w:cs="Arial" w:eastAsia="Arial" w:hAnsi="Arial"/>
          <w:sz w:val="18"/>
          <w:szCs w:val="18"/>
          <w:color w:val="auto"/>
        </w:rPr>
        <w:t xml:space="preserve"> </w:t>
      </w:r>
      <w:r>
        <w:rPr>
          <w:rFonts w:ascii="Arial" w:cs="Arial" w:eastAsia="Arial" w:hAnsi="Arial"/>
          <w:sz w:val="18"/>
          <w:szCs w:val="18"/>
          <w:i w:val="1"/>
          <w:iCs w:val="1"/>
          <w:color w:val="auto"/>
        </w:rPr>
        <w:t>investing in our six growth businesses and returning $3.2 billion to shareholders,</w:t>
      </w:r>
      <w:r>
        <w:rPr>
          <w:rFonts w:ascii="Arial" w:cs="Arial" w:eastAsia="Arial" w:hAnsi="Arial"/>
          <w:sz w:val="18"/>
          <w:szCs w:val="18"/>
          <w:color w:val="auto"/>
        </w:rPr>
        <w:t>" said Brian L. Roberts, Chairman and Chief Executive</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Officer of Comcast Corporation. "</w:t>
      </w:r>
      <w:r>
        <w:rPr>
          <w:rFonts w:ascii="Arial" w:cs="Arial" w:eastAsia="Arial" w:hAnsi="Arial"/>
          <w:sz w:val="18"/>
          <w:szCs w:val="18"/>
          <w:i w:val="1"/>
          <w:iCs w:val="1"/>
          <w:color w:val="auto"/>
        </w:rPr>
        <w:t>Our connectivity businesses generated 4% revenue growth, fueling expansion in C&amp;P EBITDA margins to</w:t>
      </w:r>
      <w:r>
        <w:rPr>
          <w:rFonts w:ascii="Arial" w:cs="Arial" w:eastAsia="Arial" w:hAnsi="Arial"/>
          <w:sz w:val="18"/>
          <w:szCs w:val="18"/>
          <w:color w:val="auto"/>
        </w:rPr>
        <w:t xml:space="preserve"> </w:t>
      </w:r>
      <w:r>
        <w:rPr>
          <w:rFonts w:ascii="Arial" w:cs="Arial" w:eastAsia="Arial" w:hAnsi="Arial"/>
          <w:sz w:val="18"/>
          <w:szCs w:val="18"/>
          <w:i w:val="1"/>
          <w:iCs w:val="1"/>
          <w:color w:val="auto"/>
        </w:rPr>
        <w:t>41.4%. We also achieved our highest wireless line additions in two years and have outperformed in Business Services with mid-single digit revenue and EBITDA growth and margins of roughly 57%. At the same time, momentum in streaming continues with 21% growth in Media EBITDA; and Theme Parks remain on an incredible growth trajectory. We could not be more excited for the grand opening of Epic Universe in Orlando next month and our plans to bring a new world-class theme park to the UK. With our significant free cash flow generation, disciplined approach to capital allocation and the strength of our diversified businesses, I am confident that we are well-positioned to navigate an evolving environment and capture future opportunities</w:t>
      </w:r>
      <w:r>
        <w:rPr>
          <w:rFonts w:ascii="Arial" w:cs="Arial" w:eastAsia="Arial" w:hAnsi="Arial"/>
          <w:sz w:val="18"/>
          <w:szCs w:val="18"/>
          <w:color w:val="auto"/>
        </w:rPr>
        <w: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806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 except per share data)</w:t>
            </w:r>
          </w:p>
        </w:tc>
        <w:tc>
          <w:tcPr>
            <w:tcW w:w="620" w:type="dxa"/>
            <w:vAlign w:val="bottom"/>
            <w:shd w:val="clear" w:color="auto" w:fill="D9D9D6"/>
          </w:tcPr>
          <w:p>
            <w:pPr>
              <w:spacing w:after="0"/>
              <w:rPr>
                <w:sz w:val="17"/>
                <w:szCs w:val="17"/>
                <w:color w:val="auto"/>
              </w:rPr>
            </w:pPr>
          </w:p>
        </w:tc>
        <w:tc>
          <w:tcPr>
            <w:tcW w:w="340" w:type="dxa"/>
            <w:vAlign w:val="bottom"/>
            <w:tcBorders>
              <w:right w:val="single" w:sz="8" w:color="D9D9D6"/>
            </w:tcBorders>
            <w:shd w:val="clear" w:color="auto" w:fill="D9D9D6"/>
          </w:tcPr>
          <w:p>
            <w:pPr>
              <w:spacing w:after="0"/>
              <w:rPr>
                <w:sz w:val="17"/>
                <w:szCs w:val="17"/>
                <w:color w:val="auto"/>
              </w:rPr>
            </w:pPr>
          </w:p>
        </w:tc>
        <w:tc>
          <w:tcPr>
            <w:tcW w:w="220" w:type="dxa"/>
            <w:vAlign w:val="bottom"/>
            <w:shd w:val="clear" w:color="auto" w:fill="D9D9D6"/>
          </w:tcPr>
          <w:p>
            <w:pPr>
              <w:spacing w:after="0"/>
              <w:rPr>
                <w:sz w:val="17"/>
                <w:szCs w:val="17"/>
                <w:color w:val="auto"/>
              </w:rPr>
            </w:pPr>
          </w:p>
        </w:tc>
        <w:tc>
          <w:tcPr>
            <w:tcW w:w="400" w:type="dxa"/>
            <w:vAlign w:val="bottom"/>
            <w:shd w:val="clear" w:color="auto" w:fill="D9D9D6"/>
          </w:tcPr>
          <w:p>
            <w:pPr>
              <w:spacing w:after="0"/>
              <w:rPr>
                <w:sz w:val="17"/>
                <w:szCs w:val="17"/>
                <w:color w:val="auto"/>
              </w:rPr>
            </w:pPr>
          </w:p>
        </w:tc>
        <w:tc>
          <w:tcPr>
            <w:tcW w:w="340" w:type="dxa"/>
            <w:vAlign w:val="bottom"/>
            <w:tcBorders>
              <w:right w:val="single" w:sz="8" w:color="D9D9D6"/>
            </w:tcBorders>
            <w:shd w:val="clear" w:color="auto" w:fill="D9D9D6"/>
          </w:tcPr>
          <w:p>
            <w:pPr>
              <w:spacing w:after="0"/>
              <w:rPr>
                <w:sz w:val="17"/>
                <w:szCs w:val="17"/>
                <w:color w:val="auto"/>
              </w:rPr>
            </w:pPr>
          </w:p>
        </w:tc>
        <w:tc>
          <w:tcPr>
            <w:tcW w:w="62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0" w:type="dxa"/>
            <w:vAlign w:val="bottom"/>
            <w:tcBorders>
              <w:right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20" w:type="dxa"/>
            <w:vAlign w:val="bottom"/>
            <w:shd w:val="clear" w:color="auto" w:fill="D9D9D6"/>
          </w:tcPr>
          <w:p>
            <w:pPr>
              <w:spacing w:after="0"/>
              <w:rPr>
                <w:sz w:val="15"/>
                <w:szCs w:val="15"/>
                <w:color w:val="auto"/>
              </w:rPr>
            </w:pPr>
          </w:p>
        </w:tc>
        <w:tc>
          <w:tcPr>
            <w:tcW w:w="8060" w:type="dxa"/>
            <w:vAlign w:val="bottom"/>
            <w:shd w:val="clear" w:color="auto" w:fill="D9D9D6"/>
          </w:tcPr>
          <w:p>
            <w:pPr>
              <w:spacing w:after="0"/>
              <w:rPr>
                <w:sz w:val="15"/>
                <w:szCs w:val="15"/>
                <w:color w:val="auto"/>
              </w:rPr>
            </w:pPr>
          </w:p>
        </w:tc>
        <w:tc>
          <w:tcPr>
            <w:tcW w:w="620" w:type="dxa"/>
            <w:vAlign w:val="bottom"/>
            <w:shd w:val="clear" w:color="auto" w:fill="D9D9D6"/>
          </w:tcPr>
          <w:p>
            <w:pPr>
              <w:spacing w:after="0"/>
              <w:rPr>
                <w:sz w:val="15"/>
                <w:szCs w:val="15"/>
                <w:color w:val="auto"/>
              </w:rPr>
            </w:pPr>
          </w:p>
        </w:tc>
        <w:tc>
          <w:tcPr>
            <w:tcW w:w="340" w:type="dxa"/>
            <w:vAlign w:val="bottom"/>
            <w:tcBorders>
              <w:right w:val="single" w:sz="8" w:color="D9D9D6"/>
            </w:tcBorders>
            <w:shd w:val="clear" w:color="auto" w:fill="D9D9D6"/>
          </w:tcPr>
          <w:p>
            <w:pPr>
              <w:spacing w:after="0"/>
              <w:rPr>
                <w:sz w:val="15"/>
                <w:szCs w:val="15"/>
                <w:color w:val="auto"/>
              </w:rPr>
            </w:pPr>
          </w:p>
        </w:tc>
        <w:tc>
          <w:tcPr>
            <w:tcW w:w="96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1st Quarter</w:t>
            </w:r>
          </w:p>
        </w:tc>
        <w:tc>
          <w:tcPr>
            <w:tcW w:w="62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200" w:type="dxa"/>
            <w:vAlign w:val="bottom"/>
            <w:tcBorders>
              <w:right w:val="single" w:sz="8" w:color="D9D9D6"/>
            </w:tcBorders>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8060" w:type="dxa"/>
            <w:vAlign w:val="bottom"/>
            <w:shd w:val="clear" w:color="auto" w:fill="D9D9D6"/>
          </w:tcPr>
          <w:p>
            <w:pPr>
              <w:spacing w:after="0" w:line="20" w:lineRule="exact"/>
              <w:rPr>
                <w:sz w:val="1"/>
                <w:szCs w:val="1"/>
                <w:color w:val="auto"/>
              </w:rPr>
            </w:pPr>
          </w:p>
        </w:tc>
        <w:tc>
          <w:tcPr>
            <w:tcW w:w="62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D9D9D6"/>
          </w:tcPr>
          <w:p>
            <w:pPr>
              <w:spacing w:after="0" w:line="20" w:lineRule="exact"/>
              <w:rPr>
                <w:sz w:val="1"/>
                <w:szCs w:val="1"/>
                <w:color w:val="auto"/>
              </w:rPr>
            </w:pPr>
          </w:p>
        </w:tc>
        <w:tc>
          <w:tcPr>
            <w:tcW w:w="220" w:type="dxa"/>
            <w:vAlign w:val="bottom"/>
            <w:shd w:val="clear" w:color="auto" w:fill="D9D9D6"/>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62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0" w:type="dxa"/>
            <w:vAlign w:val="bottom"/>
            <w:tcBorders>
              <w:right w:val="single" w:sz="8" w:color="D9D9D6"/>
            </w:tcBorders>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80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Consolidated Results</w:t>
            </w:r>
          </w:p>
        </w:tc>
        <w:tc>
          <w:tcPr>
            <w:tcW w:w="620" w:type="dxa"/>
            <w:vAlign w:val="bottom"/>
            <w:shd w:val="clear" w:color="auto" w:fill="D9D9D6"/>
          </w:tcPr>
          <w:p>
            <w:pPr>
              <w:spacing w:after="0"/>
              <w:rPr>
                <w:sz w:val="15"/>
                <w:szCs w:val="15"/>
                <w:color w:val="auto"/>
              </w:rPr>
            </w:pPr>
          </w:p>
        </w:tc>
        <w:tc>
          <w:tcPr>
            <w:tcW w:w="34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96"/>
              </w:rPr>
              <w:t>2025</w:t>
            </w:r>
          </w:p>
        </w:tc>
        <w:tc>
          <w:tcPr>
            <w:tcW w:w="220" w:type="dxa"/>
            <w:vAlign w:val="bottom"/>
            <w:shd w:val="clear" w:color="auto" w:fill="D9D9D6"/>
          </w:tcPr>
          <w:p>
            <w:pPr>
              <w:spacing w:after="0"/>
              <w:rPr>
                <w:sz w:val="15"/>
                <w:szCs w:val="15"/>
                <w:color w:val="auto"/>
              </w:rPr>
            </w:pPr>
          </w:p>
        </w:tc>
        <w:tc>
          <w:tcPr>
            <w:tcW w:w="74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620" w:type="dxa"/>
            <w:vAlign w:val="bottom"/>
            <w:shd w:val="clear" w:color="auto" w:fill="D9D9D6"/>
          </w:tcPr>
          <w:p>
            <w:pPr>
              <w:spacing w:after="0"/>
              <w:rPr>
                <w:sz w:val="15"/>
                <w:szCs w:val="15"/>
                <w:color w:val="auto"/>
              </w:rPr>
            </w:pPr>
          </w:p>
        </w:tc>
        <w:tc>
          <w:tcPr>
            <w:tcW w:w="5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w w:val="97"/>
              </w:rPr>
              <w:t>Change</w:t>
            </w: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8060" w:type="dxa"/>
            <w:vAlign w:val="bottom"/>
            <w:shd w:val="clear" w:color="auto" w:fill="D9D9D6"/>
          </w:tcPr>
          <w:p>
            <w:pPr>
              <w:spacing w:after="0" w:line="20" w:lineRule="exact"/>
              <w:rPr>
                <w:sz w:val="1"/>
                <w:szCs w:val="1"/>
                <w:color w:val="auto"/>
              </w:rPr>
            </w:pPr>
          </w:p>
        </w:tc>
        <w:tc>
          <w:tcPr>
            <w:tcW w:w="62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220" w:type="dxa"/>
            <w:vAlign w:val="bottom"/>
            <w:shd w:val="clear" w:color="auto" w:fill="D9D9D6"/>
          </w:tcPr>
          <w:p>
            <w:pPr>
              <w:spacing w:after="0" w:line="20" w:lineRule="exact"/>
              <w:rPr>
                <w:sz w:val="1"/>
                <w:szCs w:val="1"/>
                <w:color w:val="auto"/>
              </w:rPr>
            </w:pPr>
          </w:p>
        </w:tc>
        <w:tc>
          <w:tcPr>
            <w:tcW w:w="40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62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Borders>
              <w:right w:val="single" w:sz="8" w:color="D9D9D6"/>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20" w:type="dxa"/>
            <w:vAlign w:val="bottom"/>
            <w:shd w:val="clear" w:color="auto" w:fill="D9D9D6"/>
          </w:tcPr>
          <w:p>
            <w:pPr>
              <w:spacing w:after="0"/>
              <w:rPr>
                <w:sz w:val="24"/>
                <w:szCs w:val="24"/>
                <w:color w:val="auto"/>
              </w:rPr>
            </w:pPr>
          </w:p>
        </w:tc>
        <w:tc>
          <w:tcPr>
            <w:tcW w:w="8060" w:type="dxa"/>
            <w:vAlign w:val="bottom"/>
            <w:shd w:val="clear" w:color="auto" w:fill="D9D9D6"/>
          </w:tcPr>
          <w:p>
            <w:pPr>
              <w:ind w:left="20"/>
              <w:spacing w:after="0"/>
              <w:rPr>
                <w:sz w:val="20"/>
                <w:szCs w:val="20"/>
                <w:color w:val="auto"/>
              </w:rPr>
            </w:pPr>
            <w:r>
              <w:rPr>
                <w:rFonts w:ascii="Arial" w:cs="Arial" w:eastAsia="Arial" w:hAnsi="Arial"/>
                <w:sz w:val="14"/>
                <w:szCs w:val="14"/>
                <w:color w:val="auto"/>
              </w:rPr>
              <w:t>Revenue</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$29,887</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$30,058</w:t>
            </w:r>
          </w:p>
        </w:tc>
        <w:tc>
          <w:tcPr>
            <w:tcW w:w="114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(0.6 %)</w:t>
            </w:r>
          </w:p>
        </w:tc>
        <w:tc>
          <w:tcPr>
            <w:tcW w:w="0" w:type="dxa"/>
            <w:vAlign w:val="bottom"/>
          </w:tcPr>
          <w:p>
            <w:pPr>
              <w:spacing w:after="0"/>
              <w:rPr>
                <w:sz w:val="1"/>
                <w:szCs w:val="1"/>
                <w:color w:val="auto"/>
              </w:rPr>
            </w:pPr>
          </w:p>
        </w:tc>
      </w:tr>
      <w:tr>
        <w:trPr>
          <w:trHeight w:val="22"/>
        </w:trPr>
        <w:tc>
          <w:tcPr>
            <w:tcW w:w="120" w:type="dxa"/>
            <w:vAlign w:val="bottom"/>
            <w:shd w:val="clear" w:color="auto" w:fill="D9D9D6"/>
          </w:tcPr>
          <w:p>
            <w:pPr>
              <w:spacing w:after="0" w:line="20" w:lineRule="exact"/>
              <w:rPr>
                <w:sz w:val="1"/>
                <w:szCs w:val="1"/>
                <w:color w:val="auto"/>
              </w:rPr>
            </w:pPr>
          </w:p>
        </w:tc>
        <w:tc>
          <w:tcPr>
            <w:tcW w:w="8060" w:type="dxa"/>
            <w:vAlign w:val="bottom"/>
            <w:shd w:val="clear" w:color="auto" w:fill="D9D9D6"/>
          </w:tcPr>
          <w:p>
            <w:pPr>
              <w:spacing w:after="0" w:line="20" w:lineRule="exact"/>
              <w:rPr>
                <w:sz w:val="1"/>
                <w:szCs w:val="1"/>
                <w:color w:val="auto"/>
              </w:rPr>
            </w:pPr>
          </w:p>
        </w:tc>
        <w:tc>
          <w:tcPr>
            <w:tcW w:w="960" w:type="dxa"/>
            <w:vAlign w:val="bottom"/>
            <w:tcBorders>
              <w:right w:val="single" w:sz="8" w:color="D9D9D6"/>
            </w:tcBorders>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rPr>
              <w:t>$3,375</w:t>
            </w:r>
          </w:p>
        </w:tc>
        <w:tc>
          <w:tcPr>
            <w:tcW w:w="960" w:type="dxa"/>
            <w:vAlign w:val="bottom"/>
            <w:tcBorders>
              <w:right w:val="single" w:sz="8" w:color="D9D9D6"/>
            </w:tcBorders>
            <w:gridSpan w:val="3"/>
            <w:vMerge w:val="restart"/>
            <w:shd w:val="clear" w:color="auto" w:fill="D9D9D6"/>
          </w:tcPr>
          <w:p>
            <w:pPr>
              <w:jc w:val="right"/>
              <w:ind w:right="60"/>
              <w:spacing w:after="0"/>
              <w:rPr>
                <w:sz w:val="20"/>
                <w:szCs w:val="20"/>
                <w:color w:val="auto"/>
              </w:rPr>
            </w:pPr>
            <w:r>
              <w:rPr>
                <w:rFonts w:ascii="Arial" w:cs="Arial" w:eastAsia="Arial" w:hAnsi="Arial"/>
                <w:sz w:val="14"/>
                <w:szCs w:val="14"/>
                <w:color w:val="auto"/>
              </w:rPr>
              <w:t>$3,857</w:t>
            </w:r>
          </w:p>
        </w:tc>
        <w:tc>
          <w:tcPr>
            <w:tcW w:w="1140" w:type="dxa"/>
            <w:vAlign w:val="bottom"/>
            <w:tcBorders>
              <w:right w:val="single" w:sz="8" w:color="D9D9D6"/>
            </w:tcBorders>
            <w:gridSpan w:val="3"/>
            <w:vMerge w:val="restart"/>
            <w:shd w:val="clear" w:color="auto" w:fill="D9D9D6"/>
          </w:tcPr>
          <w:p>
            <w:pPr>
              <w:jc w:val="right"/>
              <w:spacing w:after="0"/>
              <w:rPr>
                <w:sz w:val="20"/>
                <w:szCs w:val="20"/>
                <w:color w:val="auto"/>
              </w:rPr>
            </w:pPr>
            <w:r>
              <w:rPr>
                <w:rFonts w:ascii="Arial" w:cs="Arial" w:eastAsia="Arial" w:hAnsi="Arial"/>
                <w:sz w:val="14"/>
                <w:szCs w:val="14"/>
                <w:color w:val="auto"/>
              </w:rPr>
              <w:t>(12.5 %)</w:t>
            </w:r>
          </w:p>
        </w:tc>
        <w:tc>
          <w:tcPr>
            <w:tcW w:w="0" w:type="dxa"/>
            <w:vAlign w:val="bottom"/>
          </w:tcPr>
          <w:p>
            <w:pPr>
              <w:spacing w:after="0" w:line="20" w:lineRule="exact"/>
              <w:rPr>
                <w:sz w:val="1"/>
                <w:szCs w:val="1"/>
                <w:color w:val="auto"/>
              </w:rPr>
            </w:pPr>
          </w:p>
        </w:tc>
      </w:tr>
      <w:tr>
        <w:trPr>
          <w:trHeight w:val="194"/>
        </w:trPr>
        <w:tc>
          <w:tcPr>
            <w:tcW w:w="120" w:type="dxa"/>
            <w:vAlign w:val="bottom"/>
            <w:shd w:val="clear" w:color="auto" w:fill="D9D9D6"/>
          </w:tcPr>
          <w:p>
            <w:pPr>
              <w:spacing w:after="0"/>
              <w:rPr>
                <w:sz w:val="16"/>
                <w:szCs w:val="16"/>
                <w:color w:val="auto"/>
              </w:rPr>
            </w:pPr>
          </w:p>
        </w:tc>
        <w:tc>
          <w:tcPr>
            <w:tcW w:w="8060" w:type="dxa"/>
            <w:vAlign w:val="bottom"/>
            <w:shd w:val="clear" w:color="auto" w:fill="D9D9D6"/>
          </w:tcPr>
          <w:p>
            <w:pPr>
              <w:ind w:left="20"/>
              <w:spacing w:after="0"/>
              <w:rPr>
                <w:sz w:val="20"/>
                <w:szCs w:val="20"/>
                <w:color w:val="auto"/>
              </w:rPr>
            </w:pPr>
            <w:r>
              <w:rPr>
                <w:rFonts w:ascii="Arial" w:cs="Arial" w:eastAsia="Arial" w:hAnsi="Arial"/>
                <w:sz w:val="14"/>
                <w:szCs w:val="14"/>
                <w:color w:val="auto"/>
              </w:rPr>
              <w:t>Net Income Attributable to Comcast</w:t>
            </w:r>
          </w:p>
        </w:tc>
        <w:tc>
          <w:tcPr>
            <w:tcW w:w="960" w:type="dxa"/>
            <w:vAlign w:val="bottom"/>
            <w:tcBorders>
              <w:right w:val="single" w:sz="8" w:color="D9D9D6"/>
            </w:tcBorders>
            <w:gridSpan w:val="2"/>
            <w:vMerge w:val="continue"/>
            <w:shd w:val="clear" w:color="auto" w:fill="D9D9D6"/>
          </w:tcPr>
          <w:p>
            <w:pPr>
              <w:spacing w:after="0"/>
              <w:rPr>
                <w:sz w:val="16"/>
                <w:szCs w:val="16"/>
                <w:color w:val="auto"/>
              </w:rPr>
            </w:pPr>
          </w:p>
        </w:tc>
        <w:tc>
          <w:tcPr>
            <w:tcW w:w="960" w:type="dxa"/>
            <w:vAlign w:val="bottom"/>
            <w:tcBorders>
              <w:right w:val="single" w:sz="8" w:color="D9D9D6"/>
            </w:tcBorders>
            <w:gridSpan w:val="3"/>
            <w:vMerge w:val="continue"/>
            <w:shd w:val="clear" w:color="auto" w:fill="D9D9D6"/>
          </w:tcPr>
          <w:p>
            <w:pPr>
              <w:spacing w:after="0"/>
              <w:rPr>
                <w:sz w:val="16"/>
                <w:szCs w:val="16"/>
                <w:color w:val="auto"/>
              </w:rPr>
            </w:pPr>
          </w:p>
        </w:tc>
        <w:tc>
          <w:tcPr>
            <w:tcW w:w="1140" w:type="dxa"/>
            <w:vAlign w:val="bottom"/>
            <w:tcBorders>
              <w:right w:val="single" w:sz="8" w:color="D9D9D6"/>
            </w:tcBorders>
            <w:gridSpan w:val="3"/>
            <w:vMerge w:val="continue"/>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20" w:type="dxa"/>
            <w:vAlign w:val="bottom"/>
            <w:shd w:val="clear" w:color="auto" w:fill="D9D9D6"/>
          </w:tcPr>
          <w:p>
            <w:pPr>
              <w:spacing w:after="0" w:line="20" w:lineRule="exact"/>
              <w:rPr>
                <w:sz w:val="1"/>
                <w:szCs w:val="1"/>
                <w:color w:val="auto"/>
              </w:rPr>
            </w:pPr>
          </w:p>
        </w:tc>
        <w:tc>
          <w:tcPr>
            <w:tcW w:w="8060" w:type="dxa"/>
            <w:vAlign w:val="bottom"/>
            <w:shd w:val="clear" w:color="auto" w:fill="D9D9D6"/>
          </w:tcPr>
          <w:p>
            <w:pPr>
              <w:spacing w:after="0" w:line="20" w:lineRule="exact"/>
              <w:rPr>
                <w:sz w:val="1"/>
                <w:szCs w:val="1"/>
                <w:color w:val="auto"/>
              </w:rPr>
            </w:pPr>
          </w:p>
        </w:tc>
        <w:tc>
          <w:tcPr>
            <w:tcW w:w="960" w:type="dxa"/>
            <w:vAlign w:val="bottom"/>
            <w:tcBorders>
              <w:right w:val="single" w:sz="8" w:color="D9D9D6"/>
            </w:tcBorders>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rPr>
              <w:t>$4,132</w:t>
            </w:r>
          </w:p>
        </w:tc>
        <w:tc>
          <w:tcPr>
            <w:tcW w:w="960" w:type="dxa"/>
            <w:vAlign w:val="bottom"/>
            <w:tcBorders>
              <w:right w:val="single" w:sz="8" w:color="D9D9D6"/>
            </w:tcBorders>
            <w:gridSpan w:val="3"/>
            <w:vMerge w:val="restart"/>
            <w:shd w:val="clear" w:color="auto" w:fill="D9D9D6"/>
          </w:tcPr>
          <w:p>
            <w:pPr>
              <w:jc w:val="right"/>
              <w:ind w:right="60"/>
              <w:spacing w:after="0"/>
              <w:rPr>
                <w:sz w:val="20"/>
                <w:szCs w:val="20"/>
                <w:color w:val="auto"/>
              </w:rPr>
            </w:pPr>
            <w:r>
              <w:rPr>
                <w:rFonts w:ascii="Arial" w:cs="Arial" w:eastAsia="Arial" w:hAnsi="Arial"/>
                <w:sz w:val="14"/>
                <w:szCs w:val="14"/>
                <w:color w:val="auto"/>
              </w:rPr>
              <w:t>$4,171</w:t>
            </w:r>
          </w:p>
        </w:tc>
        <w:tc>
          <w:tcPr>
            <w:tcW w:w="1140" w:type="dxa"/>
            <w:vAlign w:val="bottom"/>
            <w:tcBorders>
              <w:right w:val="single" w:sz="8" w:color="D9D9D6"/>
            </w:tcBorders>
            <w:gridSpan w:val="3"/>
            <w:vMerge w:val="restart"/>
            <w:shd w:val="clear" w:color="auto" w:fill="D9D9D6"/>
          </w:tcPr>
          <w:p>
            <w:pPr>
              <w:jc w:val="right"/>
              <w:spacing w:after="0"/>
              <w:rPr>
                <w:sz w:val="20"/>
                <w:szCs w:val="20"/>
                <w:color w:val="auto"/>
              </w:rPr>
            </w:pPr>
            <w:r>
              <w:rPr>
                <w:rFonts w:ascii="Arial" w:cs="Arial" w:eastAsia="Arial" w:hAnsi="Arial"/>
                <w:sz w:val="14"/>
                <w:szCs w:val="14"/>
                <w:color w:val="auto"/>
              </w:rPr>
              <w:t>(0.9 %)</w:t>
            </w:r>
          </w:p>
        </w:tc>
        <w:tc>
          <w:tcPr>
            <w:tcW w:w="0" w:type="dxa"/>
            <w:vAlign w:val="bottom"/>
          </w:tcPr>
          <w:p>
            <w:pPr>
              <w:spacing w:after="0" w:line="20" w:lineRule="exact"/>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8060" w:type="dxa"/>
            <w:vAlign w:val="bottom"/>
            <w:shd w:val="clear" w:color="auto" w:fill="D9D9D6"/>
          </w:tcPr>
          <w:p>
            <w:pPr>
              <w:ind w:left="20"/>
              <w:spacing w:after="0" w:line="202" w:lineRule="exact"/>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p>
        </w:tc>
        <w:tc>
          <w:tcPr>
            <w:tcW w:w="960" w:type="dxa"/>
            <w:vAlign w:val="bottom"/>
            <w:tcBorders>
              <w:right w:val="single" w:sz="8" w:color="D9D9D6"/>
            </w:tcBorders>
            <w:gridSpan w:val="2"/>
            <w:vMerge w:val="continue"/>
            <w:shd w:val="clear" w:color="auto" w:fill="D9D9D6"/>
          </w:tcPr>
          <w:p>
            <w:pPr>
              <w:spacing w:after="0"/>
              <w:rPr>
                <w:sz w:val="17"/>
                <w:szCs w:val="17"/>
                <w:color w:val="auto"/>
              </w:rPr>
            </w:pPr>
          </w:p>
        </w:tc>
        <w:tc>
          <w:tcPr>
            <w:tcW w:w="960" w:type="dxa"/>
            <w:vAlign w:val="bottom"/>
            <w:tcBorders>
              <w:right w:val="single" w:sz="8" w:color="D9D9D6"/>
            </w:tcBorders>
            <w:gridSpan w:val="3"/>
            <w:vMerge w:val="continue"/>
            <w:shd w:val="clear" w:color="auto" w:fill="D9D9D6"/>
          </w:tcPr>
          <w:p>
            <w:pPr>
              <w:spacing w:after="0"/>
              <w:rPr>
                <w:sz w:val="17"/>
                <w:szCs w:val="17"/>
                <w:color w:val="auto"/>
              </w:rPr>
            </w:pPr>
          </w:p>
        </w:tc>
        <w:tc>
          <w:tcPr>
            <w:tcW w:w="1140" w:type="dxa"/>
            <w:vAlign w:val="bottom"/>
            <w:tcBorders>
              <w:right w:val="single" w:sz="8" w:color="D9D9D6"/>
            </w:tcBorders>
            <w:gridSpan w:val="3"/>
            <w:vMerge w:val="continue"/>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8060" w:type="dxa"/>
            <w:vAlign w:val="bottom"/>
            <w:shd w:val="clear" w:color="auto" w:fill="D9D9D6"/>
          </w:tcPr>
          <w:p>
            <w:pPr>
              <w:ind w:left="20"/>
              <w:spacing w:after="0" w:line="202" w:lineRule="exact"/>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2</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$9,532</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$9,355</w:t>
            </w:r>
          </w:p>
        </w:tc>
        <w:tc>
          <w:tcPr>
            <w:tcW w:w="1140" w:type="dxa"/>
            <w:vAlign w:val="bottom"/>
            <w:tcBorders>
              <w:right w:val="single" w:sz="8" w:color="D9D9D6"/>
            </w:tcBorders>
            <w:gridSpan w:val="3"/>
            <w:shd w:val="clear" w:color="auto" w:fill="D9D9D6"/>
          </w:tcPr>
          <w:p>
            <w:pPr>
              <w:jc w:val="right"/>
              <w:ind w:right="8"/>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8060" w:type="dxa"/>
            <w:vAlign w:val="bottom"/>
            <w:shd w:val="clear" w:color="auto" w:fill="D9D9D6"/>
          </w:tcPr>
          <w:p>
            <w:pPr>
              <w:ind w:left="20"/>
              <w:spacing w:after="0" w:line="202" w:lineRule="exact"/>
              <w:rPr>
                <w:sz w:val="20"/>
                <w:szCs w:val="20"/>
                <w:color w:val="auto"/>
              </w:rPr>
            </w:pPr>
            <w:r>
              <w:rPr>
                <w:rFonts w:ascii="Arial" w:cs="Arial" w:eastAsia="Arial" w:hAnsi="Arial"/>
                <w:sz w:val="14"/>
                <w:szCs w:val="14"/>
                <w:color w:val="auto"/>
              </w:rPr>
              <w:t>Earnings per Share</w:t>
            </w:r>
            <w:r>
              <w:rPr>
                <w:rFonts w:ascii="Arial" w:cs="Arial" w:eastAsia="Arial" w:hAnsi="Arial"/>
                <w:sz w:val="18"/>
                <w:szCs w:val="18"/>
                <w:color w:val="auto"/>
                <w:vertAlign w:val="superscript"/>
              </w:rPr>
              <w:t>3</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$0.89</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$0.97</w:t>
            </w:r>
          </w:p>
        </w:tc>
        <w:tc>
          <w:tcPr>
            <w:tcW w:w="9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(7.7</w:t>
            </w:r>
          </w:p>
        </w:tc>
        <w:tc>
          <w:tcPr>
            <w:tcW w:w="200" w:type="dxa"/>
            <w:vAlign w:val="bottom"/>
            <w:tcBorders>
              <w:right w:val="single" w:sz="8" w:color="D9D9D6"/>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0" w:type="dxa"/>
            <w:vAlign w:val="bottom"/>
          </w:tcPr>
          <w:p>
            <w:pPr>
              <w:spacing w:after="0"/>
              <w:rPr>
                <w:sz w:val="1"/>
                <w:szCs w:val="1"/>
                <w:color w:val="auto"/>
              </w:rPr>
            </w:pPr>
          </w:p>
        </w:tc>
      </w:tr>
      <w:tr>
        <w:trPr>
          <w:trHeight w:val="207"/>
        </w:trPr>
        <w:tc>
          <w:tcPr>
            <w:tcW w:w="120" w:type="dxa"/>
            <w:vAlign w:val="bottom"/>
            <w:shd w:val="clear" w:color="auto" w:fill="D9D9D6"/>
          </w:tcPr>
          <w:p>
            <w:pPr>
              <w:spacing w:after="0"/>
              <w:rPr>
                <w:sz w:val="17"/>
                <w:szCs w:val="17"/>
                <w:color w:val="auto"/>
              </w:rPr>
            </w:pPr>
          </w:p>
        </w:tc>
        <w:tc>
          <w:tcPr>
            <w:tcW w:w="8060" w:type="dxa"/>
            <w:vAlign w:val="bottom"/>
            <w:shd w:val="clear" w:color="auto" w:fill="D9D9D6"/>
          </w:tcPr>
          <w:p>
            <w:pPr>
              <w:ind w:left="20"/>
              <w:spacing w:after="0"/>
              <w:rPr>
                <w:sz w:val="20"/>
                <w:szCs w:val="20"/>
                <w:color w:val="auto"/>
              </w:rPr>
            </w:pPr>
            <w:r>
              <w:rPr>
                <w:rFonts w:ascii="Arial" w:cs="Arial" w:eastAsia="Arial" w:hAnsi="Arial"/>
                <w:sz w:val="14"/>
                <w:szCs w:val="14"/>
                <w:color w:val="auto"/>
              </w:rPr>
              <w:t>Adjusted Earnings per Share</w:t>
            </w:r>
            <w:r>
              <w:rPr>
                <w:rFonts w:ascii="Arial" w:cs="Arial" w:eastAsia="Arial" w:hAnsi="Arial"/>
                <w:sz w:val="18"/>
                <w:szCs w:val="18"/>
                <w:color w:val="auto"/>
                <w:vertAlign w:val="superscript"/>
              </w:rPr>
              <w:t>1</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$1.09</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$1.04</w:t>
            </w:r>
          </w:p>
        </w:tc>
        <w:tc>
          <w:tcPr>
            <w:tcW w:w="9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4.5</w:t>
            </w:r>
          </w:p>
        </w:tc>
        <w:tc>
          <w:tcPr>
            <w:tcW w:w="200" w:type="dxa"/>
            <w:vAlign w:val="bottom"/>
            <w:tcBorders>
              <w:right w:val="single" w:sz="8" w:color="D9D9D6"/>
            </w:tcBorders>
            <w:shd w:val="clear" w:color="auto" w:fill="D9D9D6"/>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20" w:type="dxa"/>
            <w:vAlign w:val="bottom"/>
            <w:shd w:val="clear" w:color="auto" w:fill="D9D9D6"/>
          </w:tcPr>
          <w:p>
            <w:pPr>
              <w:spacing w:after="0"/>
              <w:rPr>
                <w:sz w:val="16"/>
                <w:szCs w:val="16"/>
                <w:color w:val="auto"/>
              </w:rPr>
            </w:pPr>
          </w:p>
        </w:tc>
        <w:tc>
          <w:tcPr>
            <w:tcW w:w="8060" w:type="dxa"/>
            <w:vAlign w:val="bottom"/>
            <w:shd w:val="clear" w:color="auto" w:fill="D9D9D6"/>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$8,294</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$7,848</w:t>
            </w:r>
          </w:p>
        </w:tc>
        <w:tc>
          <w:tcPr>
            <w:tcW w:w="9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5.7</w:t>
            </w:r>
          </w:p>
        </w:tc>
        <w:tc>
          <w:tcPr>
            <w:tcW w:w="200" w:type="dxa"/>
            <w:vAlign w:val="bottom"/>
            <w:tcBorders>
              <w:right w:val="single" w:sz="8" w:color="D9D9D6"/>
            </w:tcBorders>
            <w:shd w:val="clear" w:color="auto" w:fill="D9D9D6"/>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120" w:type="dxa"/>
            <w:vAlign w:val="bottom"/>
            <w:shd w:val="clear" w:color="auto" w:fill="D9D9D6"/>
          </w:tcPr>
          <w:p>
            <w:pPr>
              <w:spacing w:after="0"/>
              <w:rPr>
                <w:sz w:val="18"/>
                <w:szCs w:val="18"/>
                <w:color w:val="auto"/>
              </w:rPr>
            </w:pPr>
          </w:p>
        </w:tc>
        <w:tc>
          <w:tcPr>
            <w:tcW w:w="8060" w:type="dxa"/>
            <w:vAlign w:val="bottom"/>
            <w:shd w:val="clear" w:color="auto" w:fill="D9D9D6"/>
          </w:tcPr>
          <w:p>
            <w:pPr>
              <w:ind w:left="20"/>
              <w:spacing w:after="0"/>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4</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$5,421</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$4,538</w:t>
            </w:r>
          </w:p>
        </w:tc>
        <w:tc>
          <w:tcPr>
            <w:tcW w:w="9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19.4</w:t>
            </w:r>
          </w:p>
        </w:tc>
        <w:tc>
          <w:tcPr>
            <w:tcW w:w="200" w:type="dxa"/>
            <w:vAlign w:val="bottom"/>
            <w:tcBorders>
              <w:right w:val="single" w:sz="8" w:color="D9D9D6"/>
            </w:tcBorders>
            <w:shd w:val="clear" w:color="auto" w:fill="D9D9D6"/>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120" w:type="dxa"/>
            <w:vAlign w:val="bottom"/>
            <w:shd w:val="clear" w:color="auto" w:fill="D9D9D6"/>
          </w:tcPr>
          <w:p>
            <w:pPr>
              <w:spacing w:after="0"/>
              <w:rPr>
                <w:sz w:val="4"/>
                <w:szCs w:val="4"/>
                <w:color w:val="auto"/>
              </w:rPr>
            </w:pPr>
          </w:p>
        </w:tc>
        <w:tc>
          <w:tcPr>
            <w:tcW w:w="8060" w:type="dxa"/>
            <w:vAlign w:val="bottom"/>
            <w:shd w:val="clear" w:color="auto" w:fill="D9D9D6"/>
          </w:tcPr>
          <w:p>
            <w:pPr>
              <w:spacing w:after="0"/>
              <w:rPr>
                <w:sz w:val="4"/>
                <w:szCs w:val="4"/>
                <w:color w:val="auto"/>
              </w:rPr>
            </w:pPr>
          </w:p>
        </w:tc>
        <w:tc>
          <w:tcPr>
            <w:tcW w:w="620" w:type="dxa"/>
            <w:vAlign w:val="bottom"/>
            <w:shd w:val="clear" w:color="auto" w:fill="D9D9D6"/>
          </w:tcPr>
          <w:p>
            <w:pPr>
              <w:spacing w:after="0"/>
              <w:rPr>
                <w:sz w:val="4"/>
                <w:szCs w:val="4"/>
                <w:color w:val="auto"/>
              </w:rPr>
            </w:pPr>
          </w:p>
        </w:tc>
        <w:tc>
          <w:tcPr>
            <w:tcW w:w="340" w:type="dxa"/>
            <w:vAlign w:val="bottom"/>
            <w:tcBorders>
              <w:right w:val="single" w:sz="8" w:color="D9D9D6"/>
            </w:tcBorders>
            <w:shd w:val="clear" w:color="auto" w:fill="D9D9D6"/>
          </w:tcPr>
          <w:p>
            <w:pPr>
              <w:spacing w:after="0"/>
              <w:rPr>
                <w:sz w:val="4"/>
                <w:szCs w:val="4"/>
                <w:color w:val="auto"/>
              </w:rPr>
            </w:pPr>
          </w:p>
        </w:tc>
        <w:tc>
          <w:tcPr>
            <w:tcW w:w="220" w:type="dxa"/>
            <w:vAlign w:val="bottom"/>
            <w:shd w:val="clear" w:color="auto" w:fill="D9D9D6"/>
          </w:tcPr>
          <w:p>
            <w:pPr>
              <w:spacing w:after="0"/>
              <w:rPr>
                <w:sz w:val="4"/>
                <w:szCs w:val="4"/>
                <w:color w:val="auto"/>
              </w:rPr>
            </w:pPr>
          </w:p>
        </w:tc>
        <w:tc>
          <w:tcPr>
            <w:tcW w:w="400" w:type="dxa"/>
            <w:vAlign w:val="bottom"/>
            <w:shd w:val="clear" w:color="auto" w:fill="D9D9D6"/>
          </w:tcPr>
          <w:p>
            <w:pPr>
              <w:spacing w:after="0"/>
              <w:rPr>
                <w:sz w:val="4"/>
                <w:szCs w:val="4"/>
                <w:color w:val="auto"/>
              </w:rPr>
            </w:pPr>
          </w:p>
        </w:tc>
        <w:tc>
          <w:tcPr>
            <w:tcW w:w="340" w:type="dxa"/>
            <w:vAlign w:val="bottom"/>
            <w:tcBorders>
              <w:right w:val="single" w:sz="8" w:color="D9D9D6"/>
            </w:tcBorders>
            <w:shd w:val="clear" w:color="auto" w:fill="D9D9D6"/>
          </w:tcPr>
          <w:p>
            <w:pPr>
              <w:spacing w:after="0"/>
              <w:rPr>
                <w:sz w:val="4"/>
                <w:szCs w:val="4"/>
                <w:color w:val="auto"/>
              </w:rPr>
            </w:pPr>
          </w:p>
        </w:tc>
        <w:tc>
          <w:tcPr>
            <w:tcW w:w="62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0" w:type="dxa"/>
            <w:vAlign w:val="bottom"/>
            <w:tcBorders>
              <w:right w:val="single" w:sz="8" w:color="D9D9D6"/>
            </w:tcBorders>
            <w:shd w:val="clear" w:color="auto" w:fill="D9D9D6"/>
          </w:tcPr>
          <w:p>
            <w:pPr>
              <w:spacing w:after="0"/>
              <w:rPr>
                <w:sz w:val="4"/>
                <w:szCs w:val="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right="20"/>
        <w:spacing w:after="0" w:line="305"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 on Comcast’s Investor Relations website at www.cmcsa.com.</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1st Quarter 2025 Highlights:</w:t>
      </w:r>
    </w:p>
    <w:p>
      <w:pPr>
        <w:spacing w:after="0" w:line="40" w:lineRule="exact"/>
        <w:rPr>
          <w:sz w:val="20"/>
          <w:szCs w:val="20"/>
          <w:color w:val="auto"/>
        </w:rPr>
      </w:pPr>
    </w:p>
    <w:p>
      <w:pPr>
        <w:ind w:left="34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Adjusted EBITDA Increased 1.9% to $9.5 Billion; Adjusted EPS Increased 4.5% to $1.09; Generated Free Cash Flow of $5.4 Billion</w:t>
      </w:r>
    </w:p>
    <w:p>
      <w:pPr>
        <w:spacing w:after="0" w:line="1" w:lineRule="exact"/>
        <w:rPr>
          <w:rFonts w:ascii="Arial" w:cs="Arial" w:eastAsia="Arial" w:hAnsi="Arial"/>
          <w:sz w:val="18"/>
          <w:szCs w:val="18"/>
          <w:color w:val="auto"/>
        </w:rPr>
      </w:pPr>
    </w:p>
    <w:p>
      <w:pPr>
        <w:ind w:left="340" w:hanging="332"/>
        <w:spacing w:after="0" w:line="255"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Returned $3.2 Billion to Shareholders Through a Combination of $1.2 Billion in Dividend Payments and $2.0 Billion in Share Repurchases, Reducing Shares Outstanding by 5%</w:t>
      </w:r>
    </w:p>
    <w:p>
      <w:pPr>
        <w:spacing w:after="0" w:line="1" w:lineRule="exact"/>
        <w:rPr>
          <w:rFonts w:ascii="Arial" w:cs="Arial" w:eastAsia="Arial" w:hAnsi="Arial"/>
          <w:sz w:val="18"/>
          <w:szCs w:val="18"/>
          <w:color w:val="auto"/>
        </w:rPr>
      </w:pPr>
    </w:p>
    <w:p>
      <w:pPr>
        <w:ind w:left="340" w:right="20" w:hanging="332"/>
        <w:spacing w:after="0" w:line="263"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Connectivity &amp; Platforms, Connectivity Revenue Increased 4.1% to $11.3 Billion, Reflecting Growth in Domestic Broadband, Domestic Wireless, International Connectivity and Business Services Connectivity</w:t>
      </w:r>
    </w:p>
    <w:p>
      <w:pPr>
        <w:spacing w:after="0" w:line="1" w:lineRule="exact"/>
        <w:rPr>
          <w:rFonts w:ascii="Arial" w:cs="Arial" w:eastAsia="Arial" w:hAnsi="Arial"/>
          <w:sz w:val="18"/>
          <w:szCs w:val="18"/>
          <w:color w:val="auto"/>
        </w:rPr>
      </w:pPr>
    </w:p>
    <w:p>
      <w:pPr>
        <w:ind w:left="340" w:hanging="332"/>
        <w:spacing w:after="0" w:line="258"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Connectivity &amp; Platforms Adjusted EBITDA Increased 1.5% to $8.3 Billion and Adjusted EBITDA Margin Increased 90 Basis Points to 41.4%. Excluding the Impact of Foreign Currency, Connectivity &amp; Platforms Adjusted EBITDA Margin Increased 80 Basis Points</w:t>
      </w:r>
    </w:p>
    <w:p>
      <w:pPr>
        <w:ind w:left="340" w:hanging="332"/>
        <w:spacing w:after="0" w:line="26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the Successful Execution of Our Domestic Network Upgrade and Expansion Strategy; Increased Our Converged Broadband and Wireless Footprint With 275,000 New Passings of Homes and Businesses in the First Quarter</w:t>
      </w:r>
    </w:p>
    <w:p>
      <w:pPr>
        <w:spacing w:after="0" w:line="1" w:lineRule="exact"/>
        <w:rPr>
          <w:rFonts w:ascii="Arial" w:cs="Arial" w:eastAsia="Arial" w:hAnsi="Arial"/>
          <w:sz w:val="18"/>
          <w:szCs w:val="18"/>
          <w:color w:val="auto"/>
        </w:rPr>
      </w:pPr>
    </w:p>
    <w:p>
      <w:pPr>
        <w:ind w:left="340" w:hanging="332"/>
        <w:spacing w:after="0" w:line="263"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Media Adjusted EBITDA Increased 21% to $1.0 Billion, Driven by Peacock. Peacock Revenue Increased 16% to $1.2 Billion; Peacock Adjusted EBITDA Losses Improved by $424 Million Compared to the Prior Year Period</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Studios Adjusted EBITDA Increased 22% to $298 Million, Reflecting Strong Carryover from </w:t>
      </w:r>
      <w:r>
        <w:rPr>
          <w:rFonts w:ascii="Arial" w:cs="Arial" w:eastAsia="Arial" w:hAnsi="Arial"/>
          <w:sz w:val="18"/>
          <w:szCs w:val="18"/>
          <w:i w:val="1"/>
          <w:iCs w:val="1"/>
          <w:color w:val="auto"/>
        </w:rPr>
        <w:t>Wicked</w:t>
      </w:r>
      <w:r>
        <w:rPr>
          <w:rFonts w:ascii="Arial" w:cs="Arial" w:eastAsia="Arial" w:hAnsi="Arial"/>
          <w:sz w:val="18"/>
          <w:szCs w:val="18"/>
          <w:color w:val="auto"/>
        </w:rPr>
        <w:t xml:space="preserve"> and </w:t>
      </w:r>
      <w:r>
        <w:rPr>
          <w:rFonts w:ascii="Arial" w:cs="Arial" w:eastAsia="Arial" w:hAnsi="Arial"/>
          <w:sz w:val="18"/>
          <w:szCs w:val="18"/>
          <w:i w:val="1"/>
          <w:iCs w:val="1"/>
          <w:color w:val="auto"/>
        </w:rPr>
        <w:t>Nosferatu</w:t>
      </w:r>
    </w:p>
    <w:p>
      <w:pPr>
        <w:spacing w:after="0" w:line="17" w:lineRule="exact"/>
        <w:rPr>
          <w:rFonts w:ascii="Arial" w:cs="Arial" w:eastAsia="Arial" w:hAnsi="Arial"/>
          <w:sz w:val="18"/>
          <w:szCs w:val="18"/>
          <w:color w:val="auto"/>
        </w:rPr>
      </w:pPr>
    </w:p>
    <w:p>
      <w:pPr>
        <w:jc w:val="both"/>
        <w:ind w:left="340" w:hanging="332"/>
        <w:spacing w:after="0"/>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Universal Epic Universe Debuts on May 22, 2025, as Our Most Ambitious Parks Experience Ever Created, Featuring Five Immersive Worlds and Over 50 Attractions That Will Transform Universal Orlando into a Premier Weeklong Destination. Recently Announced Our Intent to Build a Universal Theme Park and Resort in the United Kingdom and the August 2025 Opening Date for Universal Horror Unleashed in Las Vegas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737"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1st Quarter Consolidated Financial Results</w:t>
      </w:r>
    </w:p>
    <w:p>
      <w:pPr>
        <w:spacing w:after="0" w:line="4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was consistent with the prior year period.</w:t>
      </w:r>
      <w:r>
        <w:rPr>
          <w:rFonts w:ascii="Arial" w:cs="Arial" w:eastAsia="Arial" w:hAnsi="Arial"/>
          <w:sz w:val="18"/>
          <w:szCs w:val="18"/>
          <w:b w:val="1"/>
          <w:bCs w:val="1"/>
          <w:i w:val="1"/>
          <w:iCs w:val="1"/>
          <w:color w:val="auto"/>
        </w:rPr>
        <w:t xml:space="preserve"> Net Income Attributable to Comcast </w:t>
      </w:r>
      <w:r>
        <w:rPr>
          <w:rFonts w:ascii="Arial" w:cs="Arial" w:eastAsia="Arial" w:hAnsi="Arial"/>
          <w:sz w:val="18"/>
          <w:szCs w:val="18"/>
          <w:color w:val="auto"/>
        </w:rPr>
        <w:t>decreased 12.5%.</w:t>
      </w:r>
      <w:r>
        <w:rPr>
          <w:rFonts w:ascii="Arial" w:cs="Arial" w:eastAsia="Arial" w:hAnsi="Arial"/>
          <w:sz w:val="18"/>
          <w:szCs w:val="18"/>
          <w:b w:val="1"/>
          <w:bCs w:val="1"/>
          <w:i w:val="1"/>
          <w:iCs w:val="1"/>
          <w:color w:val="auto"/>
        </w:rPr>
        <w:t xml:space="preserve"> Adjusted Net Income </w:t>
      </w:r>
      <w:r>
        <w:rPr>
          <w:rFonts w:ascii="Arial" w:cs="Arial" w:eastAsia="Arial" w:hAnsi="Arial"/>
          <w:sz w:val="18"/>
          <w:szCs w:val="18"/>
          <w:color w:val="auto"/>
        </w:rPr>
        <w:t>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consistent with the prior year period. </w:t>
      </w:r>
      <w:r>
        <w:rPr>
          <w:rFonts w:ascii="Arial" w:cs="Arial" w:eastAsia="Arial" w:hAnsi="Arial"/>
          <w:sz w:val="18"/>
          <w:szCs w:val="18"/>
          <w:b w:val="1"/>
          <w:bCs w:val="1"/>
          <w:i w:val="1"/>
          <w:iCs w:val="1"/>
          <w:color w:val="auto"/>
        </w:rPr>
        <w:t>Adjusted EBITDA</w:t>
      </w:r>
      <w:r>
        <w:rPr>
          <w:rFonts w:ascii="Arial" w:cs="Arial" w:eastAsia="Arial" w:hAnsi="Arial"/>
          <w:sz w:val="18"/>
          <w:szCs w:val="18"/>
          <w:color w:val="auto"/>
        </w:rPr>
        <w:t xml:space="preserve"> increased 1.9%.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decreased 7.7% to $0.89.</w:t>
      </w:r>
      <w:r>
        <w:rPr>
          <w:rFonts w:ascii="Arial" w:cs="Arial" w:eastAsia="Arial" w:hAnsi="Arial"/>
          <w:sz w:val="18"/>
          <w:szCs w:val="18"/>
          <w:b w:val="1"/>
          <w:bCs w:val="1"/>
          <w:i w:val="1"/>
          <w:iCs w:val="1"/>
          <w:color w:val="auto"/>
        </w:rPr>
        <w:t xml:space="preserve"> Adjusted EPS </w:t>
      </w:r>
      <w:r>
        <w:rPr>
          <w:rFonts w:ascii="Arial" w:cs="Arial" w:eastAsia="Arial" w:hAnsi="Arial"/>
          <w:sz w:val="18"/>
          <w:szCs w:val="18"/>
          <w:color w:val="auto"/>
        </w:rPr>
        <w:t>increased 4.5% to $1.09.</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decreased 14.4% to $2.3 billion. Connectivity &amp; Platforms’ capital expenditures decreased 13.8% to $1.6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reflecting lower spending on customer premise equipment and scalable infrastructure. Content &amp; Experiences' capital expenditures decreased 10.8% to $602 million, as we near completion of the construction of Epic Universe theme park in Orlando, which is scheduled to open on May 22, 2025.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$8.3 billion.</w:t>
      </w:r>
      <w:r>
        <w:rPr>
          <w:rFonts w:ascii="Arial" w:cs="Arial" w:eastAsia="Arial" w:hAnsi="Arial"/>
          <w:sz w:val="18"/>
          <w:szCs w:val="18"/>
          <w:b w:val="1"/>
          <w:bCs w:val="1"/>
          <w:i w:val="1"/>
          <w:iCs w:val="1"/>
          <w:color w:val="auto"/>
        </w:rPr>
        <w:t xml:space="preserve"> Free Cash Flow </w:t>
      </w:r>
      <w:r>
        <w:rPr>
          <w:rFonts w:ascii="Arial" w:cs="Arial" w:eastAsia="Arial" w:hAnsi="Arial"/>
          <w:sz w:val="18"/>
          <w:szCs w:val="18"/>
          <w:color w:val="auto"/>
        </w:rPr>
        <w:t>was $5.4 billion.</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Comcast paid dividends totaling $1.2 billion and repurchased 56.2 million of its shares for $2.0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resulting in a total return of capital to shareholders of $3.2 billion.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Connectivity &amp;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25031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03170"/>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p>
      <w:pPr>
        <w:spacing w:after="0" w:line="397" w:lineRule="exact"/>
        <w:rPr>
          <w:sz w:val="20"/>
          <w:szCs w:val="20"/>
          <w:color w:val="auto"/>
        </w:rPr>
      </w:pPr>
    </w:p>
    <w:p>
      <w:pPr>
        <w:ind w:left="140"/>
        <w:spacing w:after="0"/>
        <w:rPr>
          <w:sz w:val="20"/>
          <w:szCs w:val="20"/>
          <w:color w:val="auto"/>
        </w:rPr>
      </w:pPr>
      <w:r>
        <w:rPr>
          <w:rFonts w:ascii="Arial" w:cs="Arial" w:eastAsia="Arial" w:hAnsi="Arial"/>
          <w:sz w:val="11"/>
          <w:szCs w:val="11"/>
          <w:i w:val="1"/>
          <w:iCs w:val="1"/>
          <w:color w:val="auto"/>
        </w:rPr>
        <w:t>($ in millions)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Connectivity &amp; Platforms Revenue</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Residential Connectivity &amp; Platforms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Business Services Connectivity</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 Connectivity &amp; Platforms Revenue</w:t>
      </w:r>
    </w:p>
    <w:p>
      <w:pPr>
        <w:spacing w:after="0" w:line="25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Connectivity &amp; Platforms Adjusted EBITDA</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Residential Connectivity &amp; Platforms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Business Services Connectivity</w:t>
      </w:r>
    </w:p>
    <w:p>
      <w:pPr>
        <w:spacing w:after="0" w:line="55" w:lineRule="exact"/>
        <w:rPr>
          <w:sz w:val="20"/>
          <w:szCs w:val="20"/>
          <w:color w:val="auto"/>
        </w:rPr>
      </w:pPr>
    </w:p>
    <w:p>
      <w:pPr>
        <w:ind w:left="140" w:right="2280" w:hanging="12"/>
        <w:spacing w:after="0" w:line="462" w:lineRule="auto"/>
        <w:rPr>
          <w:sz w:val="20"/>
          <w:szCs w:val="20"/>
          <w:color w:val="auto"/>
        </w:rPr>
      </w:pPr>
      <w:r>
        <w:rPr>
          <w:rFonts w:ascii="Arial" w:cs="Arial" w:eastAsia="Arial" w:hAnsi="Arial"/>
          <w:sz w:val="14"/>
          <w:szCs w:val="14"/>
          <w:b w:val="1"/>
          <w:bCs w:val="1"/>
          <w:color w:val="auto"/>
        </w:rPr>
        <w:t>Total Connectivity &amp; Platforms Adjusted EBITDA Connectivity &amp; Platforms Adjusted EBITDA Margin</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Residential Connectivity &amp; Platforms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Business Services Connectivity</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 Connectivity &amp; Platforms Adjusted EBITDA Margin</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right w:val="single" w:sz="8" w:color="D9D9D6"/>
            </w:tcBorders>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rPr>
              <w:t>Constant</w:t>
            </w:r>
          </w:p>
        </w:tc>
        <w:tc>
          <w:tcPr>
            <w:tcW w:w="320" w:type="dxa"/>
            <w:vAlign w:val="bottom"/>
            <w:shd w:val="clear" w:color="auto" w:fill="D9D9D6"/>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780" w:type="dxa"/>
            <w:vAlign w:val="bottom"/>
            <w:shd w:val="clear" w:color="auto" w:fill="D9D9D6"/>
          </w:tcPr>
          <w:p>
            <w:pPr>
              <w:spacing w:after="0"/>
              <w:rPr>
                <w:sz w:val="8"/>
                <w:szCs w:val="8"/>
                <w:color w:val="auto"/>
              </w:rPr>
            </w:pPr>
          </w:p>
        </w:tc>
        <w:tc>
          <w:tcPr>
            <w:tcW w:w="180" w:type="dxa"/>
            <w:vAlign w:val="bottom"/>
            <w:shd w:val="clear" w:color="auto" w:fill="D9D9D6"/>
          </w:tcPr>
          <w:p>
            <w:pPr>
              <w:spacing w:after="0"/>
              <w:rPr>
                <w:sz w:val="8"/>
                <w:szCs w:val="8"/>
                <w:color w:val="auto"/>
              </w:rPr>
            </w:pPr>
          </w:p>
        </w:tc>
        <w:tc>
          <w:tcPr>
            <w:tcW w:w="14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20" w:type="dxa"/>
            <w:vAlign w:val="bottom"/>
            <w:shd w:val="clear" w:color="auto" w:fill="D9D9D6"/>
          </w:tcPr>
          <w:p>
            <w:pPr>
              <w:spacing w:after="0"/>
              <w:rPr>
                <w:sz w:val="8"/>
                <w:szCs w:val="8"/>
                <w:color w:val="auto"/>
              </w:rPr>
            </w:pPr>
          </w:p>
        </w:tc>
        <w:tc>
          <w:tcPr>
            <w:tcW w:w="880" w:type="dxa"/>
            <w:vAlign w:val="bottom"/>
            <w:gridSpan w:val="4"/>
            <w:vMerge w:val="restart"/>
            <w:shd w:val="clear" w:color="auto" w:fill="D9D9D6"/>
          </w:tcPr>
          <w:p>
            <w:pPr>
              <w:spacing w:after="0"/>
              <w:rPr>
                <w:sz w:val="20"/>
                <w:szCs w:val="20"/>
                <w:color w:val="auto"/>
              </w:rPr>
            </w:pPr>
            <w:r>
              <w:rPr>
                <w:rFonts w:ascii="Arial" w:cs="Arial" w:eastAsia="Arial" w:hAnsi="Arial"/>
                <w:sz w:val="14"/>
                <w:szCs w:val="14"/>
                <w:color w:val="auto"/>
              </w:rPr>
              <w:t>1st Quarter</w:t>
            </w:r>
          </w:p>
        </w:tc>
        <w:tc>
          <w:tcPr>
            <w:tcW w:w="56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200" w:type="dxa"/>
            <w:vAlign w:val="bottom"/>
            <w:shd w:val="clear" w:color="auto" w:fill="D9D9D6"/>
          </w:tcPr>
          <w:p>
            <w:pPr>
              <w:spacing w:after="0"/>
              <w:rPr>
                <w:sz w:val="8"/>
                <w:szCs w:val="8"/>
                <w:color w:val="auto"/>
              </w:rPr>
            </w:pPr>
          </w:p>
        </w:tc>
        <w:tc>
          <w:tcPr>
            <w:tcW w:w="1120" w:type="dxa"/>
            <w:vAlign w:val="bottom"/>
            <w:tcBorders>
              <w:right w:val="single" w:sz="8" w:color="D9D9D6"/>
            </w:tcBorders>
            <w:gridSpan w:val="2"/>
            <w:vMerge w:val="continue"/>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780" w:type="dxa"/>
            <w:vAlign w:val="bottom"/>
            <w:shd w:val="clear" w:color="auto" w:fill="D9D9D6"/>
          </w:tcPr>
          <w:p>
            <w:pPr>
              <w:spacing w:after="0"/>
              <w:rPr>
                <w:sz w:val="7"/>
                <w:szCs w:val="7"/>
                <w:color w:val="auto"/>
              </w:rPr>
            </w:pPr>
          </w:p>
        </w:tc>
        <w:tc>
          <w:tcPr>
            <w:tcW w:w="180" w:type="dxa"/>
            <w:vAlign w:val="bottom"/>
            <w:shd w:val="clear" w:color="auto" w:fill="D9D9D6"/>
          </w:tcPr>
          <w:p>
            <w:pPr>
              <w:spacing w:after="0"/>
              <w:rPr>
                <w:sz w:val="7"/>
                <w:szCs w:val="7"/>
                <w:color w:val="auto"/>
              </w:rPr>
            </w:pPr>
          </w:p>
        </w:tc>
        <w:tc>
          <w:tcPr>
            <w:tcW w:w="140" w:type="dxa"/>
            <w:vAlign w:val="bottom"/>
            <w:shd w:val="clear" w:color="auto" w:fill="D9D9D6"/>
          </w:tcPr>
          <w:p>
            <w:pPr>
              <w:spacing w:after="0"/>
              <w:rPr>
                <w:sz w:val="7"/>
                <w:szCs w:val="7"/>
                <w:color w:val="auto"/>
              </w:rPr>
            </w:pPr>
          </w:p>
        </w:tc>
        <w:tc>
          <w:tcPr>
            <w:tcW w:w="20" w:type="dxa"/>
            <w:vAlign w:val="bottom"/>
            <w:shd w:val="clear" w:color="auto" w:fill="D9D9D6"/>
          </w:tcPr>
          <w:p>
            <w:pPr>
              <w:spacing w:after="0"/>
              <w:rPr>
                <w:sz w:val="7"/>
                <w:szCs w:val="7"/>
                <w:color w:val="auto"/>
              </w:rPr>
            </w:pPr>
          </w:p>
        </w:tc>
        <w:tc>
          <w:tcPr>
            <w:tcW w:w="120" w:type="dxa"/>
            <w:vAlign w:val="bottom"/>
            <w:shd w:val="clear" w:color="auto" w:fill="D9D9D6"/>
          </w:tcPr>
          <w:p>
            <w:pPr>
              <w:spacing w:after="0"/>
              <w:rPr>
                <w:sz w:val="7"/>
                <w:szCs w:val="7"/>
                <w:color w:val="auto"/>
              </w:rPr>
            </w:pPr>
          </w:p>
        </w:tc>
        <w:tc>
          <w:tcPr>
            <w:tcW w:w="880" w:type="dxa"/>
            <w:vAlign w:val="bottom"/>
            <w:gridSpan w:val="4"/>
            <w:vMerge w:val="continue"/>
            <w:shd w:val="clear" w:color="auto" w:fill="D9D9D6"/>
          </w:tcPr>
          <w:p>
            <w:pPr>
              <w:spacing w:after="0"/>
              <w:rPr>
                <w:sz w:val="7"/>
                <w:szCs w:val="7"/>
                <w:color w:val="auto"/>
              </w:rPr>
            </w:pPr>
          </w:p>
        </w:tc>
        <w:tc>
          <w:tcPr>
            <w:tcW w:w="560" w:type="dxa"/>
            <w:vAlign w:val="bottom"/>
            <w:shd w:val="clear" w:color="auto" w:fill="D9D9D6"/>
          </w:tcPr>
          <w:p>
            <w:pPr>
              <w:spacing w:after="0"/>
              <w:rPr>
                <w:sz w:val="7"/>
                <w:szCs w:val="7"/>
                <w:color w:val="auto"/>
              </w:rPr>
            </w:pPr>
          </w:p>
        </w:tc>
        <w:tc>
          <w:tcPr>
            <w:tcW w:w="320" w:type="dxa"/>
            <w:vAlign w:val="bottom"/>
            <w:shd w:val="clear" w:color="auto" w:fill="D9D9D6"/>
          </w:tcPr>
          <w:p>
            <w:pPr>
              <w:spacing w:after="0"/>
              <w:rPr>
                <w:sz w:val="7"/>
                <w:szCs w:val="7"/>
                <w:color w:val="auto"/>
              </w:rPr>
            </w:pPr>
          </w:p>
        </w:tc>
        <w:tc>
          <w:tcPr>
            <w:tcW w:w="200" w:type="dxa"/>
            <w:vAlign w:val="bottom"/>
            <w:shd w:val="clear" w:color="auto" w:fill="D9D9D6"/>
          </w:tcPr>
          <w:p>
            <w:pPr>
              <w:spacing w:after="0"/>
              <w:rPr>
                <w:sz w:val="7"/>
                <w:szCs w:val="7"/>
                <w:color w:val="auto"/>
              </w:rPr>
            </w:pPr>
          </w:p>
        </w:tc>
        <w:tc>
          <w:tcPr>
            <w:tcW w:w="1120" w:type="dxa"/>
            <w:vAlign w:val="bottom"/>
            <w:tcBorders>
              <w:right w:val="single" w:sz="8" w:color="D9D9D6"/>
            </w:tcBorders>
            <w:gridSpan w:val="2"/>
            <w:vMerge w:val="restart"/>
            <w:shd w:val="clear" w:color="auto" w:fill="D9D9D6"/>
          </w:tcPr>
          <w:p>
            <w:pPr>
              <w:jc w:val="right"/>
              <w:spacing w:after="0" w:line="137" w:lineRule="exact"/>
              <w:rPr>
                <w:sz w:val="20"/>
                <w:szCs w:val="20"/>
                <w:color w:val="auto"/>
              </w:rPr>
            </w:pPr>
            <w:r>
              <w:rPr>
                <w:rFonts w:ascii="Arial" w:cs="Arial" w:eastAsia="Arial" w:hAnsi="Arial"/>
                <w:sz w:val="14"/>
                <w:szCs w:val="14"/>
                <w:color w:val="auto"/>
              </w:rPr>
              <w:t>Currency</w:t>
            </w:r>
          </w:p>
        </w:tc>
        <w:tc>
          <w:tcPr>
            <w:tcW w:w="320" w:type="dxa"/>
            <w:vAlign w:val="bottom"/>
            <w:shd w:val="clear" w:color="auto" w:fill="D9D9D6"/>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56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1120" w:type="dxa"/>
            <w:vAlign w:val="bottom"/>
            <w:tcBorders>
              <w:right w:val="single" w:sz="8" w:color="D9D9D6"/>
            </w:tcBorders>
            <w:gridSpan w:val="2"/>
            <w:vMerge w:val="continue"/>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1120" w:type="dxa"/>
            <w:vAlign w:val="bottom"/>
            <w:gridSpan w:val="4"/>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2025</w:t>
            </w:r>
          </w:p>
        </w:tc>
        <w:tc>
          <w:tcPr>
            <w:tcW w:w="120" w:type="dxa"/>
            <w:vAlign w:val="bottom"/>
            <w:vMerge w:val="restart"/>
            <w:shd w:val="clear" w:color="auto" w:fill="D9D9D6"/>
          </w:tcPr>
          <w:p>
            <w:pPr>
              <w:spacing w:after="0"/>
              <w:rPr>
                <w:sz w:val="3"/>
                <w:szCs w:val="3"/>
                <w:color w:val="auto"/>
              </w:rPr>
            </w:pPr>
          </w:p>
        </w:tc>
        <w:tc>
          <w:tcPr>
            <w:tcW w:w="880" w:type="dxa"/>
            <w:vAlign w:val="bottom"/>
            <w:gridSpan w:val="4"/>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560" w:type="dxa"/>
            <w:vAlign w:val="bottom"/>
            <w:shd w:val="clear" w:color="auto" w:fill="D9D9D6"/>
          </w:tcPr>
          <w:p>
            <w:pPr>
              <w:spacing w:after="0"/>
              <w:rPr>
                <w:sz w:val="3"/>
                <w:szCs w:val="3"/>
                <w:color w:val="auto"/>
              </w:rPr>
            </w:pPr>
          </w:p>
        </w:tc>
        <w:tc>
          <w:tcPr>
            <w:tcW w:w="520" w:type="dxa"/>
            <w:vAlign w:val="bottom"/>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rPr>
              <w:t>Change</w:t>
            </w:r>
          </w:p>
        </w:tc>
        <w:tc>
          <w:tcPr>
            <w:tcW w:w="1120" w:type="dxa"/>
            <w:vAlign w:val="bottom"/>
            <w:tcBorders>
              <w:right w:val="single" w:sz="8" w:color="D9D9D6"/>
            </w:tcBorders>
            <w:gridSpan w:val="2"/>
            <w:vMerge w:val="continue"/>
            <w:shd w:val="clear" w:color="auto" w:fill="D9D9D6"/>
          </w:tcPr>
          <w:p>
            <w:pPr>
              <w:spacing w:after="0"/>
              <w:rPr>
                <w:sz w:val="3"/>
                <w:szCs w:val="3"/>
                <w:color w:val="auto"/>
              </w:rPr>
            </w:pPr>
          </w:p>
        </w:tc>
        <w:tc>
          <w:tcPr>
            <w:tcW w:w="320" w:type="dxa"/>
            <w:vAlign w:val="bottom"/>
            <w:shd w:val="clear" w:color="auto" w:fill="D9D9D6"/>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7"/>
        </w:trPr>
        <w:tc>
          <w:tcPr>
            <w:tcW w:w="1120" w:type="dxa"/>
            <w:vAlign w:val="bottom"/>
            <w:gridSpan w:val="4"/>
            <w:vMerge w:val="continue"/>
            <w:shd w:val="clear" w:color="auto" w:fill="D9D9D6"/>
          </w:tcPr>
          <w:p>
            <w:pPr>
              <w:spacing w:after="0"/>
              <w:rPr>
                <w:sz w:val="12"/>
                <w:szCs w:val="12"/>
                <w:color w:val="auto"/>
              </w:rPr>
            </w:pPr>
          </w:p>
        </w:tc>
        <w:tc>
          <w:tcPr>
            <w:tcW w:w="120" w:type="dxa"/>
            <w:vAlign w:val="bottom"/>
            <w:vMerge w:val="continue"/>
            <w:shd w:val="clear" w:color="auto" w:fill="D9D9D6"/>
          </w:tcPr>
          <w:p>
            <w:pPr>
              <w:spacing w:after="0"/>
              <w:rPr>
                <w:sz w:val="12"/>
                <w:szCs w:val="12"/>
                <w:color w:val="auto"/>
              </w:rPr>
            </w:pPr>
          </w:p>
        </w:tc>
        <w:tc>
          <w:tcPr>
            <w:tcW w:w="880" w:type="dxa"/>
            <w:vAlign w:val="bottom"/>
            <w:gridSpan w:val="4"/>
            <w:vMerge w:val="continue"/>
            <w:shd w:val="clear" w:color="auto" w:fill="D9D9D6"/>
          </w:tcPr>
          <w:p>
            <w:pPr>
              <w:spacing w:after="0"/>
              <w:rPr>
                <w:sz w:val="12"/>
                <w:szCs w:val="12"/>
                <w:color w:val="auto"/>
              </w:rPr>
            </w:pPr>
          </w:p>
        </w:tc>
        <w:tc>
          <w:tcPr>
            <w:tcW w:w="560" w:type="dxa"/>
            <w:vAlign w:val="bottom"/>
            <w:shd w:val="clear" w:color="auto" w:fill="D9D9D6"/>
          </w:tcPr>
          <w:p>
            <w:pPr>
              <w:spacing w:after="0"/>
              <w:rPr>
                <w:sz w:val="12"/>
                <w:szCs w:val="12"/>
                <w:color w:val="auto"/>
              </w:rPr>
            </w:pPr>
          </w:p>
        </w:tc>
        <w:tc>
          <w:tcPr>
            <w:tcW w:w="520" w:type="dxa"/>
            <w:vAlign w:val="bottom"/>
            <w:gridSpan w:val="2"/>
            <w:vMerge w:val="continue"/>
            <w:shd w:val="clear" w:color="auto" w:fill="D9D9D6"/>
          </w:tcPr>
          <w:p>
            <w:pPr>
              <w:spacing w:after="0"/>
              <w:rPr>
                <w:sz w:val="12"/>
                <w:szCs w:val="12"/>
                <w:color w:val="auto"/>
              </w:rPr>
            </w:pPr>
          </w:p>
        </w:tc>
        <w:tc>
          <w:tcPr>
            <w:tcW w:w="560" w:type="dxa"/>
            <w:vAlign w:val="bottom"/>
            <w:shd w:val="clear" w:color="auto" w:fill="D9D9D6"/>
          </w:tcPr>
          <w:p>
            <w:pPr>
              <w:spacing w:after="0"/>
              <w:rPr>
                <w:sz w:val="12"/>
                <w:szCs w:val="12"/>
                <w:color w:val="auto"/>
              </w:rPr>
            </w:pPr>
          </w:p>
        </w:tc>
        <w:tc>
          <w:tcPr>
            <w:tcW w:w="560" w:type="dxa"/>
            <w:vAlign w:val="bottom"/>
            <w:tcBorders>
              <w:right w:val="single" w:sz="8" w:color="D9D9D6"/>
            </w:tcBorders>
            <w:shd w:val="clear" w:color="auto" w:fill="D9D9D6"/>
          </w:tcPr>
          <w:p>
            <w:pPr>
              <w:jc w:val="right"/>
              <w:spacing w:after="0" w:line="127" w:lineRule="exact"/>
              <w:rPr>
                <w:sz w:val="20"/>
                <w:szCs w:val="20"/>
                <w:color w:val="auto"/>
              </w:rPr>
            </w:pPr>
            <w:r>
              <w:rPr>
                <w:rFonts w:ascii="Arial" w:cs="Arial" w:eastAsia="Arial" w:hAnsi="Arial"/>
                <w:sz w:val="11"/>
                <w:szCs w:val="11"/>
                <w:color w:val="auto"/>
              </w:rPr>
              <w:t>Change</w:t>
            </w:r>
            <w:r>
              <w:rPr>
                <w:rFonts w:ascii="Arial" w:cs="Arial" w:eastAsia="Arial" w:hAnsi="Arial"/>
                <w:sz w:val="14"/>
                <w:szCs w:val="14"/>
                <w:color w:val="auto"/>
                <w:vertAlign w:val="superscript"/>
              </w:rPr>
              <w:t>5</w:t>
            </w:r>
          </w:p>
        </w:tc>
        <w:tc>
          <w:tcPr>
            <w:tcW w:w="320" w:type="dxa"/>
            <w:vAlign w:val="bottom"/>
            <w:shd w:val="clear" w:color="auto" w:fill="D9D9D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D9D9D6"/>
            </w:tcBorders>
            <w:shd w:val="clear" w:color="auto" w:fill="D9D9D6"/>
          </w:tcPr>
          <w:p>
            <w:pPr>
              <w:spacing w:after="0" w:line="20" w:lineRule="exact"/>
              <w:rPr>
                <w:sz w:val="1"/>
                <w:szCs w:val="1"/>
                <w:color w:val="auto"/>
              </w:rPr>
            </w:pPr>
          </w:p>
        </w:tc>
        <w:tc>
          <w:tcPr>
            <w:tcW w:w="180" w:type="dxa"/>
            <w:vAlign w:val="bottom"/>
            <w:tcBorders>
              <w:top w:val="single" w:sz="8" w:color="auto"/>
            </w:tcBorders>
            <w:shd w:val="clear" w:color="auto" w:fill="D9D9D6"/>
          </w:tcPr>
          <w:p>
            <w:pPr>
              <w:spacing w:after="0" w:line="20" w:lineRule="exact"/>
              <w:rPr>
                <w:sz w:val="1"/>
                <w:szCs w:val="1"/>
                <w:color w:val="auto"/>
              </w:rPr>
            </w:pPr>
          </w:p>
        </w:tc>
        <w:tc>
          <w:tcPr>
            <w:tcW w:w="140" w:type="dxa"/>
            <w:vAlign w:val="bottom"/>
            <w:tcBorders>
              <w:top w:val="single" w:sz="8" w:color="auto"/>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120" w:type="dxa"/>
            <w:vAlign w:val="bottom"/>
            <w:tcBorders>
              <w:top w:val="single" w:sz="8" w:color="D9D9D6"/>
            </w:tcBorders>
            <w:shd w:val="clear" w:color="auto" w:fill="D9D9D6"/>
          </w:tcPr>
          <w:p>
            <w:pPr>
              <w:spacing w:after="0" w:line="20" w:lineRule="exact"/>
              <w:rPr>
                <w:sz w:val="1"/>
                <w:szCs w:val="1"/>
                <w:color w:val="auto"/>
              </w:rPr>
            </w:pPr>
          </w:p>
        </w:tc>
        <w:tc>
          <w:tcPr>
            <w:tcW w:w="540" w:type="dxa"/>
            <w:vAlign w:val="bottom"/>
            <w:tcBorders>
              <w:top w:val="single" w:sz="8" w:color="D9D9D6"/>
            </w:tcBorders>
            <w:shd w:val="clear" w:color="auto" w:fill="D9D9D6"/>
          </w:tcPr>
          <w:p>
            <w:pPr>
              <w:spacing w:after="0" w:line="20" w:lineRule="exact"/>
              <w:rPr>
                <w:sz w:val="1"/>
                <w:szCs w:val="1"/>
                <w:color w:val="auto"/>
              </w:rPr>
            </w:pPr>
          </w:p>
        </w:tc>
        <w:tc>
          <w:tcPr>
            <w:tcW w:w="180" w:type="dxa"/>
            <w:vAlign w:val="bottom"/>
            <w:tcBorders>
              <w:top w:val="single" w:sz="8" w:color="auto"/>
            </w:tcBorders>
            <w:shd w:val="clear" w:color="auto" w:fill="D9D9D6"/>
          </w:tcPr>
          <w:p>
            <w:pPr>
              <w:spacing w:after="0" w:line="20" w:lineRule="exact"/>
              <w:rPr>
                <w:sz w:val="1"/>
                <w:szCs w:val="1"/>
                <w:color w:val="auto"/>
              </w:rPr>
            </w:pPr>
          </w:p>
        </w:tc>
        <w:tc>
          <w:tcPr>
            <w:tcW w:w="140" w:type="dxa"/>
            <w:vAlign w:val="bottom"/>
            <w:tcBorders>
              <w:top w:val="single" w:sz="8" w:color="auto"/>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560" w:type="dxa"/>
            <w:vAlign w:val="bottom"/>
            <w:tcBorders>
              <w:top w:val="single" w:sz="8" w:color="D9D9D6"/>
            </w:tcBorders>
            <w:shd w:val="clear" w:color="auto" w:fill="D9D9D6"/>
          </w:tcPr>
          <w:p>
            <w:pPr>
              <w:spacing w:after="0" w:line="20" w:lineRule="exact"/>
              <w:rPr>
                <w:sz w:val="1"/>
                <w:szCs w:val="1"/>
                <w:color w:val="auto"/>
              </w:rPr>
            </w:pPr>
          </w:p>
        </w:tc>
        <w:tc>
          <w:tcPr>
            <w:tcW w:w="320" w:type="dxa"/>
            <w:vAlign w:val="bottom"/>
            <w:tcBorders>
              <w:top w:val="single" w:sz="8" w:color="auto"/>
            </w:tcBorders>
            <w:shd w:val="clear" w:color="auto" w:fill="D9D9D6"/>
          </w:tcPr>
          <w:p>
            <w:pPr>
              <w:spacing w:after="0" w:line="20" w:lineRule="exact"/>
              <w:rPr>
                <w:sz w:val="1"/>
                <w:szCs w:val="1"/>
                <w:color w:val="auto"/>
              </w:rPr>
            </w:pPr>
          </w:p>
        </w:tc>
        <w:tc>
          <w:tcPr>
            <w:tcW w:w="200" w:type="dxa"/>
            <w:vAlign w:val="bottom"/>
            <w:tcBorders>
              <w:top w:val="single" w:sz="8" w:color="auto"/>
            </w:tcBorders>
            <w:shd w:val="clear" w:color="auto" w:fill="D9D9D6"/>
          </w:tcPr>
          <w:p>
            <w:pPr>
              <w:spacing w:after="0" w:line="20" w:lineRule="exact"/>
              <w:rPr>
                <w:sz w:val="1"/>
                <w:szCs w:val="1"/>
                <w:color w:val="auto"/>
              </w:rPr>
            </w:pPr>
          </w:p>
        </w:tc>
        <w:tc>
          <w:tcPr>
            <w:tcW w:w="560" w:type="dxa"/>
            <w:vAlign w:val="bottom"/>
            <w:tcBorders>
              <w:top w:val="single" w:sz="8" w:color="D9D9D6"/>
            </w:tcBorders>
            <w:shd w:val="clear" w:color="auto" w:fill="D9D9D6"/>
          </w:tcPr>
          <w:p>
            <w:pPr>
              <w:spacing w:after="0" w:line="20" w:lineRule="exact"/>
              <w:rPr>
                <w:sz w:val="1"/>
                <w:szCs w:val="1"/>
                <w:color w:val="auto"/>
              </w:rPr>
            </w:pPr>
          </w:p>
        </w:tc>
        <w:tc>
          <w:tcPr>
            <w:tcW w:w="560" w:type="dxa"/>
            <w:vAlign w:val="bottom"/>
            <w:tcBorders>
              <w:top w:val="single" w:sz="8" w:color="D9D9D6"/>
              <w:right w:val="single" w:sz="8" w:color="D9D9D6"/>
            </w:tcBorders>
            <w:shd w:val="clear" w:color="auto" w:fill="000000"/>
          </w:tcPr>
          <w:p>
            <w:pPr>
              <w:spacing w:after="0" w:line="20" w:lineRule="exact"/>
              <w:rPr>
                <w:sz w:val="1"/>
                <w:szCs w:val="1"/>
                <w:color w:val="auto"/>
              </w:rPr>
            </w:pPr>
          </w:p>
        </w:tc>
        <w:tc>
          <w:tcPr>
            <w:tcW w:w="320" w:type="dxa"/>
            <w:vAlign w:val="bottom"/>
            <w:tcBorders>
              <w:top w:val="single" w:sz="8" w:color="D9D9D6"/>
            </w:tcBorders>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$17,642</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$17,868</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(1.3</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(1.0 %)</w:t>
            </w:r>
          </w:p>
        </w:tc>
        <w:tc>
          <w:tcPr>
            <w:tcW w:w="3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2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2,496</w:t>
            </w:r>
          </w:p>
        </w:tc>
        <w:tc>
          <w:tcPr>
            <w:tcW w:w="100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2,407</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3.7</w:t>
            </w:r>
          </w:p>
        </w:tc>
        <w:tc>
          <w:tcPr>
            <w:tcW w:w="20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3.7 %</w:t>
            </w:r>
          </w:p>
        </w:tc>
        <w:tc>
          <w:tcPr>
            <w:tcW w:w="3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$20,138</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$20,275</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(0.7</w:t>
            </w:r>
          </w:p>
        </w:tc>
        <w:tc>
          <w:tcPr>
            <w:tcW w:w="20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11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(0.5 %)</w:t>
            </w:r>
          </w:p>
        </w:tc>
        <w:tc>
          <w:tcPr>
            <w:tcW w:w="3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$6,918</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$6,852</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1.0</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1.0 %</w:t>
            </w:r>
          </w:p>
        </w:tc>
        <w:tc>
          <w:tcPr>
            <w:tcW w:w="3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12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1,422</w:t>
            </w:r>
          </w:p>
        </w:tc>
        <w:tc>
          <w:tcPr>
            <w:tcW w:w="100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1,366</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4.1</w:t>
            </w:r>
          </w:p>
        </w:tc>
        <w:tc>
          <w:tcPr>
            <w:tcW w:w="20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4.1 %</w:t>
            </w:r>
          </w:p>
        </w:tc>
        <w:tc>
          <w:tcPr>
            <w:tcW w:w="3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$8,340</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$8,218</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1.5</w:t>
            </w:r>
          </w:p>
        </w:tc>
        <w:tc>
          <w:tcPr>
            <w:tcW w:w="20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11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1.5 %</w:t>
            </w:r>
          </w:p>
        </w:tc>
        <w:tc>
          <w:tcPr>
            <w:tcW w:w="3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9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39.2</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D9D9D6"/>
          </w:tcPr>
          <w:p>
            <w:pPr>
              <w:spacing w:after="0"/>
              <w:rPr>
                <w:sz w:val="24"/>
                <w:szCs w:val="24"/>
                <w:color w:val="auto"/>
              </w:rPr>
            </w:pPr>
          </w:p>
        </w:tc>
        <w:tc>
          <w:tcPr>
            <w:tcW w:w="98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38.3 %</w:t>
            </w:r>
          </w:p>
        </w:tc>
        <w:tc>
          <w:tcPr>
            <w:tcW w:w="20" w:type="dxa"/>
            <w:vAlign w:val="bottom"/>
            <w:shd w:val="clear" w:color="auto" w:fill="D9D9D6"/>
          </w:tcPr>
          <w:p>
            <w:pPr>
              <w:spacing w:after="0"/>
              <w:rPr>
                <w:sz w:val="24"/>
                <w:szCs w:val="24"/>
                <w:color w:val="auto"/>
              </w:rPr>
            </w:pPr>
          </w:p>
        </w:tc>
        <w:tc>
          <w:tcPr>
            <w:tcW w:w="560" w:type="dxa"/>
            <w:vAlign w:val="bottom"/>
            <w:shd w:val="clear" w:color="auto" w:fill="D9D9D6"/>
          </w:tcPr>
          <w:p>
            <w:pPr>
              <w:spacing w:after="0"/>
              <w:rPr>
                <w:sz w:val="24"/>
                <w:szCs w:val="24"/>
                <w:color w:val="auto"/>
              </w:rPr>
            </w:pPr>
          </w:p>
        </w:tc>
        <w:tc>
          <w:tcPr>
            <w:tcW w:w="5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90 bps</w:t>
            </w:r>
          </w:p>
        </w:tc>
        <w:tc>
          <w:tcPr>
            <w:tcW w:w="560" w:type="dxa"/>
            <w:vAlign w:val="bottom"/>
            <w:shd w:val="clear" w:color="auto" w:fill="D9D9D6"/>
          </w:tcPr>
          <w:p>
            <w:pPr>
              <w:spacing w:after="0"/>
              <w:rPr>
                <w:sz w:val="24"/>
                <w:szCs w:val="24"/>
                <w:color w:val="auto"/>
              </w:rPr>
            </w:pPr>
          </w:p>
        </w:tc>
        <w:tc>
          <w:tcPr>
            <w:tcW w:w="56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rPr>
              <w:t>80 bps</w:t>
            </w:r>
          </w:p>
        </w:tc>
        <w:tc>
          <w:tcPr>
            <w:tcW w:w="3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9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57.0</w:t>
            </w:r>
          </w:p>
        </w:tc>
        <w:tc>
          <w:tcPr>
            <w:tcW w:w="14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Borders>
              <w:bottom w:val="single" w:sz="8" w:color="auto"/>
            </w:tcBorders>
            <w:shd w:val="clear" w:color="auto" w:fill="D9D9D6"/>
          </w:tcPr>
          <w:p>
            <w:pPr>
              <w:spacing w:after="0"/>
              <w:rPr>
                <w:sz w:val="17"/>
                <w:szCs w:val="17"/>
                <w:color w:val="auto"/>
              </w:rPr>
            </w:pPr>
          </w:p>
        </w:tc>
        <w:tc>
          <w:tcPr>
            <w:tcW w:w="980" w:type="dxa"/>
            <w:vAlign w:val="bottom"/>
            <w:tcBorders>
              <w:bottom w:val="single" w:sz="8" w:color="auto"/>
            </w:tcBorders>
            <w:gridSpan w:val="4"/>
            <w:shd w:val="clear" w:color="auto" w:fill="D9D9D6"/>
          </w:tcPr>
          <w:p>
            <w:pPr>
              <w:jc w:val="right"/>
              <w:spacing w:after="0"/>
              <w:rPr>
                <w:sz w:val="20"/>
                <w:szCs w:val="20"/>
                <w:color w:val="auto"/>
              </w:rPr>
            </w:pPr>
            <w:r>
              <w:rPr>
                <w:rFonts w:ascii="Arial" w:cs="Arial" w:eastAsia="Arial" w:hAnsi="Arial"/>
                <w:sz w:val="14"/>
                <w:szCs w:val="14"/>
                <w:color w:val="auto"/>
              </w:rPr>
              <w:t>56.7 %</w:t>
            </w:r>
          </w:p>
        </w:tc>
        <w:tc>
          <w:tcPr>
            <w:tcW w:w="20" w:type="dxa"/>
            <w:vAlign w:val="bottom"/>
            <w:tcBorders>
              <w:bottom w:val="single" w:sz="8" w:color="auto"/>
            </w:tcBorders>
            <w:shd w:val="clear" w:color="auto" w:fill="D9D9D6"/>
          </w:tcPr>
          <w:p>
            <w:pPr>
              <w:spacing w:after="0"/>
              <w:rPr>
                <w:sz w:val="17"/>
                <w:szCs w:val="17"/>
                <w:color w:val="auto"/>
              </w:rPr>
            </w:pPr>
          </w:p>
        </w:tc>
        <w:tc>
          <w:tcPr>
            <w:tcW w:w="560" w:type="dxa"/>
            <w:vAlign w:val="bottom"/>
            <w:tcBorders>
              <w:bottom w:val="single" w:sz="8" w:color="auto"/>
            </w:tcBorders>
            <w:shd w:val="clear" w:color="auto" w:fill="D9D9D6"/>
          </w:tcPr>
          <w:p>
            <w:pPr>
              <w:spacing w:after="0"/>
              <w:rPr>
                <w:sz w:val="17"/>
                <w:szCs w:val="17"/>
                <w:color w:val="auto"/>
              </w:rPr>
            </w:pPr>
          </w:p>
        </w:tc>
        <w:tc>
          <w:tcPr>
            <w:tcW w:w="52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30 bps</w:t>
            </w:r>
          </w:p>
        </w:tc>
        <w:tc>
          <w:tcPr>
            <w:tcW w:w="560" w:type="dxa"/>
            <w:vAlign w:val="bottom"/>
            <w:tcBorders>
              <w:bottom w:val="single" w:sz="8" w:color="auto"/>
            </w:tcBorders>
            <w:shd w:val="clear" w:color="auto" w:fill="D9D9D6"/>
          </w:tcPr>
          <w:p>
            <w:pPr>
              <w:spacing w:after="0"/>
              <w:rPr>
                <w:sz w:val="17"/>
                <w:szCs w:val="17"/>
                <w:color w:val="auto"/>
              </w:rPr>
            </w:pPr>
          </w:p>
        </w:tc>
        <w:tc>
          <w:tcPr>
            <w:tcW w:w="560" w:type="dxa"/>
            <w:vAlign w:val="bottom"/>
            <w:tcBorders>
              <w:bottom w:val="single" w:sz="8" w:color="auto"/>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rPr>
              <w:t>30 bps</w:t>
            </w:r>
          </w:p>
        </w:tc>
        <w:tc>
          <w:tcPr>
            <w:tcW w:w="3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41.4</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96"/>
              </w:rPr>
              <w:t>%</w:t>
            </w:r>
          </w:p>
        </w:tc>
        <w:tc>
          <w:tcPr>
            <w:tcW w:w="20" w:type="dxa"/>
            <w:vAlign w:val="bottom"/>
            <w:shd w:val="clear" w:color="auto" w:fill="D9D9D6"/>
          </w:tcPr>
          <w:p>
            <w:pPr>
              <w:spacing w:after="0"/>
              <w:rPr>
                <w:sz w:val="17"/>
                <w:szCs w:val="17"/>
                <w:color w:val="auto"/>
              </w:rPr>
            </w:pPr>
          </w:p>
        </w:tc>
        <w:tc>
          <w:tcPr>
            <w:tcW w:w="98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40.5 %</w:t>
            </w:r>
          </w:p>
        </w:tc>
        <w:tc>
          <w:tcPr>
            <w:tcW w:w="20" w:type="dxa"/>
            <w:vAlign w:val="bottom"/>
            <w:shd w:val="clear" w:color="auto" w:fill="D9D9D6"/>
          </w:tcPr>
          <w:p>
            <w:pPr>
              <w:spacing w:after="0"/>
              <w:rPr>
                <w:sz w:val="17"/>
                <w:szCs w:val="17"/>
                <w:color w:val="auto"/>
              </w:rPr>
            </w:pPr>
          </w:p>
        </w:tc>
        <w:tc>
          <w:tcPr>
            <w:tcW w:w="560" w:type="dxa"/>
            <w:vAlign w:val="bottom"/>
            <w:shd w:val="clear" w:color="auto" w:fill="D9D9D6"/>
          </w:tcPr>
          <w:p>
            <w:pPr>
              <w:spacing w:after="0"/>
              <w:rPr>
                <w:sz w:val="17"/>
                <w:szCs w:val="17"/>
                <w:color w:val="auto"/>
              </w:rPr>
            </w:pPr>
          </w:p>
        </w:tc>
        <w:tc>
          <w:tcPr>
            <w:tcW w:w="52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90 bps</w:t>
            </w:r>
          </w:p>
        </w:tc>
        <w:tc>
          <w:tcPr>
            <w:tcW w:w="560" w:type="dxa"/>
            <w:vAlign w:val="bottom"/>
            <w:shd w:val="clear" w:color="auto" w:fill="D9D9D6"/>
          </w:tcPr>
          <w:p>
            <w:pPr>
              <w:spacing w:after="0"/>
              <w:rPr>
                <w:sz w:val="17"/>
                <w:szCs w:val="17"/>
                <w:color w:val="auto"/>
              </w:rPr>
            </w:pPr>
          </w:p>
        </w:tc>
        <w:tc>
          <w:tcPr>
            <w:tcW w:w="56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b w:val="1"/>
                <w:bCs w:val="1"/>
                <w:color w:val="auto"/>
              </w:rPr>
              <w:t>80 bps</w:t>
            </w:r>
          </w:p>
        </w:tc>
        <w:tc>
          <w:tcPr>
            <w:tcW w:w="3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780" w:type="dxa"/>
            <w:vAlign w:val="bottom"/>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14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540" w:type="dxa"/>
            <w:vAlign w:val="bottom"/>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14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56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0" w:type="dxa"/>
            <w:vAlign w:val="bottom"/>
            <w:shd w:val="clear" w:color="auto" w:fill="D9D9D6"/>
          </w:tcPr>
          <w:p>
            <w:pPr>
              <w:spacing w:after="0"/>
              <w:rPr>
                <w:sz w:val="4"/>
                <w:szCs w:val="4"/>
                <w:color w:val="auto"/>
              </w:rPr>
            </w:pPr>
          </w:p>
        </w:tc>
        <w:tc>
          <w:tcPr>
            <w:tcW w:w="560" w:type="dxa"/>
            <w:vAlign w:val="bottom"/>
            <w:shd w:val="clear" w:color="auto" w:fill="D9D9D6"/>
          </w:tcPr>
          <w:p>
            <w:pPr>
              <w:spacing w:after="0"/>
              <w:rPr>
                <w:sz w:val="4"/>
                <w:szCs w:val="4"/>
                <w:color w:val="auto"/>
              </w:rPr>
            </w:pPr>
          </w:p>
        </w:tc>
        <w:tc>
          <w:tcPr>
            <w:tcW w:w="560" w:type="dxa"/>
            <w:vAlign w:val="bottom"/>
            <w:tcBorders>
              <w:right w:val="single" w:sz="8" w:color="D9D9D6"/>
            </w:tcBorders>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ectPr>
          <w:pgSz w:w="11900" w:h="16838" w:orient="portrait"/>
          <w:cols w:equalWidth="0" w:num="2">
            <w:col w:w="5880" w:space="720"/>
            <w:col w:w="4640"/>
          </w:cols>
          <w:pgMar w:left="320" w:top="570" w:right="339" w:bottom="1440" w:gutter="0" w:footer="0" w:header="0"/>
          <w:type w:val="continuous"/>
        </w:sectPr>
      </w:pPr>
    </w:p>
    <w:p>
      <w:pPr>
        <w:spacing w:after="0" w:line="285" w:lineRule="auto"/>
        <w:rPr>
          <w:sz w:val="20"/>
          <w:szCs w:val="20"/>
          <w:color w:val="auto"/>
        </w:rPr>
      </w:pPr>
      <w:r>
        <w:rPr>
          <w:rFonts w:ascii="Arial" w:cs="Arial" w:eastAsia="Arial" w:hAnsi="Arial"/>
          <w:sz w:val="14"/>
          <w:szCs w:val="14"/>
          <w:color w:val="auto"/>
        </w:rPr>
        <w:t>Change percentages represent year/year growth rates. The changes in Adjusted EBITDA margins are presented as year/year basis point changes in the rounded Adjusted EBITDA margins.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Connectivity &amp; Platforms was consistent with the prior year period.</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increased due to growth in both</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Residential Connectivity &amp; Platforms Adjusted EBITDA and Business Services Adjusted EBITDA. </w:t>
      </w:r>
      <w:r>
        <w:rPr>
          <w:rFonts w:ascii="Arial" w:cs="Arial" w:eastAsia="Arial" w:hAnsi="Arial"/>
          <w:sz w:val="18"/>
          <w:szCs w:val="18"/>
          <w:b w:val="1"/>
          <w:bCs w:val="1"/>
          <w:i w:val="1"/>
          <w:iCs w:val="1"/>
          <w:color w:val="auto"/>
        </w:rPr>
        <w:t>Adjusted EBITDA margin</w:t>
      </w:r>
      <w:r>
        <w:rPr>
          <w:rFonts w:ascii="Arial" w:cs="Arial" w:eastAsia="Arial" w:hAnsi="Arial"/>
          <w:sz w:val="18"/>
          <w:szCs w:val="18"/>
          <w:color w:val="auto"/>
        </w:rPr>
        <w:t xml:space="preserve"> increased to 41.4%.</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570"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23"/>
        </w:trPr>
        <w:tc>
          <w:tcPr>
            <w:tcW w:w="120" w:type="dxa"/>
            <w:vAlign w:val="bottom"/>
            <w:shd w:val="clear" w:color="auto" w:fill="D9D9D6"/>
          </w:tcPr>
          <w:p>
            <w:pPr>
              <w:spacing w:after="0"/>
              <w:rPr>
                <w:sz w:val="19"/>
                <w:szCs w:val="19"/>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(in thousands)</w:t>
            </w:r>
          </w:p>
        </w:tc>
        <w:tc>
          <w:tcPr>
            <w:tcW w:w="520" w:type="dxa"/>
            <w:vAlign w:val="bottom"/>
            <w:shd w:val="clear" w:color="auto" w:fill="D9D9D6"/>
          </w:tcPr>
          <w:p>
            <w:pPr>
              <w:spacing w:after="0"/>
              <w:rPr>
                <w:sz w:val="19"/>
                <w:szCs w:val="19"/>
                <w:color w:val="auto"/>
              </w:rPr>
            </w:pPr>
          </w:p>
        </w:tc>
        <w:tc>
          <w:tcPr>
            <w:tcW w:w="34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52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c>
          <w:tcPr>
            <w:tcW w:w="40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380" w:type="dxa"/>
            <w:vAlign w:val="bottom"/>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c>
          <w:tcPr>
            <w:tcW w:w="220" w:type="dxa"/>
            <w:vAlign w:val="bottom"/>
            <w:shd w:val="clear" w:color="auto" w:fill="D9D9D6"/>
          </w:tcPr>
          <w:p>
            <w:pPr>
              <w:spacing w:after="0"/>
              <w:rPr>
                <w:sz w:val="19"/>
                <w:szCs w:val="19"/>
                <w:color w:val="auto"/>
              </w:rPr>
            </w:pPr>
          </w:p>
        </w:tc>
        <w:tc>
          <w:tcPr>
            <w:tcW w:w="120" w:type="dxa"/>
            <w:vAlign w:val="bottom"/>
            <w:tcBorders>
              <w:right w:val="single" w:sz="8" w:color="D9D9D6"/>
            </w:tcBorders>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r>
      <w:tr>
        <w:trPr>
          <w:trHeight w:val="223"/>
        </w:trPr>
        <w:tc>
          <w:tcPr>
            <w:tcW w:w="120" w:type="dxa"/>
            <w:vAlign w:val="bottom"/>
            <w:shd w:val="clear" w:color="auto" w:fill="D9D9D6"/>
          </w:tcPr>
          <w:p>
            <w:pPr>
              <w:spacing w:after="0"/>
              <w:rPr>
                <w:sz w:val="19"/>
                <w:szCs w:val="19"/>
                <w:color w:val="auto"/>
              </w:rPr>
            </w:pPr>
          </w:p>
        </w:tc>
        <w:tc>
          <w:tcPr>
            <w:tcW w:w="7440" w:type="dxa"/>
            <w:vAlign w:val="bottom"/>
            <w:shd w:val="clear" w:color="auto" w:fill="D9D9D6"/>
          </w:tcPr>
          <w:p>
            <w:pPr>
              <w:spacing w:after="0"/>
              <w:rPr>
                <w:sz w:val="19"/>
                <w:szCs w:val="19"/>
                <w:color w:val="auto"/>
              </w:rPr>
            </w:pPr>
          </w:p>
        </w:tc>
        <w:tc>
          <w:tcPr>
            <w:tcW w:w="520" w:type="dxa"/>
            <w:vAlign w:val="bottom"/>
            <w:shd w:val="clear" w:color="auto" w:fill="D9D9D6"/>
          </w:tcPr>
          <w:p>
            <w:pPr>
              <w:spacing w:after="0"/>
              <w:rPr>
                <w:sz w:val="19"/>
                <w:szCs w:val="19"/>
                <w:color w:val="auto"/>
              </w:rPr>
            </w:pPr>
          </w:p>
        </w:tc>
        <w:tc>
          <w:tcPr>
            <w:tcW w:w="34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52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c>
          <w:tcPr>
            <w:tcW w:w="1780" w:type="dxa"/>
            <w:vAlign w:val="bottom"/>
            <w:gridSpan w:val="9"/>
            <w:shd w:val="clear" w:color="auto" w:fill="D9D9D6"/>
          </w:tcPr>
          <w:p>
            <w:pPr>
              <w:jc w:val="center"/>
              <w:ind w:right="240"/>
              <w:spacing w:after="0"/>
              <w:rPr>
                <w:sz w:val="20"/>
                <w:szCs w:val="20"/>
                <w:color w:val="auto"/>
              </w:rPr>
            </w:pPr>
            <w:r>
              <w:rPr>
                <w:rFonts w:ascii="Arial" w:cs="Arial" w:eastAsia="Arial" w:hAnsi="Arial"/>
                <w:sz w:val="14"/>
                <w:szCs w:val="14"/>
                <w:color w:val="auto"/>
              </w:rPr>
              <w:t>Net Additions / (Losses)</w:t>
            </w:r>
          </w:p>
        </w:tc>
      </w:tr>
      <w:tr>
        <w:trPr>
          <w:trHeight w:val="183"/>
        </w:trPr>
        <w:tc>
          <w:tcPr>
            <w:tcW w:w="120" w:type="dxa"/>
            <w:vAlign w:val="bottom"/>
            <w:tcBorders>
              <w:top w:val="single" w:sz="8" w:color="D9D9D6"/>
            </w:tcBorders>
            <w:shd w:val="clear" w:color="auto" w:fill="D9D9D6"/>
          </w:tcPr>
          <w:p>
            <w:pPr>
              <w:spacing w:after="0"/>
              <w:rPr>
                <w:sz w:val="15"/>
                <w:szCs w:val="15"/>
                <w:color w:val="auto"/>
              </w:rPr>
            </w:pPr>
          </w:p>
        </w:tc>
        <w:tc>
          <w:tcPr>
            <w:tcW w:w="7440" w:type="dxa"/>
            <w:vAlign w:val="bottom"/>
            <w:tcBorders>
              <w:top w:val="single" w:sz="8" w:color="D9D9D6"/>
            </w:tcBorders>
            <w:shd w:val="clear" w:color="auto" w:fill="D9D9D6"/>
          </w:tcPr>
          <w:p>
            <w:pPr>
              <w:spacing w:after="0"/>
              <w:rPr>
                <w:sz w:val="15"/>
                <w:szCs w:val="15"/>
                <w:color w:val="auto"/>
              </w:rPr>
            </w:pPr>
          </w:p>
        </w:tc>
        <w:tc>
          <w:tcPr>
            <w:tcW w:w="520" w:type="dxa"/>
            <w:vAlign w:val="bottom"/>
            <w:tcBorders>
              <w:top w:val="single" w:sz="8" w:color="D9D9D6"/>
            </w:tcBorders>
            <w:shd w:val="clear" w:color="auto" w:fill="D9D9D6"/>
          </w:tcPr>
          <w:p>
            <w:pPr>
              <w:spacing w:after="0"/>
              <w:rPr>
                <w:sz w:val="15"/>
                <w:szCs w:val="15"/>
                <w:color w:val="auto"/>
              </w:rPr>
            </w:pPr>
          </w:p>
        </w:tc>
        <w:tc>
          <w:tcPr>
            <w:tcW w:w="340" w:type="dxa"/>
            <w:vAlign w:val="bottom"/>
            <w:tcBorders>
              <w:top w:val="single" w:sz="8" w:color="D9D9D6"/>
            </w:tcBorders>
            <w:shd w:val="clear" w:color="auto" w:fill="D9D9D6"/>
          </w:tcPr>
          <w:p>
            <w:pPr>
              <w:spacing w:after="0"/>
              <w:rPr>
                <w:sz w:val="15"/>
                <w:szCs w:val="15"/>
                <w:color w:val="auto"/>
              </w:rPr>
            </w:pPr>
          </w:p>
        </w:tc>
        <w:tc>
          <w:tcPr>
            <w:tcW w:w="20" w:type="dxa"/>
            <w:vAlign w:val="bottom"/>
            <w:tcBorders>
              <w:top w:val="single" w:sz="8" w:color="D9D9D6"/>
            </w:tcBorders>
            <w:shd w:val="clear" w:color="auto" w:fill="D9D9D6"/>
          </w:tcPr>
          <w:p>
            <w:pPr>
              <w:spacing w:after="0"/>
              <w:rPr>
                <w:sz w:val="15"/>
                <w:szCs w:val="15"/>
                <w:color w:val="auto"/>
              </w:rPr>
            </w:pPr>
          </w:p>
        </w:tc>
        <w:tc>
          <w:tcPr>
            <w:tcW w:w="520" w:type="dxa"/>
            <w:vAlign w:val="bottom"/>
            <w:tcBorders>
              <w:top w:val="single" w:sz="8" w:color="D9D9D6"/>
            </w:tcBorders>
            <w:shd w:val="clear" w:color="auto" w:fill="D9D9D6"/>
          </w:tcPr>
          <w:p>
            <w:pPr>
              <w:spacing w:after="0"/>
              <w:rPr>
                <w:sz w:val="15"/>
                <w:szCs w:val="15"/>
                <w:color w:val="auto"/>
              </w:rPr>
            </w:pPr>
          </w:p>
        </w:tc>
        <w:tc>
          <w:tcPr>
            <w:tcW w:w="360" w:type="dxa"/>
            <w:vAlign w:val="bottom"/>
            <w:tcBorders>
              <w:top w:val="single" w:sz="8" w:color="D9D9D6"/>
            </w:tcBorders>
            <w:shd w:val="clear" w:color="auto" w:fill="D9D9D6"/>
          </w:tcPr>
          <w:p>
            <w:pPr>
              <w:spacing w:after="0"/>
              <w:rPr>
                <w:sz w:val="15"/>
                <w:szCs w:val="15"/>
                <w:color w:val="auto"/>
              </w:rPr>
            </w:pPr>
          </w:p>
        </w:tc>
        <w:tc>
          <w:tcPr>
            <w:tcW w:w="20" w:type="dxa"/>
            <w:vAlign w:val="bottom"/>
            <w:tcBorders>
              <w:top w:val="single" w:sz="8" w:color="D9D9D6"/>
            </w:tcBorders>
            <w:shd w:val="clear" w:color="auto" w:fill="D9D9D6"/>
          </w:tcPr>
          <w:p>
            <w:pPr>
              <w:spacing w:after="0"/>
              <w:rPr>
                <w:sz w:val="15"/>
                <w:szCs w:val="15"/>
                <w:color w:val="auto"/>
              </w:rPr>
            </w:pPr>
          </w:p>
        </w:tc>
        <w:tc>
          <w:tcPr>
            <w:tcW w:w="120" w:type="dxa"/>
            <w:vAlign w:val="bottom"/>
            <w:tcBorders>
              <w:top w:val="single" w:sz="8" w:color="D9D9D6"/>
            </w:tcBorders>
            <w:shd w:val="clear" w:color="auto" w:fill="D9D9D6"/>
          </w:tcPr>
          <w:p>
            <w:pPr>
              <w:spacing w:after="0"/>
              <w:rPr>
                <w:sz w:val="15"/>
                <w:szCs w:val="15"/>
                <w:color w:val="auto"/>
              </w:rPr>
            </w:pPr>
          </w:p>
        </w:tc>
        <w:tc>
          <w:tcPr>
            <w:tcW w:w="400" w:type="dxa"/>
            <w:vAlign w:val="bottom"/>
            <w:tcBorders>
              <w:top w:val="single" w:sz="8" w:color="auto"/>
            </w:tcBorders>
            <w:shd w:val="clear" w:color="auto" w:fill="D9D9D6"/>
          </w:tcPr>
          <w:p>
            <w:pPr>
              <w:spacing w:after="0"/>
              <w:rPr>
                <w:sz w:val="15"/>
                <w:szCs w:val="15"/>
                <w:color w:val="auto"/>
              </w:rPr>
            </w:pPr>
          </w:p>
        </w:tc>
        <w:tc>
          <w:tcPr>
            <w:tcW w:w="820" w:type="dxa"/>
            <w:vAlign w:val="bottom"/>
            <w:tcBorders>
              <w:top w:val="single" w:sz="8" w:color="auto"/>
            </w:tcBorders>
            <w:gridSpan w:val="4"/>
            <w:shd w:val="clear" w:color="auto" w:fill="D9D9D6"/>
          </w:tcPr>
          <w:p>
            <w:pPr>
              <w:jc w:val="center"/>
              <w:ind w:right="100"/>
              <w:spacing w:after="0"/>
              <w:rPr>
                <w:sz w:val="20"/>
                <w:szCs w:val="20"/>
                <w:color w:val="auto"/>
              </w:rPr>
            </w:pPr>
            <w:r>
              <w:rPr>
                <w:rFonts w:ascii="Arial" w:cs="Arial" w:eastAsia="Arial" w:hAnsi="Arial"/>
                <w:sz w:val="14"/>
                <w:szCs w:val="14"/>
                <w:color w:val="auto"/>
              </w:rPr>
              <w:t>1st Quarter</w:t>
            </w:r>
          </w:p>
        </w:tc>
        <w:tc>
          <w:tcPr>
            <w:tcW w:w="100" w:type="dxa"/>
            <w:vAlign w:val="bottom"/>
            <w:tcBorders>
              <w:top w:val="single" w:sz="8" w:color="auto"/>
            </w:tcBorders>
            <w:shd w:val="clear" w:color="auto" w:fill="D9D9D6"/>
          </w:tcPr>
          <w:p>
            <w:pPr>
              <w:spacing w:after="0"/>
              <w:rPr>
                <w:sz w:val="15"/>
                <w:szCs w:val="15"/>
                <w:color w:val="auto"/>
              </w:rPr>
            </w:pPr>
          </w:p>
        </w:tc>
        <w:tc>
          <w:tcPr>
            <w:tcW w:w="220" w:type="dxa"/>
            <w:vAlign w:val="bottom"/>
            <w:tcBorders>
              <w:top w:val="single" w:sz="8" w:color="auto"/>
            </w:tcBorders>
            <w:shd w:val="clear" w:color="auto" w:fill="D9D9D6"/>
          </w:tcPr>
          <w:p>
            <w:pPr>
              <w:spacing w:after="0"/>
              <w:rPr>
                <w:sz w:val="15"/>
                <w:szCs w:val="15"/>
                <w:color w:val="auto"/>
              </w:rPr>
            </w:pPr>
          </w:p>
        </w:tc>
        <w:tc>
          <w:tcPr>
            <w:tcW w:w="120" w:type="dxa"/>
            <w:vAlign w:val="bottom"/>
            <w:tcBorders>
              <w:top w:val="single" w:sz="8" w:color="D9D9D6"/>
              <w:right w:val="single" w:sz="8" w:color="D9D9D6"/>
            </w:tcBorders>
            <w:shd w:val="clear" w:color="auto" w:fill="D9D9D6"/>
          </w:tcPr>
          <w:p>
            <w:pPr>
              <w:spacing w:after="0"/>
              <w:rPr>
                <w:sz w:val="15"/>
                <w:szCs w:val="15"/>
                <w:color w:val="auto"/>
              </w:rPr>
            </w:pPr>
          </w:p>
        </w:tc>
        <w:tc>
          <w:tcPr>
            <w:tcW w:w="120" w:type="dxa"/>
            <w:vAlign w:val="bottom"/>
            <w:tcBorders>
              <w:top w:val="single" w:sz="8" w:color="D9D9D6"/>
            </w:tcBorders>
            <w:shd w:val="clear" w:color="auto" w:fill="D9D9D6"/>
          </w:tcPr>
          <w:p>
            <w:pPr>
              <w:spacing w:after="0"/>
              <w:rPr>
                <w:sz w:val="15"/>
                <w:szCs w:val="15"/>
                <w:color w:val="auto"/>
              </w:rPr>
            </w:pPr>
          </w:p>
        </w:tc>
      </w:tr>
      <w:tr>
        <w:trPr>
          <w:trHeight w:val="183"/>
        </w:trPr>
        <w:tc>
          <w:tcPr>
            <w:tcW w:w="120" w:type="dxa"/>
            <w:vAlign w:val="bottom"/>
            <w:tcBorders>
              <w:top w:val="single" w:sz="8" w:color="D9D9D6"/>
            </w:tcBorders>
            <w:shd w:val="clear" w:color="auto" w:fill="D9D9D6"/>
          </w:tcPr>
          <w:p>
            <w:pPr>
              <w:spacing w:after="0"/>
              <w:rPr>
                <w:sz w:val="15"/>
                <w:szCs w:val="15"/>
                <w:color w:val="auto"/>
              </w:rPr>
            </w:pPr>
          </w:p>
        </w:tc>
        <w:tc>
          <w:tcPr>
            <w:tcW w:w="7440" w:type="dxa"/>
            <w:vAlign w:val="bottom"/>
            <w:tcBorders>
              <w:top w:val="single" w:sz="8" w:color="D9D9D6"/>
            </w:tcBorders>
            <w:shd w:val="clear" w:color="auto" w:fill="D9D9D6"/>
          </w:tcPr>
          <w:p>
            <w:pPr>
              <w:spacing w:after="0"/>
              <w:rPr>
                <w:sz w:val="15"/>
                <w:szCs w:val="15"/>
                <w:color w:val="auto"/>
              </w:rPr>
            </w:pPr>
          </w:p>
        </w:tc>
        <w:tc>
          <w:tcPr>
            <w:tcW w:w="520" w:type="dxa"/>
            <w:vAlign w:val="bottom"/>
            <w:tcBorders>
              <w:top w:val="single" w:sz="8" w:color="D9D9D6"/>
            </w:tcBorders>
            <w:shd w:val="clear" w:color="auto" w:fill="D9D9D6"/>
          </w:tcPr>
          <w:p>
            <w:pPr>
              <w:spacing w:after="0"/>
              <w:rPr>
                <w:sz w:val="15"/>
                <w:szCs w:val="15"/>
                <w:color w:val="auto"/>
              </w:rPr>
            </w:pPr>
          </w:p>
        </w:tc>
        <w:tc>
          <w:tcPr>
            <w:tcW w:w="360" w:type="dxa"/>
            <w:vAlign w:val="bottom"/>
            <w:tcBorders>
              <w:top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w w:val="93"/>
              </w:rPr>
              <w:t>1Q25</w:t>
            </w:r>
          </w:p>
        </w:tc>
        <w:tc>
          <w:tcPr>
            <w:tcW w:w="520" w:type="dxa"/>
            <w:vAlign w:val="bottom"/>
            <w:tcBorders>
              <w:top w:val="single" w:sz="8" w:color="D9D9D6"/>
            </w:tcBorders>
            <w:shd w:val="clear" w:color="auto" w:fill="D9D9D6"/>
          </w:tcPr>
          <w:p>
            <w:pPr>
              <w:spacing w:after="0"/>
              <w:rPr>
                <w:sz w:val="15"/>
                <w:szCs w:val="15"/>
                <w:color w:val="auto"/>
              </w:rPr>
            </w:pPr>
          </w:p>
        </w:tc>
        <w:tc>
          <w:tcPr>
            <w:tcW w:w="380" w:type="dxa"/>
            <w:vAlign w:val="bottom"/>
            <w:tcBorders>
              <w:top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w w:val="99"/>
              </w:rPr>
              <w:t>1Q24</w:t>
            </w:r>
          </w:p>
        </w:tc>
        <w:tc>
          <w:tcPr>
            <w:tcW w:w="520" w:type="dxa"/>
            <w:vAlign w:val="bottom"/>
            <w:tcBorders>
              <w:top w:val="single" w:sz="8" w:color="D9D9D6"/>
            </w:tcBorders>
            <w:gridSpan w:val="2"/>
            <w:shd w:val="clear" w:color="auto" w:fill="D9D9D6"/>
          </w:tcPr>
          <w:p>
            <w:pPr>
              <w:spacing w:after="0"/>
              <w:rPr>
                <w:sz w:val="15"/>
                <w:szCs w:val="15"/>
                <w:color w:val="auto"/>
              </w:rPr>
            </w:pPr>
          </w:p>
        </w:tc>
        <w:tc>
          <w:tcPr>
            <w:tcW w:w="720" w:type="dxa"/>
            <w:vAlign w:val="bottom"/>
            <w:tcBorders>
              <w:top w:val="single" w:sz="8" w:color="auto"/>
            </w:tcBorders>
            <w:gridSpan w:val="3"/>
            <w:shd w:val="clear" w:color="auto" w:fill="D9D9D6"/>
          </w:tcPr>
          <w:p>
            <w:pPr>
              <w:jc w:val="right"/>
              <w:ind w:right="380"/>
              <w:spacing w:after="0"/>
              <w:rPr>
                <w:sz w:val="20"/>
                <w:szCs w:val="20"/>
                <w:color w:val="auto"/>
              </w:rPr>
            </w:pPr>
            <w:r>
              <w:rPr>
                <w:rFonts w:ascii="Arial" w:cs="Arial" w:eastAsia="Arial" w:hAnsi="Arial"/>
                <w:sz w:val="14"/>
                <w:szCs w:val="14"/>
                <w:color w:val="auto"/>
              </w:rPr>
              <w:t>2025</w:t>
            </w:r>
          </w:p>
        </w:tc>
        <w:tc>
          <w:tcPr>
            <w:tcW w:w="100" w:type="dxa"/>
            <w:vAlign w:val="bottom"/>
            <w:tcBorders>
              <w:top w:val="single" w:sz="8" w:color="D9D9D6"/>
            </w:tcBorders>
            <w:shd w:val="clear" w:color="auto" w:fill="D9D9D6"/>
          </w:tcPr>
          <w:p>
            <w:pPr>
              <w:spacing w:after="0"/>
              <w:rPr>
                <w:sz w:val="15"/>
                <w:szCs w:val="15"/>
                <w:color w:val="auto"/>
              </w:rPr>
            </w:pPr>
          </w:p>
        </w:tc>
        <w:tc>
          <w:tcPr>
            <w:tcW w:w="440" w:type="dxa"/>
            <w:vAlign w:val="bottom"/>
            <w:tcBorders>
              <w:top w:val="single" w:sz="8" w:color="D9D9D6"/>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120" w:type="dxa"/>
            <w:vAlign w:val="bottom"/>
            <w:tcBorders>
              <w:top w:val="single" w:sz="8" w:color="D9D9D6"/>
            </w:tcBorders>
            <w:shd w:val="clear" w:color="auto" w:fill="D9D9D6"/>
          </w:tcPr>
          <w:p>
            <w:pPr>
              <w:spacing w:after="0"/>
              <w:rPr>
                <w:sz w:val="15"/>
                <w:szCs w:val="15"/>
                <w:color w:val="auto"/>
              </w:rPr>
            </w:pP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74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Customer Relationships</w:t>
            </w:r>
          </w:p>
        </w:tc>
        <w:tc>
          <w:tcPr>
            <w:tcW w:w="52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20" w:type="dxa"/>
            <w:vAlign w:val="bottom"/>
            <w:tcBorders>
              <w:top w:val="single" w:sz="8" w:color="D9D9D6"/>
            </w:tcBorders>
            <w:shd w:val="clear" w:color="auto" w:fill="D9D9D6"/>
          </w:tcPr>
          <w:p>
            <w:pPr>
              <w:spacing w:after="0"/>
              <w:rPr>
                <w:sz w:val="19"/>
                <w:szCs w:val="19"/>
                <w:color w:val="auto"/>
              </w:rPr>
            </w:pPr>
          </w:p>
        </w:tc>
        <w:tc>
          <w:tcPr>
            <w:tcW w:w="36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c>
          <w:tcPr>
            <w:tcW w:w="400" w:type="dxa"/>
            <w:vAlign w:val="bottom"/>
            <w:tcBorders>
              <w:top w:val="single" w:sz="8" w:color="D9D9D6"/>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380" w:type="dxa"/>
            <w:vAlign w:val="bottom"/>
            <w:tcBorders>
              <w:top w:val="single" w:sz="8" w:color="D9D9D6"/>
            </w:tcBorders>
            <w:shd w:val="clear" w:color="auto" w:fill="D9D9D6"/>
          </w:tcPr>
          <w:p>
            <w:pPr>
              <w:spacing w:after="0"/>
              <w:rPr>
                <w:sz w:val="19"/>
                <w:szCs w:val="19"/>
                <w:color w:val="auto"/>
              </w:rPr>
            </w:pPr>
          </w:p>
        </w:tc>
        <w:tc>
          <w:tcPr>
            <w:tcW w:w="100" w:type="dxa"/>
            <w:vAlign w:val="bottom"/>
            <w:tcBorders>
              <w:top w:val="single" w:sz="8" w:color="D9D9D6"/>
            </w:tcBorders>
            <w:shd w:val="clear" w:color="auto" w:fill="D9D9D6"/>
          </w:tcPr>
          <w:p>
            <w:pPr>
              <w:spacing w:after="0"/>
              <w:rPr>
                <w:sz w:val="19"/>
                <w:szCs w:val="19"/>
                <w:color w:val="auto"/>
              </w:rPr>
            </w:pPr>
          </w:p>
        </w:tc>
        <w:tc>
          <w:tcPr>
            <w:tcW w:w="100" w:type="dxa"/>
            <w:vAlign w:val="bottom"/>
            <w:tcBorders>
              <w:top w:val="single" w:sz="8" w:color="D9D9D6"/>
            </w:tcBorders>
            <w:shd w:val="clear" w:color="auto" w:fill="D9D9D6"/>
          </w:tcPr>
          <w:p>
            <w:pPr>
              <w:spacing w:after="0"/>
              <w:rPr>
                <w:sz w:val="19"/>
                <w:szCs w:val="19"/>
                <w:color w:val="auto"/>
              </w:rPr>
            </w:pPr>
          </w:p>
        </w:tc>
        <w:tc>
          <w:tcPr>
            <w:tcW w:w="220" w:type="dxa"/>
            <w:vAlign w:val="bottom"/>
            <w:tcBorders>
              <w:top w:val="single" w:sz="8" w:color="auto"/>
            </w:tcBorders>
            <w:shd w:val="clear" w:color="auto" w:fill="D9D9D6"/>
          </w:tcPr>
          <w:p>
            <w:pPr>
              <w:spacing w:after="0"/>
              <w:rPr>
                <w:sz w:val="19"/>
                <w:szCs w:val="19"/>
                <w:color w:val="auto"/>
              </w:rPr>
            </w:pPr>
          </w:p>
        </w:tc>
        <w:tc>
          <w:tcPr>
            <w:tcW w:w="120" w:type="dxa"/>
            <w:vAlign w:val="bottom"/>
            <w:tcBorders>
              <w:top w:val="single" w:sz="8" w:color="auto"/>
              <w:right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7"/>
        </w:trPr>
        <w:tc>
          <w:tcPr>
            <w:tcW w:w="120" w:type="dxa"/>
            <w:vAlign w:val="bottom"/>
            <w:shd w:val="clear" w:color="auto" w:fill="D9D9D6"/>
          </w:tcPr>
          <w:p>
            <w:pPr>
              <w:spacing w:after="0"/>
              <w:rPr>
                <w:sz w:val="17"/>
                <w:szCs w:val="17"/>
                <w:color w:val="auto"/>
              </w:rPr>
            </w:pPr>
          </w:p>
        </w:tc>
        <w:tc>
          <w:tcPr>
            <w:tcW w:w="74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Residential Connectivity &amp; Platforms Customer Relationships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30,969</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31,555</w:t>
            </w:r>
          </w:p>
        </w:tc>
        <w:tc>
          <w:tcPr>
            <w:tcW w:w="86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(204)</w:t>
            </w:r>
          </w:p>
        </w:tc>
        <w:tc>
          <w:tcPr>
            <w:tcW w:w="38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c>
          <w:tcPr>
            <w:tcW w:w="4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(94)</w:t>
            </w:r>
          </w:p>
        </w:tc>
        <w:tc>
          <w:tcPr>
            <w:tcW w:w="120" w:type="dxa"/>
            <w:vAlign w:val="bottom"/>
            <w:shd w:val="clear" w:color="auto" w:fill="D9D9D6"/>
          </w:tcPr>
          <w:p>
            <w:pPr>
              <w:spacing w:after="0"/>
              <w:rPr>
                <w:sz w:val="17"/>
                <w:szCs w:val="17"/>
                <w:color w:val="auto"/>
              </w:rPr>
            </w:pPr>
          </w:p>
        </w:tc>
      </w:tr>
      <w:tr>
        <w:trPr>
          <w:trHeight w:val="211"/>
        </w:trPr>
        <w:tc>
          <w:tcPr>
            <w:tcW w:w="120" w:type="dxa"/>
            <w:vAlign w:val="bottom"/>
            <w:shd w:val="clear" w:color="auto" w:fill="D9D9D6"/>
          </w:tcPr>
          <w:p>
            <w:pPr>
              <w:spacing w:after="0"/>
              <w:rPr>
                <w:sz w:val="18"/>
                <w:szCs w:val="18"/>
                <w:color w:val="auto"/>
              </w:rPr>
            </w:pPr>
          </w:p>
        </w:tc>
        <w:tc>
          <w:tcPr>
            <w:tcW w:w="74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International Residential Connectivity &amp; Platforms Customer Relationships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17,800</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17,782</w:t>
            </w:r>
          </w:p>
        </w:tc>
        <w:tc>
          <w:tcPr>
            <w:tcW w:w="86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(11)</w:t>
            </w:r>
          </w:p>
        </w:tc>
        <w:tc>
          <w:tcPr>
            <w:tcW w:w="380" w:type="dxa"/>
            <w:vAlign w:val="bottom"/>
            <w:shd w:val="clear" w:color="auto" w:fill="D9D9D6"/>
          </w:tcPr>
          <w:p>
            <w:pPr>
              <w:spacing w:after="0"/>
              <w:rPr>
                <w:sz w:val="18"/>
                <w:szCs w:val="18"/>
                <w:color w:val="auto"/>
              </w:rPr>
            </w:pPr>
          </w:p>
        </w:tc>
        <w:tc>
          <w:tcPr>
            <w:tcW w:w="100" w:type="dxa"/>
            <w:vAlign w:val="bottom"/>
            <w:shd w:val="clear" w:color="auto" w:fill="D9D9D6"/>
          </w:tcPr>
          <w:p>
            <w:pPr>
              <w:spacing w:after="0"/>
              <w:rPr>
                <w:sz w:val="18"/>
                <w:szCs w:val="18"/>
                <w:color w:val="auto"/>
              </w:rPr>
            </w:pPr>
          </w:p>
        </w:tc>
        <w:tc>
          <w:tcPr>
            <w:tcW w:w="4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(65)</w:t>
            </w:r>
          </w:p>
        </w:tc>
        <w:tc>
          <w:tcPr>
            <w:tcW w:w="120" w:type="dxa"/>
            <w:vAlign w:val="bottom"/>
            <w:shd w:val="clear" w:color="auto" w:fill="D9D9D6"/>
          </w:tcPr>
          <w:p>
            <w:pPr>
              <w:spacing w:after="0"/>
              <w:rPr>
                <w:sz w:val="18"/>
                <w:szCs w:val="18"/>
                <w:color w:val="auto"/>
              </w:rPr>
            </w:pPr>
          </w:p>
        </w:tc>
      </w:t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74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Connectivity Customer Relationships</w:t>
            </w:r>
          </w:p>
        </w:tc>
        <w:tc>
          <w:tcPr>
            <w:tcW w:w="88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2,613</w:t>
            </w:r>
          </w:p>
        </w:tc>
        <w:tc>
          <w:tcPr>
            <w:tcW w:w="9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2,634</w:t>
            </w:r>
          </w:p>
        </w:tc>
        <w:tc>
          <w:tcPr>
            <w:tcW w:w="860" w:type="dxa"/>
            <w:vAlign w:val="bottom"/>
            <w:tcBorders>
              <w:bottom w:val="single" w:sz="8" w:color="auto"/>
            </w:tcBorders>
            <w:gridSpan w:val="4"/>
            <w:shd w:val="clear" w:color="auto" w:fill="DBDBDB"/>
          </w:tcPr>
          <w:p>
            <w:pPr>
              <w:jc w:val="right"/>
              <w:spacing w:after="0"/>
              <w:rPr>
                <w:sz w:val="20"/>
                <w:szCs w:val="20"/>
                <w:color w:val="auto"/>
              </w:rPr>
            </w:pPr>
            <w:r>
              <w:rPr>
                <w:rFonts w:ascii="Arial" w:cs="Arial" w:eastAsia="Arial" w:hAnsi="Arial"/>
                <w:sz w:val="14"/>
                <w:szCs w:val="14"/>
                <w:color w:val="auto"/>
              </w:rPr>
              <w:t>(13)</w:t>
            </w:r>
          </w:p>
        </w:tc>
        <w:tc>
          <w:tcPr>
            <w:tcW w:w="38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440" w:type="dxa"/>
            <w:vAlign w:val="bottom"/>
            <w:tcBorders>
              <w:bottom w:val="single" w:sz="8" w:color="auto"/>
              <w:right w:val="single" w:sz="8" w:color="DBDBDB"/>
            </w:tcBorders>
            <w:gridSpan w:val="3"/>
            <w:shd w:val="clear" w:color="auto" w:fill="DBDBDB"/>
          </w:tcPr>
          <w:p>
            <w:pPr>
              <w:jc w:val="right"/>
              <w:ind w:right="20"/>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Connectivity &amp; Platforms Customer Relationships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51,381</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51,971</w:t>
            </w:r>
          </w:p>
        </w:tc>
        <w:tc>
          <w:tcPr>
            <w:tcW w:w="860" w:type="dxa"/>
            <w:vAlign w:val="bottom"/>
            <w:gridSpan w:val="4"/>
            <w:shd w:val="clear" w:color="auto" w:fill="DBDBDB"/>
          </w:tcPr>
          <w:p>
            <w:pPr>
              <w:jc w:val="right"/>
              <w:spacing w:after="0"/>
              <w:rPr>
                <w:sz w:val="20"/>
                <w:szCs w:val="20"/>
                <w:color w:val="auto"/>
              </w:rPr>
            </w:pPr>
            <w:r>
              <w:rPr>
                <w:rFonts w:ascii="Arial" w:cs="Arial" w:eastAsia="Arial" w:hAnsi="Arial"/>
                <w:sz w:val="14"/>
                <w:szCs w:val="14"/>
                <w:b w:val="1"/>
                <w:bCs w:val="1"/>
                <w:color w:val="auto"/>
              </w:rPr>
              <w:t>(228)</w:t>
            </w:r>
          </w:p>
        </w:tc>
        <w:tc>
          <w:tcPr>
            <w:tcW w:w="3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40" w:type="dxa"/>
            <w:vAlign w:val="bottom"/>
            <w:tcBorders>
              <w:right w:val="single" w:sz="8" w:color="DBDBDB"/>
            </w:tcBorders>
            <w:gridSpan w:val="3"/>
            <w:shd w:val="clear" w:color="auto" w:fill="DBDBDB"/>
          </w:tcPr>
          <w:p>
            <w:pPr>
              <w:jc w:val="right"/>
              <w:ind w:right="20"/>
              <w:spacing w:after="0"/>
              <w:rPr>
                <w:sz w:val="20"/>
                <w:szCs w:val="20"/>
                <w:color w:val="auto"/>
              </w:rPr>
            </w:pPr>
            <w:r>
              <w:rPr>
                <w:rFonts w:ascii="Arial" w:cs="Arial" w:eastAsia="Arial" w:hAnsi="Arial"/>
                <w:sz w:val="14"/>
                <w:szCs w:val="14"/>
                <w:b w:val="1"/>
                <w:bCs w:val="1"/>
                <w:color w:val="auto"/>
              </w:rPr>
              <w:t>(166)</w:t>
            </w:r>
          </w:p>
        </w:tc>
        <w:tc>
          <w:tcPr>
            <w:tcW w:w="120" w:type="dxa"/>
            <w:vAlign w:val="bottom"/>
            <w:shd w:val="clear" w:color="auto" w:fill="D9D9D6"/>
          </w:tcPr>
          <w:p>
            <w:pPr>
              <w:spacing w:after="0"/>
              <w:rPr>
                <w:sz w:val="17"/>
                <w:szCs w:val="17"/>
                <w:color w:val="auto"/>
              </w:rPr>
            </w:pPr>
          </w:p>
        </w:tc>
      </w:tr>
      <w:tr>
        <w:trPr>
          <w:trHeight w:val="418"/>
        </w:trPr>
        <w:tc>
          <w:tcPr>
            <w:tcW w:w="120" w:type="dxa"/>
            <w:vAlign w:val="bottom"/>
            <w:shd w:val="clear" w:color="auto" w:fill="D9D9D6"/>
          </w:tcPr>
          <w:p>
            <w:pPr>
              <w:spacing w:after="0"/>
              <w:rPr>
                <w:sz w:val="24"/>
                <w:szCs w:val="24"/>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Domestic Broadband</w:t>
            </w:r>
          </w:p>
        </w:tc>
        <w:tc>
          <w:tcPr>
            <w:tcW w:w="520" w:type="dxa"/>
            <w:vAlign w:val="bottom"/>
            <w:shd w:val="clear" w:color="auto" w:fill="D9D9D6"/>
          </w:tcPr>
          <w:p>
            <w:pPr>
              <w:spacing w:after="0"/>
              <w:rPr>
                <w:sz w:val="24"/>
                <w:szCs w:val="24"/>
                <w:color w:val="auto"/>
              </w:rPr>
            </w:pPr>
          </w:p>
        </w:tc>
        <w:tc>
          <w:tcPr>
            <w:tcW w:w="34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40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38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120" w:type="dxa"/>
            <w:vAlign w:val="bottom"/>
            <w:tcBorders>
              <w:right w:val="single" w:sz="8" w:color="D9D9D6"/>
            </w:tcBorders>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205"/>
        </w:trPr>
        <w:tc>
          <w:tcPr>
            <w:tcW w:w="120" w:type="dxa"/>
            <w:vAlign w:val="bottom"/>
            <w:shd w:val="clear" w:color="auto" w:fill="D9D9D6"/>
          </w:tcPr>
          <w:p>
            <w:pPr>
              <w:spacing w:after="0"/>
              <w:rPr>
                <w:sz w:val="17"/>
                <w:szCs w:val="17"/>
                <w:color w:val="auto"/>
              </w:rPr>
            </w:pPr>
          </w:p>
        </w:tc>
        <w:tc>
          <w:tcPr>
            <w:tcW w:w="74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Customers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29,190</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29,693</w:t>
            </w:r>
          </w:p>
        </w:tc>
        <w:tc>
          <w:tcPr>
            <w:tcW w:w="86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(183)</w:t>
            </w:r>
          </w:p>
        </w:tc>
        <w:tc>
          <w:tcPr>
            <w:tcW w:w="38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c>
          <w:tcPr>
            <w:tcW w:w="4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(55)</w:t>
            </w:r>
          </w:p>
        </w:tc>
        <w:tc>
          <w:tcPr>
            <w:tcW w:w="120" w:type="dxa"/>
            <w:vAlign w:val="bottom"/>
            <w:shd w:val="clear" w:color="auto" w:fill="D9D9D6"/>
          </w:tcPr>
          <w:p>
            <w:pPr>
              <w:spacing w:after="0"/>
              <w:rPr>
                <w:sz w:val="17"/>
                <w:szCs w:val="17"/>
                <w:color w:val="auto"/>
              </w:rPr>
            </w:pPr>
          </w:p>
        </w:tc>
      </w:t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74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Customers</w:t>
            </w:r>
          </w:p>
        </w:tc>
        <w:tc>
          <w:tcPr>
            <w:tcW w:w="88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2,453</w:t>
            </w:r>
          </w:p>
        </w:tc>
        <w:tc>
          <w:tcPr>
            <w:tcW w:w="9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2,495</w:t>
            </w:r>
          </w:p>
        </w:tc>
        <w:tc>
          <w:tcPr>
            <w:tcW w:w="860" w:type="dxa"/>
            <w:vAlign w:val="bottom"/>
            <w:tcBorders>
              <w:bottom w:val="single" w:sz="8" w:color="auto"/>
            </w:tcBorders>
            <w:gridSpan w:val="4"/>
            <w:shd w:val="clear" w:color="auto" w:fill="DBDBDB"/>
          </w:tcPr>
          <w:p>
            <w:pPr>
              <w:jc w:val="right"/>
              <w:spacing w:after="0"/>
              <w:rPr>
                <w:sz w:val="20"/>
                <w:szCs w:val="20"/>
                <w:color w:val="auto"/>
              </w:rPr>
            </w:pPr>
            <w:r>
              <w:rPr>
                <w:rFonts w:ascii="Arial" w:cs="Arial" w:eastAsia="Arial" w:hAnsi="Arial"/>
                <w:sz w:val="14"/>
                <w:szCs w:val="14"/>
                <w:color w:val="auto"/>
              </w:rPr>
              <w:t>(17)</w:t>
            </w:r>
          </w:p>
        </w:tc>
        <w:tc>
          <w:tcPr>
            <w:tcW w:w="38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440" w:type="dxa"/>
            <w:vAlign w:val="bottom"/>
            <w:tcBorders>
              <w:bottom w:val="single" w:sz="8" w:color="auto"/>
              <w:right w:val="single" w:sz="8" w:color="DBDBDB"/>
            </w:tcBorders>
            <w:gridSpan w:val="3"/>
            <w:shd w:val="clear" w:color="auto" w:fill="DBDBDB"/>
          </w:tcPr>
          <w:p>
            <w:pPr>
              <w:jc w:val="right"/>
              <w:ind w:right="20"/>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D9D9D6"/>
            </w:tcBorders>
            <w:shd w:val="clear" w:color="auto" w:fill="D9D9D6"/>
          </w:tcPr>
          <w:p>
            <w:pPr>
              <w:spacing w:after="0"/>
              <w:rPr>
                <w:sz w:val="17"/>
                <w:szCs w:val="17"/>
                <w:color w:val="auto"/>
              </w:rPr>
            </w:pPr>
          </w:p>
        </w:tc>
      </w:tr>
      <w:tr>
        <w:trPr>
          <w:trHeight w:val="202"/>
        </w:trPr>
        <w:tc>
          <w:tcPr>
            <w:tcW w:w="120" w:type="dxa"/>
            <w:vAlign w:val="bottom"/>
            <w:shd w:val="clear" w:color="auto" w:fill="D9D9D6"/>
          </w:tcPr>
          <w:p>
            <w:pPr>
              <w:spacing w:after="0"/>
              <w:rPr>
                <w:sz w:val="17"/>
                <w:szCs w:val="17"/>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Domestic Broadband Customers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31,643</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32,188</w:t>
            </w:r>
          </w:p>
        </w:tc>
        <w:tc>
          <w:tcPr>
            <w:tcW w:w="860" w:type="dxa"/>
            <w:vAlign w:val="bottom"/>
            <w:gridSpan w:val="4"/>
            <w:shd w:val="clear" w:color="auto" w:fill="DBDBDB"/>
          </w:tcPr>
          <w:p>
            <w:pPr>
              <w:jc w:val="right"/>
              <w:spacing w:after="0"/>
              <w:rPr>
                <w:sz w:val="20"/>
                <w:szCs w:val="20"/>
                <w:color w:val="auto"/>
              </w:rPr>
            </w:pPr>
            <w:r>
              <w:rPr>
                <w:rFonts w:ascii="Arial" w:cs="Arial" w:eastAsia="Arial" w:hAnsi="Arial"/>
                <w:sz w:val="14"/>
                <w:szCs w:val="14"/>
                <w:b w:val="1"/>
                <w:bCs w:val="1"/>
                <w:color w:val="auto"/>
              </w:rPr>
              <w:t>(199)</w:t>
            </w:r>
          </w:p>
        </w:tc>
        <w:tc>
          <w:tcPr>
            <w:tcW w:w="3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40" w:type="dxa"/>
            <w:vAlign w:val="bottom"/>
            <w:tcBorders>
              <w:right w:val="single" w:sz="8" w:color="DBDBDB"/>
            </w:tcBorders>
            <w:gridSpan w:val="3"/>
            <w:shd w:val="clear" w:color="auto" w:fill="DBDBDB"/>
          </w:tcPr>
          <w:p>
            <w:pPr>
              <w:jc w:val="right"/>
              <w:ind w:right="20"/>
              <w:spacing w:after="0"/>
              <w:rPr>
                <w:sz w:val="20"/>
                <w:szCs w:val="20"/>
                <w:color w:val="auto"/>
              </w:rPr>
            </w:pPr>
            <w:r>
              <w:rPr>
                <w:rFonts w:ascii="Arial" w:cs="Arial" w:eastAsia="Arial" w:hAnsi="Arial"/>
                <w:sz w:val="14"/>
                <w:szCs w:val="14"/>
                <w:b w:val="1"/>
                <w:bCs w:val="1"/>
                <w:color w:val="auto"/>
              </w:rPr>
              <w:t>(65)</w:t>
            </w:r>
          </w:p>
        </w:tc>
        <w:tc>
          <w:tcPr>
            <w:tcW w:w="120" w:type="dxa"/>
            <w:vAlign w:val="bottom"/>
            <w:shd w:val="clear" w:color="auto" w:fill="D9D9D6"/>
          </w:tcPr>
          <w:p>
            <w:pPr>
              <w:spacing w:after="0"/>
              <w:rPr>
                <w:sz w:val="17"/>
                <w:szCs w:val="17"/>
                <w:color w:val="auto"/>
              </w:rPr>
            </w:pPr>
          </w:p>
        </w:tc>
      </w:tr>
      <w:tr>
        <w:trPr>
          <w:trHeight w:val="418"/>
        </w:trPr>
        <w:tc>
          <w:tcPr>
            <w:tcW w:w="120" w:type="dxa"/>
            <w:vAlign w:val="bottom"/>
            <w:shd w:val="clear" w:color="auto" w:fill="D9D9D6"/>
          </w:tcPr>
          <w:p>
            <w:pPr>
              <w:spacing w:after="0"/>
              <w:rPr>
                <w:sz w:val="24"/>
                <w:szCs w:val="24"/>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Domestic Wireless Lines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8,148</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6,877</w:t>
            </w:r>
          </w:p>
        </w:tc>
        <w:tc>
          <w:tcPr>
            <w:tcW w:w="86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323</w:t>
            </w:r>
          </w:p>
        </w:tc>
        <w:tc>
          <w:tcPr>
            <w:tcW w:w="38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4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289</w:t>
            </w:r>
          </w:p>
        </w:tc>
        <w:tc>
          <w:tcPr>
            <w:tcW w:w="120" w:type="dxa"/>
            <w:vAlign w:val="bottom"/>
            <w:shd w:val="clear" w:color="auto" w:fill="D9D9D6"/>
          </w:tcPr>
          <w:p>
            <w:pPr>
              <w:spacing w:after="0"/>
              <w:rPr>
                <w:sz w:val="24"/>
                <w:szCs w:val="24"/>
                <w:color w:val="auto"/>
              </w:rPr>
            </w:pPr>
          </w:p>
        </w:tc>
      </w:tr>
      <w:tr>
        <w:trPr>
          <w:trHeight w:val="418"/>
        </w:trPr>
        <w:tc>
          <w:tcPr>
            <w:tcW w:w="120" w:type="dxa"/>
            <w:vAlign w:val="bottom"/>
            <w:shd w:val="clear" w:color="auto" w:fill="D9D9D6"/>
          </w:tcPr>
          <w:p>
            <w:pPr>
              <w:spacing w:after="0"/>
              <w:rPr>
                <w:sz w:val="24"/>
                <w:szCs w:val="24"/>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Domestic Video Customers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12,096</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13,618</w:t>
            </w:r>
          </w:p>
        </w:tc>
        <w:tc>
          <w:tcPr>
            <w:tcW w:w="86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(427)</w:t>
            </w:r>
          </w:p>
        </w:tc>
        <w:tc>
          <w:tcPr>
            <w:tcW w:w="38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4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(487)</w:t>
            </w:r>
          </w:p>
        </w:tc>
        <w:tc>
          <w:tcPr>
            <w:tcW w:w="120" w:type="dxa"/>
            <w:vAlign w:val="bottom"/>
            <w:shd w:val="clear" w:color="auto" w:fill="D9D9D6"/>
          </w:tcPr>
          <w:p>
            <w:pPr>
              <w:spacing w:after="0"/>
              <w:rPr>
                <w:sz w:val="24"/>
                <w:szCs w:val="24"/>
                <w:color w:val="auto"/>
              </w:rPr>
            </w:pPr>
          </w:p>
        </w:tc>
      </w:tr>
      <w:tr>
        <w:trPr>
          <w:trHeight w:val="56"/>
        </w:trPr>
        <w:tc>
          <w:tcPr>
            <w:tcW w:w="120" w:type="dxa"/>
            <w:vAlign w:val="bottom"/>
            <w:shd w:val="clear" w:color="auto" w:fill="D9D9D6"/>
          </w:tcPr>
          <w:p>
            <w:pPr>
              <w:spacing w:after="0"/>
              <w:rPr>
                <w:sz w:val="4"/>
                <w:szCs w:val="4"/>
                <w:color w:val="auto"/>
              </w:rPr>
            </w:pPr>
          </w:p>
        </w:tc>
        <w:tc>
          <w:tcPr>
            <w:tcW w:w="7440" w:type="dxa"/>
            <w:vAlign w:val="bottom"/>
            <w:shd w:val="clear" w:color="auto" w:fill="D9D9D6"/>
          </w:tcPr>
          <w:p>
            <w:pPr>
              <w:spacing w:after="0"/>
              <w:rPr>
                <w:sz w:val="4"/>
                <w:szCs w:val="4"/>
                <w:color w:val="auto"/>
              </w:rPr>
            </w:pPr>
          </w:p>
        </w:tc>
        <w:tc>
          <w:tcPr>
            <w:tcW w:w="520" w:type="dxa"/>
            <w:vAlign w:val="bottom"/>
            <w:shd w:val="clear" w:color="auto" w:fill="D9D9D6"/>
          </w:tcPr>
          <w:p>
            <w:pPr>
              <w:spacing w:after="0"/>
              <w:rPr>
                <w:sz w:val="4"/>
                <w:szCs w:val="4"/>
                <w:color w:val="auto"/>
              </w:rPr>
            </w:pPr>
          </w:p>
        </w:tc>
        <w:tc>
          <w:tcPr>
            <w:tcW w:w="34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520" w:type="dxa"/>
            <w:vAlign w:val="bottom"/>
            <w:shd w:val="clear" w:color="auto" w:fill="D9D9D6"/>
          </w:tcPr>
          <w:p>
            <w:pPr>
              <w:spacing w:after="0"/>
              <w:rPr>
                <w:sz w:val="4"/>
                <w:szCs w:val="4"/>
                <w:color w:val="auto"/>
              </w:rPr>
            </w:pPr>
          </w:p>
        </w:tc>
        <w:tc>
          <w:tcPr>
            <w:tcW w:w="36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40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380" w:type="dxa"/>
            <w:vAlign w:val="bottom"/>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c>
          <w:tcPr>
            <w:tcW w:w="220" w:type="dxa"/>
            <w:vAlign w:val="bottom"/>
            <w:shd w:val="clear" w:color="auto" w:fill="D9D9D6"/>
          </w:tcPr>
          <w:p>
            <w:pPr>
              <w:spacing w:after="0"/>
              <w:rPr>
                <w:sz w:val="4"/>
                <w:szCs w:val="4"/>
                <w:color w:val="auto"/>
              </w:rPr>
            </w:pPr>
          </w:p>
        </w:tc>
        <w:tc>
          <w:tcPr>
            <w:tcW w:w="120" w:type="dxa"/>
            <w:vAlign w:val="bottom"/>
            <w:tcBorders>
              <w:right w:val="single" w:sz="8" w:color="D9D9D6"/>
            </w:tcBorders>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r>
    </w:tbl>
    <w:p>
      <w:pPr>
        <w:spacing w:after="0" w:line="2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for Connectivity &amp; Platforms decreased by 228,000 to 51.4 million, primarily reflecting decreases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Residential Connectivity &amp; Platforms customer relationships. Total domestic broadband customer net losses were 199,000, total domestic wireless line net additions were 323,000 and total domestic video customer net losses were 427,000.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Connectivity &amp; Platforms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 w:type="dxa"/>
            <w:vAlign w:val="bottom"/>
            <w:shd w:val="clear" w:color="auto" w:fill="D9D9D6"/>
          </w:tcPr>
          <w:p>
            <w:pPr>
              <w:spacing w:after="0"/>
              <w:rPr>
                <w:sz w:val="19"/>
                <w:szCs w:val="19"/>
                <w:color w:val="auto"/>
              </w:rPr>
            </w:pPr>
          </w:p>
        </w:tc>
        <w:tc>
          <w:tcPr>
            <w:tcW w:w="678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76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80" w:type="dxa"/>
            <w:vAlign w:val="bottom"/>
            <w:shd w:val="clear" w:color="auto" w:fill="D9D9D6"/>
          </w:tcPr>
          <w:p>
            <w:pPr>
              <w:spacing w:after="0"/>
              <w:rPr>
                <w:sz w:val="19"/>
                <w:szCs w:val="19"/>
                <w:color w:val="auto"/>
              </w:rPr>
            </w:pPr>
          </w:p>
        </w:tc>
        <w:tc>
          <w:tcPr>
            <w:tcW w:w="560" w:type="dxa"/>
            <w:vAlign w:val="bottom"/>
            <w:shd w:val="clear" w:color="auto" w:fill="D9D9D6"/>
          </w:tcPr>
          <w:p>
            <w:pPr>
              <w:spacing w:after="0"/>
              <w:rPr>
                <w:sz w:val="19"/>
                <w:szCs w:val="19"/>
                <w:color w:val="auto"/>
              </w:rPr>
            </w:pPr>
          </w:p>
        </w:tc>
        <w:tc>
          <w:tcPr>
            <w:tcW w:w="160" w:type="dxa"/>
            <w:vAlign w:val="bottom"/>
            <w:shd w:val="clear" w:color="auto" w:fill="D9D9D6"/>
          </w:tcPr>
          <w:p>
            <w:pPr>
              <w:spacing w:after="0"/>
              <w:rPr>
                <w:sz w:val="19"/>
                <w:szCs w:val="19"/>
                <w:color w:val="auto"/>
              </w:rPr>
            </w:pPr>
          </w:p>
        </w:tc>
        <w:tc>
          <w:tcPr>
            <w:tcW w:w="16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48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20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080" w:type="dxa"/>
            <w:vAlign w:val="bottom"/>
            <w:gridSpan w:val="4"/>
            <w:vMerge w:val="restart"/>
            <w:shd w:val="clear" w:color="auto" w:fill="D9D9D6"/>
          </w:tcPr>
          <w:p>
            <w:pPr>
              <w:jc w:val="right"/>
              <w:ind w:right="60"/>
              <w:spacing w:after="0"/>
              <w:rPr>
                <w:sz w:val="20"/>
                <w:szCs w:val="20"/>
                <w:color w:val="auto"/>
              </w:rPr>
            </w:pPr>
            <w:r>
              <w:rPr>
                <w:rFonts w:ascii="Arial" w:cs="Arial" w:eastAsia="Arial" w:hAnsi="Arial"/>
                <w:sz w:val="14"/>
                <w:szCs w:val="14"/>
                <w:color w:val="auto"/>
              </w:rPr>
              <w:t>Constant</w:t>
            </w:r>
          </w:p>
        </w:tc>
        <w:tc>
          <w:tcPr>
            <w:tcW w:w="180" w:type="dxa"/>
            <w:vAlign w:val="bottom"/>
            <w:shd w:val="clear" w:color="auto" w:fill="D9D9D6"/>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00" w:type="dxa"/>
            <w:vAlign w:val="bottom"/>
            <w:shd w:val="clear" w:color="auto" w:fill="D9D9D6"/>
          </w:tcPr>
          <w:p>
            <w:pPr>
              <w:spacing w:after="0"/>
              <w:rPr>
                <w:sz w:val="12"/>
                <w:szCs w:val="12"/>
                <w:color w:val="auto"/>
              </w:rPr>
            </w:pPr>
          </w:p>
        </w:tc>
        <w:tc>
          <w:tcPr>
            <w:tcW w:w="6780" w:type="dxa"/>
            <w:vAlign w:val="bottom"/>
            <w:shd w:val="clear" w:color="auto" w:fill="D9D9D6"/>
          </w:tcPr>
          <w:p>
            <w:pPr>
              <w:spacing w:after="0"/>
              <w:rPr>
                <w:sz w:val="12"/>
                <w:szCs w:val="12"/>
                <w:color w:val="auto"/>
              </w:rPr>
            </w:pPr>
          </w:p>
        </w:tc>
        <w:tc>
          <w:tcPr>
            <w:tcW w:w="760" w:type="dxa"/>
            <w:vAlign w:val="bottom"/>
            <w:shd w:val="clear" w:color="auto" w:fill="D9D9D6"/>
          </w:tcPr>
          <w:p>
            <w:pPr>
              <w:spacing w:after="0"/>
              <w:rPr>
                <w:sz w:val="12"/>
                <w:szCs w:val="12"/>
                <w:color w:val="auto"/>
              </w:rPr>
            </w:pPr>
          </w:p>
        </w:tc>
        <w:tc>
          <w:tcPr>
            <w:tcW w:w="32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80" w:type="dxa"/>
            <w:vAlign w:val="bottom"/>
            <w:shd w:val="clear" w:color="auto" w:fill="D9D9D6"/>
          </w:tcPr>
          <w:p>
            <w:pPr>
              <w:spacing w:after="0"/>
              <w:rPr>
                <w:sz w:val="12"/>
                <w:szCs w:val="12"/>
                <w:color w:val="auto"/>
              </w:rPr>
            </w:pPr>
          </w:p>
        </w:tc>
        <w:tc>
          <w:tcPr>
            <w:tcW w:w="900" w:type="dxa"/>
            <w:vAlign w:val="bottom"/>
            <w:gridSpan w:val="4"/>
            <w:vMerge w:val="restart"/>
            <w:shd w:val="clear" w:color="auto" w:fill="D9D9D6"/>
          </w:tcPr>
          <w:p>
            <w:pPr>
              <w:jc w:val="right"/>
              <w:ind w:right="180"/>
              <w:spacing w:after="0"/>
              <w:rPr>
                <w:sz w:val="20"/>
                <w:szCs w:val="20"/>
                <w:color w:val="auto"/>
              </w:rPr>
            </w:pPr>
            <w:r>
              <w:rPr>
                <w:rFonts w:ascii="Arial" w:cs="Arial" w:eastAsia="Arial" w:hAnsi="Arial"/>
                <w:sz w:val="14"/>
                <w:szCs w:val="14"/>
                <w:color w:val="auto"/>
                <w:w w:val="99"/>
              </w:rPr>
              <w:t>1st Quarter</w:t>
            </w:r>
          </w:p>
        </w:tc>
        <w:tc>
          <w:tcPr>
            <w:tcW w:w="480" w:type="dxa"/>
            <w:vAlign w:val="bottom"/>
            <w:shd w:val="clear" w:color="auto" w:fill="D9D9D6"/>
          </w:tcPr>
          <w:p>
            <w:pPr>
              <w:spacing w:after="0"/>
              <w:rPr>
                <w:sz w:val="12"/>
                <w:szCs w:val="12"/>
                <w:color w:val="auto"/>
              </w:rPr>
            </w:pPr>
          </w:p>
        </w:tc>
        <w:tc>
          <w:tcPr>
            <w:tcW w:w="320" w:type="dxa"/>
            <w:vAlign w:val="bottom"/>
            <w:shd w:val="clear" w:color="auto" w:fill="D9D9D6"/>
          </w:tcPr>
          <w:p>
            <w:pPr>
              <w:spacing w:after="0"/>
              <w:rPr>
                <w:sz w:val="12"/>
                <w:szCs w:val="12"/>
                <w:color w:val="auto"/>
              </w:rPr>
            </w:pPr>
          </w:p>
        </w:tc>
        <w:tc>
          <w:tcPr>
            <w:tcW w:w="20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1080" w:type="dxa"/>
            <w:vAlign w:val="bottom"/>
            <w:gridSpan w:val="4"/>
            <w:vMerge w:val="continue"/>
            <w:shd w:val="clear" w:color="auto" w:fill="D9D9D6"/>
          </w:tcPr>
          <w:p>
            <w:pPr>
              <w:spacing w:after="0"/>
              <w:rPr>
                <w:sz w:val="12"/>
                <w:szCs w:val="12"/>
                <w:color w:val="auto"/>
              </w:rPr>
            </w:pPr>
          </w:p>
        </w:tc>
        <w:tc>
          <w:tcPr>
            <w:tcW w:w="180" w:type="dxa"/>
            <w:vAlign w:val="bottom"/>
            <w:shd w:val="clear" w:color="auto" w:fill="D9D9D6"/>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00" w:type="dxa"/>
            <w:vAlign w:val="bottom"/>
            <w:shd w:val="clear" w:color="auto" w:fill="D9D9D6"/>
          </w:tcPr>
          <w:p>
            <w:pPr>
              <w:spacing w:after="0"/>
              <w:rPr>
                <w:sz w:val="6"/>
                <w:szCs w:val="6"/>
                <w:color w:val="auto"/>
              </w:rPr>
            </w:pPr>
          </w:p>
        </w:tc>
        <w:tc>
          <w:tcPr>
            <w:tcW w:w="6780" w:type="dxa"/>
            <w:vAlign w:val="bottom"/>
            <w:shd w:val="clear" w:color="auto" w:fill="D9D9D6"/>
          </w:tcPr>
          <w:p>
            <w:pPr>
              <w:spacing w:after="0"/>
              <w:rPr>
                <w:sz w:val="6"/>
                <w:szCs w:val="6"/>
                <w:color w:val="auto"/>
              </w:rPr>
            </w:pPr>
          </w:p>
        </w:tc>
        <w:tc>
          <w:tcPr>
            <w:tcW w:w="760" w:type="dxa"/>
            <w:vAlign w:val="bottom"/>
            <w:shd w:val="clear" w:color="auto" w:fill="D9D9D6"/>
          </w:tcPr>
          <w:p>
            <w:pPr>
              <w:spacing w:after="0"/>
              <w:rPr>
                <w:sz w:val="6"/>
                <w:szCs w:val="6"/>
                <w:color w:val="auto"/>
              </w:rPr>
            </w:pPr>
          </w:p>
        </w:tc>
        <w:tc>
          <w:tcPr>
            <w:tcW w:w="320" w:type="dxa"/>
            <w:vAlign w:val="bottom"/>
            <w:shd w:val="clear" w:color="auto" w:fill="D9D9D6"/>
          </w:tcPr>
          <w:p>
            <w:pPr>
              <w:spacing w:after="0"/>
              <w:rPr>
                <w:sz w:val="6"/>
                <w:szCs w:val="6"/>
                <w:color w:val="auto"/>
              </w:rPr>
            </w:pPr>
          </w:p>
        </w:tc>
        <w:tc>
          <w:tcPr>
            <w:tcW w:w="20" w:type="dxa"/>
            <w:vAlign w:val="bottom"/>
            <w:shd w:val="clear" w:color="auto" w:fill="D9D9D6"/>
          </w:tcPr>
          <w:p>
            <w:pPr>
              <w:spacing w:after="0"/>
              <w:rPr>
                <w:sz w:val="6"/>
                <w:szCs w:val="6"/>
                <w:color w:val="auto"/>
              </w:rPr>
            </w:pPr>
          </w:p>
        </w:tc>
        <w:tc>
          <w:tcPr>
            <w:tcW w:w="80" w:type="dxa"/>
            <w:vAlign w:val="bottom"/>
            <w:shd w:val="clear" w:color="auto" w:fill="D9D9D6"/>
          </w:tcPr>
          <w:p>
            <w:pPr>
              <w:spacing w:after="0"/>
              <w:rPr>
                <w:sz w:val="6"/>
                <w:szCs w:val="6"/>
                <w:color w:val="auto"/>
              </w:rPr>
            </w:pPr>
          </w:p>
        </w:tc>
        <w:tc>
          <w:tcPr>
            <w:tcW w:w="900" w:type="dxa"/>
            <w:vAlign w:val="bottom"/>
            <w:gridSpan w:val="4"/>
            <w:vMerge w:val="continue"/>
            <w:shd w:val="clear" w:color="auto" w:fill="D9D9D6"/>
          </w:tcPr>
          <w:p>
            <w:pPr>
              <w:spacing w:after="0"/>
              <w:rPr>
                <w:sz w:val="6"/>
                <w:szCs w:val="6"/>
                <w:color w:val="auto"/>
              </w:rPr>
            </w:pPr>
          </w:p>
        </w:tc>
        <w:tc>
          <w:tcPr>
            <w:tcW w:w="480" w:type="dxa"/>
            <w:vAlign w:val="bottom"/>
            <w:shd w:val="clear" w:color="auto" w:fill="D9D9D6"/>
          </w:tcPr>
          <w:p>
            <w:pPr>
              <w:spacing w:after="0"/>
              <w:rPr>
                <w:sz w:val="6"/>
                <w:szCs w:val="6"/>
                <w:color w:val="auto"/>
              </w:rPr>
            </w:pPr>
          </w:p>
        </w:tc>
        <w:tc>
          <w:tcPr>
            <w:tcW w:w="320" w:type="dxa"/>
            <w:vAlign w:val="bottom"/>
            <w:shd w:val="clear" w:color="auto" w:fill="D9D9D6"/>
          </w:tcPr>
          <w:p>
            <w:pPr>
              <w:spacing w:after="0"/>
              <w:rPr>
                <w:sz w:val="6"/>
                <w:szCs w:val="6"/>
                <w:color w:val="auto"/>
              </w:rPr>
            </w:pPr>
          </w:p>
        </w:tc>
        <w:tc>
          <w:tcPr>
            <w:tcW w:w="200" w:type="dxa"/>
            <w:vAlign w:val="bottom"/>
            <w:shd w:val="clear" w:color="auto" w:fill="D9D9D6"/>
          </w:tcPr>
          <w:p>
            <w:pPr>
              <w:spacing w:after="0"/>
              <w:rPr>
                <w:sz w:val="6"/>
                <w:szCs w:val="6"/>
                <w:color w:val="auto"/>
              </w:rPr>
            </w:pPr>
          </w:p>
        </w:tc>
        <w:tc>
          <w:tcPr>
            <w:tcW w:w="20" w:type="dxa"/>
            <w:vAlign w:val="bottom"/>
            <w:shd w:val="clear" w:color="auto" w:fill="D9D9D6"/>
          </w:tcPr>
          <w:p>
            <w:pPr>
              <w:spacing w:after="0"/>
              <w:rPr>
                <w:sz w:val="6"/>
                <w:szCs w:val="6"/>
                <w:color w:val="auto"/>
              </w:rPr>
            </w:pPr>
          </w:p>
        </w:tc>
        <w:tc>
          <w:tcPr>
            <w:tcW w:w="1080" w:type="dxa"/>
            <w:vAlign w:val="bottom"/>
            <w:gridSpan w:val="4"/>
            <w:vMerge w:val="restart"/>
            <w:shd w:val="clear" w:color="auto" w:fill="D9D9D6"/>
          </w:tcPr>
          <w:p>
            <w:pPr>
              <w:jc w:val="right"/>
              <w:ind w:right="60"/>
              <w:spacing w:after="0" w:line="146" w:lineRule="exact"/>
              <w:rPr>
                <w:sz w:val="20"/>
                <w:szCs w:val="20"/>
                <w:color w:val="auto"/>
              </w:rPr>
            </w:pPr>
            <w:r>
              <w:rPr>
                <w:rFonts w:ascii="Arial" w:cs="Arial" w:eastAsia="Arial" w:hAnsi="Arial"/>
                <w:sz w:val="14"/>
                <w:szCs w:val="14"/>
                <w:color w:val="auto"/>
              </w:rPr>
              <w:t>Currency</w:t>
            </w:r>
          </w:p>
        </w:tc>
        <w:tc>
          <w:tcPr>
            <w:tcW w:w="180" w:type="dxa"/>
            <w:vAlign w:val="bottom"/>
            <w:shd w:val="clear" w:color="auto" w:fill="D9D9D6"/>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D9D9D6"/>
          </w:tcPr>
          <w:p>
            <w:pPr>
              <w:spacing w:after="0" w:line="20" w:lineRule="exact"/>
              <w:rPr>
                <w:sz w:val="1"/>
                <w:szCs w:val="1"/>
                <w:color w:val="auto"/>
              </w:rPr>
            </w:pPr>
          </w:p>
        </w:tc>
        <w:tc>
          <w:tcPr>
            <w:tcW w:w="6780" w:type="dxa"/>
            <w:vAlign w:val="bottom"/>
            <w:shd w:val="clear" w:color="auto" w:fill="D9D9D6"/>
          </w:tcPr>
          <w:p>
            <w:pPr>
              <w:spacing w:after="0" w:line="20" w:lineRule="exact"/>
              <w:rPr>
                <w:sz w:val="1"/>
                <w:szCs w:val="1"/>
                <w:color w:val="auto"/>
              </w:rPr>
            </w:pPr>
          </w:p>
        </w:tc>
        <w:tc>
          <w:tcPr>
            <w:tcW w:w="760" w:type="dxa"/>
            <w:vAlign w:val="bottom"/>
            <w:shd w:val="clear" w:color="auto" w:fill="D9D9D6"/>
          </w:tcPr>
          <w:p>
            <w:pPr>
              <w:spacing w:after="0" w:line="20" w:lineRule="exact"/>
              <w:rPr>
                <w:sz w:val="1"/>
                <w:szCs w:val="1"/>
                <w:color w:val="auto"/>
              </w:rPr>
            </w:pPr>
          </w:p>
        </w:tc>
        <w:tc>
          <w:tcPr>
            <w:tcW w:w="320" w:type="dxa"/>
            <w:vAlign w:val="bottom"/>
            <w:vMerge w:val="restart"/>
            <w:shd w:val="clear" w:color="auto" w:fill="D9D9D6"/>
          </w:tcPr>
          <w:p>
            <w:pPr>
              <w:jc w:val="right"/>
              <w:spacing w:after="0"/>
              <w:rPr>
                <w:sz w:val="20"/>
                <w:szCs w:val="20"/>
                <w:color w:val="auto"/>
              </w:rPr>
            </w:pPr>
            <w:r>
              <w:rPr>
                <w:rFonts w:ascii="Arial" w:cs="Arial" w:eastAsia="Arial" w:hAnsi="Arial"/>
                <w:sz w:val="14"/>
                <w:szCs w:val="14"/>
                <w:color w:val="auto"/>
                <w:w w:val="96"/>
              </w:rPr>
              <w:t>2025</w:t>
            </w:r>
          </w:p>
        </w:tc>
        <w:tc>
          <w:tcPr>
            <w:tcW w:w="20" w:type="dxa"/>
            <w:vAlign w:val="bottom"/>
            <w:shd w:val="clear" w:color="auto" w:fill="D9D9D6"/>
          </w:tcPr>
          <w:p>
            <w:pPr>
              <w:spacing w:after="0" w:line="20" w:lineRule="exact"/>
              <w:rPr>
                <w:sz w:val="1"/>
                <w:szCs w:val="1"/>
                <w:color w:val="auto"/>
              </w:rPr>
            </w:pPr>
          </w:p>
        </w:tc>
        <w:tc>
          <w:tcPr>
            <w:tcW w:w="80" w:type="dxa"/>
            <w:vAlign w:val="bottom"/>
            <w:shd w:val="clear" w:color="auto" w:fill="D9D9D6"/>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480" w:type="dxa"/>
            <w:vAlign w:val="bottom"/>
            <w:shd w:val="clear" w:color="auto" w:fill="D9D9D6"/>
          </w:tcPr>
          <w:p>
            <w:pPr>
              <w:spacing w:after="0" w:line="20" w:lineRule="exact"/>
              <w:rPr>
                <w:sz w:val="1"/>
                <w:szCs w:val="1"/>
                <w:color w:val="auto"/>
              </w:rPr>
            </w:pPr>
          </w:p>
        </w:tc>
        <w:tc>
          <w:tcPr>
            <w:tcW w:w="520" w:type="dxa"/>
            <w:vAlign w:val="bottom"/>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rPr>
              <w:t>Change</w:t>
            </w:r>
          </w:p>
        </w:tc>
        <w:tc>
          <w:tcPr>
            <w:tcW w:w="20" w:type="dxa"/>
            <w:vAlign w:val="bottom"/>
            <w:shd w:val="clear" w:color="auto" w:fill="D9D9D6"/>
          </w:tcPr>
          <w:p>
            <w:pPr>
              <w:spacing w:after="0" w:line="20" w:lineRule="exact"/>
              <w:rPr>
                <w:sz w:val="1"/>
                <w:szCs w:val="1"/>
                <w:color w:val="auto"/>
              </w:rPr>
            </w:pPr>
          </w:p>
        </w:tc>
        <w:tc>
          <w:tcPr>
            <w:tcW w:w="1080" w:type="dxa"/>
            <w:vAlign w:val="bottom"/>
            <w:gridSpan w:val="4"/>
            <w:vMerge w:val="continue"/>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100" w:type="dxa"/>
            <w:vAlign w:val="bottom"/>
            <w:shd w:val="clear" w:color="auto" w:fill="D9D9D6"/>
          </w:tcPr>
          <w:p>
            <w:pPr>
              <w:spacing w:after="0"/>
              <w:rPr>
                <w:sz w:val="4"/>
                <w:szCs w:val="4"/>
                <w:color w:val="auto"/>
              </w:rPr>
            </w:pPr>
          </w:p>
        </w:tc>
        <w:tc>
          <w:tcPr>
            <w:tcW w:w="6780" w:type="dxa"/>
            <w:vAlign w:val="bottom"/>
            <w:shd w:val="clear" w:color="auto" w:fill="D9D9D6"/>
          </w:tcPr>
          <w:p>
            <w:pPr>
              <w:spacing w:after="0"/>
              <w:rPr>
                <w:sz w:val="4"/>
                <w:szCs w:val="4"/>
                <w:color w:val="auto"/>
              </w:rPr>
            </w:pPr>
          </w:p>
        </w:tc>
        <w:tc>
          <w:tcPr>
            <w:tcW w:w="760" w:type="dxa"/>
            <w:vAlign w:val="bottom"/>
            <w:shd w:val="clear" w:color="auto" w:fill="D9D9D6"/>
          </w:tcPr>
          <w:p>
            <w:pPr>
              <w:spacing w:after="0"/>
              <w:rPr>
                <w:sz w:val="4"/>
                <w:szCs w:val="4"/>
                <w:color w:val="auto"/>
              </w:rPr>
            </w:pPr>
          </w:p>
        </w:tc>
        <w:tc>
          <w:tcPr>
            <w:tcW w:w="320" w:type="dxa"/>
            <w:vAlign w:val="bottom"/>
            <w:vMerge w:val="continue"/>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80" w:type="dxa"/>
            <w:vAlign w:val="bottom"/>
            <w:vMerge w:val="restart"/>
            <w:shd w:val="clear" w:color="auto" w:fill="D9D9D6"/>
          </w:tcPr>
          <w:p>
            <w:pPr>
              <w:spacing w:after="0"/>
              <w:rPr>
                <w:sz w:val="4"/>
                <w:szCs w:val="4"/>
                <w:color w:val="auto"/>
              </w:rPr>
            </w:pPr>
          </w:p>
        </w:tc>
        <w:tc>
          <w:tcPr>
            <w:tcW w:w="900" w:type="dxa"/>
            <w:vAlign w:val="bottom"/>
            <w:gridSpan w:val="4"/>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480" w:type="dxa"/>
            <w:vAlign w:val="bottom"/>
            <w:shd w:val="clear" w:color="auto" w:fill="D9D9D6"/>
          </w:tcPr>
          <w:p>
            <w:pPr>
              <w:spacing w:after="0"/>
              <w:rPr>
                <w:sz w:val="4"/>
                <w:szCs w:val="4"/>
                <w:color w:val="auto"/>
              </w:rPr>
            </w:pPr>
          </w:p>
        </w:tc>
        <w:tc>
          <w:tcPr>
            <w:tcW w:w="520" w:type="dxa"/>
            <w:vAlign w:val="bottom"/>
            <w:gridSpan w:val="2"/>
            <w:vMerge w:val="continue"/>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080" w:type="dxa"/>
            <w:vAlign w:val="bottom"/>
            <w:gridSpan w:val="4"/>
            <w:vMerge w:val="continue"/>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100" w:type="dxa"/>
            <w:vAlign w:val="bottom"/>
            <w:tcBorders>
              <w:bottom w:val="single" w:sz="8" w:color="D9D9D6"/>
            </w:tcBorders>
            <w:shd w:val="clear" w:color="auto" w:fill="D9D9D6"/>
          </w:tcPr>
          <w:p>
            <w:pPr>
              <w:spacing w:after="0"/>
              <w:rPr>
                <w:sz w:val="15"/>
                <w:szCs w:val="15"/>
                <w:color w:val="auto"/>
              </w:rPr>
            </w:pPr>
          </w:p>
        </w:tc>
        <w:tc>
          <w:tcPr>
            <w:tcW w:w="6780" w:type="dxa"/>
            <w:vAlign w:val="bottom"/>
            <w:tcBorders>
              <w:bottom w:val="single" w:sz="8" w:color="D9D9D6"/>
            </w:tcBorders>
            <w:shd w:val="clear" w:color="auto" w:fill="D9D9D6"/>
          </w:tcPr>
          <w:p>
            <w:pPr>
              <w:spacing w:after="0"/>
              <w:rPr>
                <w:sz w:val="15"/>
                <w:szCs w:val="15"/>
                <w:color w:val="auto"/>
              </w:rPr>
            </w:pPr>
          </w:p>
        </w:tc>
        <w:tc>
          <w:tcPr>
            <w:tcW w:w="76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auto"/>
            </w:tcBorders>
            <w:vMerge w:val="continue"/>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80" w:type="dxa"/>
            <w:vAlign w:val="bottom"/>
            <w:tcBorders>
              <w:bottom w:val="single" w:sz="8" w:color="D9D9D6"/>
            </w:tcBorders>
            <w:vMerge w:val="continue"/>
            <w:shd w:val="clear" w:color="auto" w:fill="D9D9D6"/>
          </w:tcPr>
          <w:p>
            <w:pPr>
              <w:spacing w:after="0"/>
              <w:rPr>
                <w:sz w:val="15"/>
                <w:szCs w:val="15"/>
                <w:color w:val="auto"/>
              </w:rPr>
            </w:pPr>
          </w:p>
        </w:tc>
        <w:tc>
          <w:tcPr>
            <w:tcW w:w="900" w:type="dxa"/>
            <w:vAlign w:val="bottom"/>
            <w:tcBorders>
              <w:bottom w:val="single" w:sz="8" w:color="D9D9D6"/>
            </w:tcBorders>
            <w:gridSpan w:val="4"/>
            <w:vMerge w:val="continue"/>
            <w:shd w:val="clear" w:color="auto" w:fill="D9D9D6"/>
          </w:tcPr>
          <w:p>
            <w:pPr>
              <w:spacing w:after="0"/>
              <w:rPr>
                <w:sz w:val="15"/>
                <w:szCs w:val="15"/>
                <w:color w:val="auto"/>
              </w:rPr>
            </w:pPr>
          </w:p>
        </w:tc>
        <w:tc>
          <w:tcPr>
            <w:tcW w:w="480" w:type="dxa"/>
            <w:vAlign w:val="bottom"/>
            <w:tcBorders>
              <w:bottom w:val="single" w:sz="8" w:color="D9D9D6"/>
            </w:tcBorders>
            <w:shd w:val="clear" w:color="auto" w:fill="D9D9D6"/>
          </w:tcPr>
          <w:p>
            <w:pPr>
              <w:spacing w:after="0"/>
              <w:rPr>
                <w:sz w:val="15"/>
                <w:szCs w:val="15"/>
                <w:color w:val="auto"/>
              </w:rPr>
            </w:pPr>
          </w:p>
        </w:tc>
        <w:tc>
          <w:tcPr>
            <w:tcW w:w="520" w:type="dxa"/>
            <w:vAlign w:val="bottom"/>
            <w:tcBorders>
              <w:bottom w:val="single" w:sz="8" w:color="auto"/>
            </w:tcBorders>
            <w:gridSpan w:val="2"/>
            <w:vMerge w:val="continue"/>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080" w:type="dxa"/>
            <w:vAlign w:val="bottom"/>
            <w:tcBorders>
              <w:bottom w:val="single" w:sz="8" w:color="D9D9D6"/>
            </w:tcBorders>
            <w:gridSpan w:val="4"/>
            <w:shd w:val="clear" w:color="auto" w:fill="D9D9D6"/>
          </w:tcPr>
          <w:p>
            <w:pPr>
              <w:jc w:val="right"/>
              <w:ind w:right="20"/>
              <w:spacing w:after="0" w:line="127" w:lineRule="exact"/>
              <w:rPr>
                <w:sz w:val="20"/>
                <w:szCs w:val="20"/>
                <w:color w:val="auto"/>
              </w:rPr>
            </w:pPr>
            <w:r>
              <w:rPr>
                <w:rFonts w:ascii="Arial" w:cs="Arial" w:eastAsia="Arial" w:hAnsi="Arial"/>
                <w:sz w:val="11"/>
                <w:szCs w:val="11"/>
                <w:color w:val="auto"/>
              </w:rPr>
              <w:t>Change</w:t>
            </w:r>
            <w:r>
              <w:rPr>
                <w:rFonts w:ascii="Arial" w:cs="Arial" w:eastAsia="Arial" w:hAnsi="Arial"/>
                <w:sz w:val="14"/>
                <w:szCs w:val="14"/>
                <w:color w:val="auto"/>
                <w:vertAlign w:val="superscript"/>
              </w:rPr>
              <w:t>5</w:t>
            </w:r>
          </w:p>
        </w:tc>
        <w:tc>
          <w:tcPr>
            <w:tcW w:w="180" w:type="dxa"/>
            <w:vAlign w:val="bottom"/>
            <w:tcBorders>
              <w:bottom w:val="single" w:sz="8" w:color="D9D9D6"/>
            </w:tcBorders>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100" w:type="dxa"/>
            <w:vAlign w:val="bottom"/>
            <w:tcBorders>
              <w:top w:val="single" w:sz="8" w:color="D9D9D6"/>
            </w:tcBorders>
            <w:shd w:val="clear" w:color="auto" w:fill="D9D9D6"/>
          </w:tcPr>
          <w:p>
            <w:pPr>
              <w:spacing w:after="0"/>
              <w:rPr>
                <w:sz w:val="24"/>
                <w:szCs w:val="24"/>
                <w:color w:val="auto"/>
              </w:rPr>
            </w:pPr>
          </w:p>
        </w:tc>
        <w:tc>
          <w:tcPr>
            <w:tcW w:w="678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76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D9D9D6"/>
            </w:tcBorders>
            <w:shd w:val="clear" w:color="auto" w:fill="D9D9D6"/>
          </w:tcPr>
          <w:p>
            <w:pPr>
              <w:spacing w:after="0"/>
              <w:rPr>
                <w:sz w:val="24"/>
                <w:szCs w:val="24"/>
                <w:color w:val="auto"/>
              </w:rPr>
            </w:pPr>
          </w:p>
        </w:tc>
        <w:tc>
          <w:tcPr>
            <w:tcW w:w="20" w:type="dxa"/>
            <w:vAlign w:val="bottom"/>
            <w:tcBorders>
              <w:top w:val="single" w:sz="8" w:color="D9D9D6"/>
            </w:tcBorders>
            <w:shd w:val="clear" w:color="auto" w:fill="D9D9D6"/>
          </w:tcPr>
          <w:p>
            <w:pPr>
              <w:spacing w:after="0"/>
              <w:rPr>
                <w:sz w:val="24"/>
                <w:szCs w:val="24"/>
                <w:color w:val="auto"/>
              </w:rPr>
            </w:pPr>
          </w:p>
        </w:tc>
        <w:tc>
          <w:tcPr>
            <w:tcW w:w="80" w:type="dxa"/>
            <w:vAlign w:val="bottom"/>
            <w:tcBorders>
              <w:top w:val="single" w:sz="8" w:color="D9D9D6"/>
            </w:tcBorders>
            <w:shd w:val="clear" w:color="auto" w:fill="D9D9D6"/>
          </w:tcPr>
          <w:p>
            <w:pPr>
              <w:spacing w:after="0"/>
              <w:rPr>
                <w:sz w:val="24"/>
                <w:szCs w:val="24"/>
                <w:color w:val="auto"/>
              </w:rPr>
            </w:pPr>
          </w:p>
        </w:tc>
        <w:tc>
          <w:tcPr>
            <w:tcW w:w="560" w:type="dxa"/>
            <w:vAlign w:val="bottom"/>
            <w:tcBorders>
              <w:top w:val="single" w:sz="8" w:color="D9D9D6"/>
            </w:tcBorders>
            <w:shd w:val="clear" w:color="auto" w:fill="D9D9D6"/>
          </w:tcPr>
          <w:p>
            <w:pPr>
              <w:spacing w:after="0"/>
              <w:rPr>
                <w:sz w:val="24"/>
                <w:szCs w:val="24"/>
                <w:color w:val="auto"/>
              </w:rPr>
            </w:pPr>
          </w:p>
        </w:tc>
        <w:tc>
          <w:tcPr>
            <w:tcW w:w="160" w:type="dxa"/>
            <w:vAlign w:val="bottom"/>
            <w:tcBorders>
              <w:top w:val="single" w:sz="8" w:color="auto"/>
            </w:tcBorders>
            <w:shd w:val="clear" w:color="auto" w:fill="D9D9D6"/>
          </w:tcPr>
          <w:p>
            <w:pPr>
              <w:spacing w:after="0"/>
              <w:rPr>
                <w:sz w:val="24"/>
                <w:szCs w:val="24"/>
                <w:color w:val="auto"/>
              </w:rPr>
            </w:pPr>
          </w:p>
        </w:tc>
        <w:tc>
          <w:tcPr>
            <w:tcW w:w="160" w:type="dxa"/>
            <w:vAlign w:val="bottom"/>
            <w:tcBorders>
              <w:top w:val="single" w:sz="8" w:color="auto"/>
            </w:tcBorders>
            <w:shd w:val="clear" w:color="auto" w:fill="D9D9D6"/>
          </w:tcPr>
          <w:p>
            <w:pPr>
              <w:spacing w:after="0"/>
              <w:rPr>
                <w:sz w:val="24"/>
                <w:szCs w:val="24"/>
                <w:color w:val="auto"/>
              </w:rPr>
            </w:pPr>
          </w:p>
        </w:tc>
        <w:tc>
          <w:tcPr>
            <w:tcW w:w="20" w:type="dxa"/>
            <w:vAlign w:val="bottom"/>
            <w:tcBorders>
              <w:top w:val="single" w:sz="8" w:color="D9D9D6"/>
            </w:tcBorders>
            <w:shd w:val="clear" w:color="auto" w:fill="D9D9D6"/>
          </w:tcPr>
          <w:p>
            <w:pPr>
              <w:spacing w:after="0"/>
              <w:rPr>
                <w:sz w:val="24"/>
                <w:szCs w:val="24"/>
                <w:color w:val="auto"/>
              </w:rPr>
            </w:pPr>
          </w:p>
        </w:tc>
        <w:tc>
          <w:tcPr>
            <w:tcW w:w="48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D9D9D6"/>
            </w:tcBorders>
            <w:shd w:val="clear" w:color="auto" w:fill="D9D9D6"/>
          </w:tcPr>
          <w:p>
            <w:pPr>
              <w:spacing w:after="0"/>
              <w:rPr>
                <w:sz w:val="24"/>
                <w:szCs w:val="24"/>
                <w:color w:val="auto"/>
              </w:rPr>
            </w:pPr>
          </w:p>
        </w:tc>
        <w:tc>
          <w:tcPr>
            <w:tcW w:w="200" w:type="dxa"/>
            <w:vAlign w:val="bottom"/>
            <w:tcBorders>
              <w:top w:val="single" w:sz="8" w:color="D9D9D6"/>
            </w:tcBorders>
            <w:shd w:val="clear" w:color="auto" w:fill="D9D9D6"/>
          </w:tcPr>
          <w:p>
            <w:pPr>
              <w:spacing w:after="0"/>
              <w:rPr>
                <w:sz w:val="24"/>
                <w:szCs w:val="24"/>
                <w:color w:val="auto"/>
              </w:rPr>
            </w:pPr>
          </w:p>
        </w:tc>
        <w:tc>
          <w:tcPr>
            <w:tcW w:w="20" w:type="dxa"/>
            <w:vAlign w:val="bottom"/>
            <w:tcBorders>
              <w:top w:val="single" w:sz="8" w:color="D9D9D6"/>
            </w:tcBorders>
            <w:shd w:val="clear" w:color="auto" w:fill="D9D9D6"/>
          </w:tcPr>
          <w:p>
            <w:pPr>
              <w:spacing w:after="0"/>
              <w:rPr>
                <w:sz w:val="24"/>
                <w:szCs w:val="24"/>
                <w:color w:val="auto"/>
              </w:rPr>
            </w:pPr>
          </w:p>
        </w:tc>
        <w:tc>
          <w:tcPr>
            <w:tcW w:w="500" w:type="dxa"/>
            <w:vAlign w:val="bottom"/>
            <w:tcBorders>
              <w:top w:val="single" w:sz="8" w:color="D9D9D6"/>
            </w:tcBorders>
            <w:shd w:val="clear" w:color="auto" w:fill="D9D9D6"/>
          </w:tcPr>
          <w:p>
            <w:pPr>
              <w:spacing w:after="0"/>
              <w:rPr>
                <w:sz w:val="24"/>
                <w:szCs w:val="24"/>
                <w:color w:val="auto"/>
              </w:rPr>
            </w:pPr>
          </w:p>
        </w:tc>
        <w:tc>
          <w:tcPr>
            <w:tcW w:w="360" w:type="dxa"/>
            <w:vAlign w:val="bottom"/>
            <w:tcBorders>
              <w:top w:val="single" w:sz="8" w:color="auto"/>
            </w:tcBorders>
            <w:shd w:val="clear" w:color="auto" w:fill="D9D9D6"/>
          </w:tcPr>
          <w:p>
            <w:pPr>
              <w:spacing w:after="0"/>
              <w:rPr>
                <w:sz w:val="24"/>
                <w:szCs w:val="24"/>
                <w:color w:val="auto"/>
              </w:rPr>
            </w:pPr>
          </w:p>
        </w:tc>
        <w:tc>
          <w:tcPr>
            <w:tcW w:w="140" w:type="dxa"/>
            <w:vAlign w:val="bottom"/>
            <w:tcBorders>
              <w:top w:val="single" w:sz="8" w:color="auto"/>
            </w:tcBorders>
            <w:shd w:val="clear" w:color="auto" w:fill="D9D9D6"/>
          </w:tcPr>
          <w:p>
            <w:pPr>
              <w:spacing w:after="0"/>
              <w:rPr>
                <w:sz w:val="24"/>
                <w:szCs w:val="24"/>
                <w:color w:val="auto"/>
              </w:rPr>
            </w:pPr>
          </w:p>
        </w:tc>
        <w:tc>
          <w:tcPr>
            <w:tcW w:w="80" w:type="dxa"/>
            <w:vAlign w:val="bottom"/>
            <w:tcBorders>
              <w:top w:val="single" w:sz="8" w:color="D9D9D6"/>
            </w:tcBorders>
            <w:shd w:val="clear" w:color="auto" w:fill="D9D9D6"/>
          </w:tcPr>
          <w:p>
            <w:pPr>
              <w:spacing w:after="0"/>
              <w:rPr>
                <w:sz w:val="24"/>
                <w:szCs w:val="24"/>
                <w:color w:val="auto"/>
              </w:rPr>
            </w:pPr>
          </w:p>
        </w:tc>
        <w:tc>
          <w:tcPr>
            <w:tcW w:w="180" w:type="dxa"/>
            <w:vAlign w:val="bottom"/>
            <w:tcBorders>
              <w:top w:val="single" w:sz="8" w:color="D9D9D6"/>
            </w:tcBorders>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240"/>
              <w:spacing w:after="0"/>
              <w:rPr>
                <w:sz w:val="20"/>
                <w:szCs w:val="20"/>
                <w:color w:val="auto"/>
              </w:rPr>
            </w:pPr>
            <w:r>
              <w:rPr>
                <w:rFonts w:ascii="Arial" w:cs="Arial" w:eastAsia="Arial" w:hAnsi="Arial"/>
                <w:sz w:val="14"/>
                <w:szCs w:val="14"/>
                <w:color w:val="auto"/>
              </w:rPr>
              <w:t>Domestic Broadband</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$6,558</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$6,446</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1.7</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1.7 %</w:t>
            </w:r>
          </w:p>
        </w:tc>
        <w:tc>
          <w:tcPr>
            <w:tcW w:w="8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240"/>
              <w:spacing w:after="0"/>
              <w:rPr>
                <w:sz w:val="20"/>
                <w:szCs w:val="20"/>
                <w:color w:val="auto"/>
              </w:rPr>
            </w:pPr>
            <w:r>
              <w:rPr>
                <w:rFonts w:ascii="Arial" w:cs="Arial" w:eastAsia="Arial" w:hAnsi="Arial"/>
                <w:sz w:val="14"/>
                <w:szCs w:val="14"/>
                <w:color w:val="auto"/>
              </w:rPr>
              <w:t>Domestic Wireless</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1,123</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972</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15.6</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15.6 %</w:t>
            </w:r>
          </w:p>
        </w:tc>
        <w:tc>
          <w:tcPr>
            <w:tcW w:w="8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 w:type="dxa"/>
            <w:vAlign w:val="bottom"/>
            <w:tcBorders>
              <w:bottom w:val="single" w:sz="8" w:color="D9D9D6"/>
            </w:tcBorders>
            <w:shd w:val="clear" w:color="auto" w:fill="D9D9D6"/>
          </w:tcPr>
          <w:p>
            <w:pPr>
              <w:spacing w:after="0"/>
              <w:rPr>
                <w:sz w:val="17"/>
                <w:szCs w:val="17"/>
                <w:color w:val="auto"/>
              </w:rPr>
            </w:pPr>
          </w:p>
        </w:tc>
        <w:tc>
          <w:tcPr>
            <w:tcW w:w="6780" w:type="dxa"/>
            <w:vAlign w:val="bottom"/>
            <w:tcBorders>
              <w:bottom w:val="single" w:sz="8" w:color="D9D9D6"/>
            </w:tcBorders>
            <w:shd w:val="clear" w:color="auto" w:fill="D9D9D6"/>
          </w:tcPr>
          <w:p>
            <w:pPr>
              <w:ind w:left="240"/>
              <w:spacing w:after="0"/>
              <w:rPr>
                <w:sz w:val="20"/>
                <w:szCs w:val="20"/>
                <w:color w:val="auto"/>
              </w:rPr>
            </w:pPr>
            <w:r>
              <w:rPr>
                <w:rFonts w:ascii="Arial" w:cs="Arial" w:eastAsia="Arial" w:hAnsi="Arial"/>
                <w:sz w:val="14"/>
                <w:szCs w:val="14"/>
                <w:color w:val="auto"/>
              </w:rPr>
              <w:t>International Connectivity</w:t>
            </w:r>
          </w:p>
        </w:tc>
        <w:tc>
          <w:tcPr>
            <w:tcW w:w="11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1,132</w:t>
            </w:r>
          </w:p>
        </w:tc>
        <w:tc>
          <w:tcPr>
            <w:tcW w:w="98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1,033</w:t>
            </w:r>
          </w:p>
        </w:tc>
        <w:tc>
          <w:tcPr>
            <w:tcW w:w="8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9.5</w:t>
            </w:r>
          </w:p>
        </w:tc>
        <w:tc>
          <w:tcPr>
            <w:tcW w:w="20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10.5</w:t>
            </w:r>
          </w:p>
        </w:tc>
        <w:tc>
          <w:tcPr>
            <w:tcW w:w="14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6"/>
              </w:rPr>
              <w:t>%</w:t>
            </w:r>
          </w:p>
        </w:tc>
        <w:tc>
          <w:tcPr>
            <w:tcW w:w="80" w:type="dxa"/>
            <w:vAlign w:val="bottom"/>
            <w:tcBorders>
              <w:bottom w:val="single" w:sz="8" w:color="auto"/>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0" w:type="dxa"/>
            <w:vAlign w:val="bottom"/>
            <w:shd w:val="clear" w:color="auto" w:fill="D9D9D6"/>
          </w:tcPr>
          <w:p>
            <w:pPr>
              <w:spacing w:after="0"/>
              <w:rPr>
                <w:sz w:val="16"/>
                <w:szCs w:val="16"/>
                <w:color w:val="auto"/>
              </w:rPr>
            </w:pPr>
          </w:p>
        </w:tc>
        <w:tc>
          <w:tcPr>
            <w:tcW w:w="67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Total Residential Connectivity</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8,813</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8,451</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4.3</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4.4</w:t>
            </w:r>
          </w:p>
        </w:tc>
        <w:tc>
          <w:tcPr>
            <w:tcW w:w="140" w:type="dxa"/>
            <w:vAlign w:val="bottom"/>
            <w:shd w:val="clear" w:color="auto" w:fill="D9D9D6"/>
          </w:tcPr>
          <w:p>
            <w:pPr>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Video</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6,718</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7,104</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(5.4</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(5.1</w:t>
            </w:r>
          </w:p>
        </w:tc>
        <w:tc>
          <w:tcPr>
            <w:tcW w:w="220" w:type="dxa"/>
            <w:vAlign w:val="bottom"/>
            <w:gridSpan w:val="2"/>
            <w:shd w:val="clear" w:color="auto" w:fill="D9D9D6"/>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Advertising</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881</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951</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(7.4</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(7.0</w:t>
            </w:r>
          </w:p>
        </w:tc>
        <w:tc>
          <w:tcPr>
            <w:tcW w:w="220" w:type="dxa"/>
            <w:vAlign w:val="bottom"/>
            <w:gridSpan w:val="2"/>
            <w:shd w:val="clear" w:color="auto" w:fill="D9D9D6"/>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 w:type="dxa"/>
            <w:vAlign w:val="bottom"/>
            <w:tcBorders>
              <w:bottom w:val="single" w:sz="8" w:color="D9D9D6"/>
            </w:tcBorders>
            <w:shd w:val="clear" w:color="auto" w:fill="D9D9D6"/>
          </w:tcPr>
          <w:p>
            <w:pPr>
              <w:spacing w:after="0"/>
              <w:rPr>
                <w:sz w:val="17"/>
                <w:szCs w:val="17"/>
                <w:color w:val="auto"/>
              </w:rPr>
            </w:pPr>
          </w:p>
        </w:tc>
        <w:tc>
          <w:tcPr>
            <w:tcW w:w="6780" w:type="dxa"/>
            <w:vAlign w:val="bottom"/>
            <w:tcBorders>
              <w:bottom w:val="single" w:sz="8" w:color="D9D9D6"/>
            </w:tcBorders>
            <w:shd w:val="clear" w:color="auto" w:fill="D9D9D6"/>
          </w:tcPr>
          <w:p>
            <w:pPr>
              <w:ind w:left="120"/>
              <w:spacing w:after="0"/>
              <w:rPr>
                <w:sz w:val="20"/>
                <w:szCs w:val="20"/>
                <w:color w:val="auto"/>
              </w:rPr>
            </w:pPr>
            <w:r>
              <w:rPr>
                <w:rFonts w:ascii="Arial" w:cs="Arial" w:eastAsia="Arial" w:hAnsi="Arial"/>
                <w:sz w:val="14"/>
                <w:szCs w:val="14"/>
                <w:color w:val="auto"/>
              </w:rPr>
              <w:t>Other</w:t>
            </w:r>
          </w:p>
        </w:tc>
        <w:tc>
          <w:tcPr>
            <w:tcW w:w="11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1,230</w:t>
            </w:r>
          </w:p>
        </w:tc>
        <w:tc>
          <w:tcPr>
            <w:tcW w:w="98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1,362</w:t>
            </w:r>
          </w:p>
        </w:tc>
        <w:tc>
          <w:tcPr>
            <w:tcW w:w="8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(9.7</w:t>
            </w:r>
          </w:p>
        </w:tc>
        <w:tc>
          <w:tcPr>
            <w:tcW w:w="20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(9.5</w:t>
            </w:r>
          </w:p>
        </w:tc>
        <w:tc>
          <w:tcPr>
            <w:tcW w:w="220" w:type="dxa"/>
            <w:vAlign w:val="bottom"/>
            <w:tcBorders>
              <w:bottom w:val="single" w:sz="8" w:color="auto"/>
            </w:tcBorders>
            <w:gridSpan w:val="2"/>
            <w:shd w:val="clear" w:color="auto" w:fill="D9D9D6"/>
          </w:tcPr>
          <w:p>
            <w:pP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Revenue</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$17,642</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$17,868</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(1.3</w:t>
            </w:r>
          </w:p>
        </w:tc>
        <w:tc>
          <w:tcPr>
            <w:tcW w:w="20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(1.0</w:t>
            </w:r>
          </w:p>
        </w:tc>
        <w:tc>
          <w:tcPr>
            <w:tcW w:w="220" w:type="dxa"/>
            <w:vAlign w:val="bottom"/>
            <w:gridSpan w:val="2"/>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100" w:type="dxa"/>
            <w:vAlign w:val="bottom"/>
            <w:shd w:val="clear" w:color="auto" w:fill="D9D9D6"/>
          </w:tcPr>
          <w:p>
            <w:pPr>
              <w:spacing w:after="0"/>
              <w:rPr>
                <w:sz w:val="24"/>
                <w:szCs w:val="24"/>
                <w:color w:val="auto"/>
              </w:rPr>
            </w:pPr>
          </w:p>
        </w:tc>
        <w:tc>
          <w:tcPr>
            <w:tcW w:w="67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Operating Expenses</w:t>
            </w:r>
          </w:p>
        </w:tc>
        <w:tc>
          <w:tcPr>
            <w:tcW w:w="7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560" w:type="dxa"/>
            <w:vAlign w:val="bottom"/>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48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Programming</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$4,107</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$4,405</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(6.8</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08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(6.4 %)</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 w:type="dxa"/>
            <w:vAlign w:val="bottom"/>
            <w:tcBorders>
              <w:bottom w:val="single" w:sz="8" w:color="D9D9D6"/>
            </w:tcBorders>
            <w:shd w:val="clear" w:color="auto" w:fill="D9D9D6"/>
          </w:tcPr>
          <w:p>
            <w:pPr>
              <w:spacing w:after="0"/>
              <w:rPr>
                <w:sz w:val="17"/>
                <w:szCs w:val="17"/>
                <w:color w:val="auto"/>
              </w:rPr>
            </w:pPr>
          </w:p>
        </w:tc>
        <w:tc>
          <w:tcPr>
            <w:tcW w:w="6780" w:type="dxa"/>
            <w:vAlign w:val="bottom"/>
            <w:tcBorders>
              <w:bottom w:val="single" w:sz="8" w:color="D9D9D6"/>
            </w:tcBorders>
            <w:shd w:val="clear" w:color="auto" w:fill="D9D9D6"/>
          </w:tcPr>
          <w:p>
            <w:pPr>
              <w:ind w:left="120"/>
              <w:spacing w:after="0"/>
              <w:rPr>
                <w:sz w:val="20"/>
                <w:szCs w:val="20"/>
                <w:color w:val="auto"/>
              </w:rPr>
            </w:pPr>
            <w:r>
              <w:rPr>
                <w:rFonts w:ascii="Arial" w:cs="Arial" w:eastAsia="Arial" w:hAnsi="Arial"/>
                <w:sz w:val="14"/>
                <w:szCs w:val="14"/>
                <w:color w:val="auto"/>
              </w:rPr>
              <w:t>Non-Programming</w:t>
            </w:r>
          </w:p>
        </w:tc>
        <w:tc>
          <w:tcPr>
            <w:tcW w:w="11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6,617</w:t>
            </w:r>
          </w:p>
        </w:tc>
        <w:tc>
          <w:tcPr>
            <w:tcW w:w="98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6,611</w:t>
            </w:r>
          </w:p>
        </w:tc>
        <w:tc>
          <w:tcPr>
            <w:tcW w:w="8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0.1</w:t>
            </w:r>
          </w:p>
        </w:tc>
        <w:tc>
          <w:tcPr>
            <w:tcW w:w="20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100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0.5 %</w:t>
            </w:r>
          </w:p>
        </w:tc>
        <w:tc>
          <w:tcPr>
            <w:tcW w:w="80" w:type="dxa"/>
            <w:vAlign w:val="bottom"/>
            <w:tcBorders>
              <w:bottom w:val="single" w:sz="8" w:color="auto"/>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$10,724</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$11,016</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(2.7</w:t>
            </w:r>
          </w:p>
        </w:tc>
        <w:tc>
          <w:tcPr>
            <w:tcW w:w="20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108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(2.3 %)</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100" w:type="dxa"/>
            <w:vAlign w:val="bottom"/>
            <w:shd w:val="clear" w:color="auto" w:fill="D9D9D6"/>
          </w:tcPr>
          <w:p>
            <w:pPr>
              <w:spacing w:after="0"/>
              <w:rPr>
                <w:sz w:val="24"/>
                <w:szCs w:val="24"/>
                <w:color w:val="auto"/>
              </w:rPr>
            </w:pPr>
          </w:p>
        </w:tc>
        <w:tc>
          <w:tcPr>
            <w:tcW w:w="678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Adjusted EBITDA</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$6,918</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$6,852</w:t>
            </w: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1.0 %</w:t>
            </w:r>
          </w:p>
        </w:tc>
        <w:tc>
          <w:tcPr>
            <w:tcW w:w="20" w:type="dxa"/>
            <w:vAlign w:val="bottom"/>
            <w:shd w:val="clear" w:color="auto" w:fill="D9D9D6"/>
          </w:tcPr>
          <w:p>
            <w:pPr>
              <w:spacing w:after="0"/>
              <w:rPr>
                <w:sz w:val="24"/>
                <w:szCs w:val="24"/>
                <w:color w:val="auto"/>
              </w:rPr>
            </w:pP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1.0 %</w:t>
            </w:r>
          </w:p>
        </w:tc>
        <w:tc>
          <w:tcPr>
            <w:tcW w:w="8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10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39.2 %</w:t>
            </w:r>
          </w:p>
        </w:tc>
        <w:tc>
          <w:tcPr>
            <w:tcW w:w="20" w:type="dxa"/>
            <w:vAlign w:val="bottom"/>
            <w:shd w:val="clear" w:color="auto" w:fill="D9D9D6"/>
          </w:tcPr>
          <w:p>
            <w:pPr>
              <w:spacing w:after="0"/>
              <w:rPr>
                <w:sz w:val="17"/>
                <w:szCs w:val="17"/>
                <w:color w:val="auto"/>
              </w:rPr>
            </w:pPr>
          </w:p>
        </w:tc>
        <w:tc>
          <w:tcPr>
            <w:tcW w:w="96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38.3 %</w:t>
            </w:r>
          </w:p>
        </w:tc>
        <w:tc>
          <w:tcPr>
            <w:tcW w:w="20" w:type="dxa"/>
            <w:vAlign w:val="bottom"/>
            <w:shd w:val="clear" w:color="auto" w:fill="D9D9D6"/>
          </w:tcPr>
          <w:p>
            <w:pPr>
              <w:spacing w:after="0"/>
              <w:rPr>
                <w:sz w:val="17"/>
                <w:szCs w:val="17"/>
                <w:color w:val="auto"/>
              </w:rPr>
            </w:pPr>
          </w:p>
        </w:tc>
        <w:tc>
          <w:tcPr>
            <w:tcW w:w="480" w:type="dxa"/>
            <w:vAlign w:val="bottom"/>
            <w:shd w:val="clear" w:color="auto" w:fill="D9D9D6"/>
          </w:tcPr>
          <w:p>
            <w:pPr>
              <w:spacing w:after="0"/>
              <w:rPr>
                <w:sz w:val="17"/>
                <w:szCs w:val="17"/>
                <w:color w:val="auto"/>
              </w:rPr>
            </w:pPr>
          </w:p>
        </w:tc>
        <w:tc>
          <w:tcPr>
            <w:tcW w:w="5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90 bps</w:t>
            </w:r>
          </w:p>
        </w:tc>
        <w:tc>
          <w:tcPr>
            <w:tcW w:w="500" w:type="dxa"/>
            <w:vAlign w:val="bottom"/>
            <w:shd w:val="clear" w:color="auto" w:fill="D9D9D6"/>
          </w:tcPr>
          <w:p>
            <w:pPr>
              <w:spacing w:after="0"/>
              <w:rPr>
                <w:sz w:val="17"/>
                <w:szCs w:val="17"/>
                <w:color w:val="auto"/>
              </w:rPr>
            </w:pPr>
          </w:p>
        </w:tc>
        <w:tc>
          <w:tcPr>
            <w:tcW w:w="5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80 bps</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100" w:type="dxa"/>
            <w:vAlign w:val="bottom"/>
            <w:shd w:val="clear" w:color="auto" w:fill="D9D9D6"/>
          </w:tcPr>
          <w:p>
            <w:pPr>
              <w:spacing w:after="0"/>
              <w:rPr>
                <w:sz w:val="5"/>
                <w:szCs w:val="5"/>
                <w:color w:val="auto"/>
              </w:rPr>
            </w:pPr>
          </w:p>
        </w:tc>
        <w:tc>
          <w:tcPr>
            <w:tcW w:w="6780" w:type="dxa"/>
            <w:vAlign w:val="bottom"/>
            <w:shd w:val="clear" w:color="auto" w:fill="D9D9D6"/>
          </w:tcPr>
          <w:p>
            <w:pPr>
              <w:spacing w:after="0"/>
              <w:rPr>
                <w:sz w:val="5"/>
                <w:szCs w:val="5"/>
                <w:color w:val="auto"/>
              </w:rPr>
            </w:pPr>
          </w:p>
        </w:tc>
        <w:tc>
          <w:tcPr>
            <w:tcW w:w="76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80" w:type="dxa"/>
            <w:vAlign w:val="bottom"/>
            <w:shd w:val="clear" w:color="auto" w:fill="D9D9D6"/>
          </w:tcPr>
          <w:p>
            <w:pPr>
              <w:spacing w:after="0"/>
              <w:rPr>
                <w:sz w:val="5"/>
                <w:szCs w:val="5"/>
                <w:color w:val="auto"/>
              </w:rPr>
            </w:pPr>
          </w:p>
        </w:tc>
        <w:tc>
          <w:tcPr>
            <w:tcW w:w="560" w:type="dxa"/>
            <w:vAlign w:val="bottom"/>
            <w:shd w:val="clear" w:color="auto" w:fill="D9D9D6"/>
          </w:tcPr>
          <w:p>
            <w:pPr>
              <w:spacing w:after="0"/>
              <w:rPr>
                <w:sz w:val="5"/>
                <w:szCs w:val="5"/>
                <w:color w:val="auto"/>
              </w:rPr>
            </w:pPr>
          </w:p>
        </w:tc>
        <w:tc>
          <w:tcPr>
            <w:tcW w:w="160" w:type="dxa"/>
            <w:vAlign w:val="bottom"/>
            <w:shd w:val="clear" w:color="auto" w:fill="D9D9D6"/>
          </w:tcPr>
          <w:p>
            <w:pPr>
              <w:spacing w:after="0"/>
              <w:rPr>
                <w:sz w:val="5"/>
                <w:szCs w:val="5"/>
                <w:color w:val="auto"/>
              </w:rPr>
            </w:pPr>
          </w:p>
        </w:tc>
        <w:tc>
          <w:tcPr>
            <w:tcW w:w="16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48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0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360" w:type="dxa"/>
            <w:vAlign w:val="bottom"/>
            <w:shd w:val="clear" w:color="auto" w:fill="D9D9D6"/>
          </w:tcPr>
          <w:p>
            <w:pPr>
              <w:spacing w:after="0"/>
              <w:rPr>
                <w:sz w:val="5"/>
                <w:szCs w:val="5"/>
                <w:color w:val="auto"/>
              </w:rPr>
            </w:pPr>
          </w:p>
        </w:tc>
        <w:tc>
          <w:tcPr>
            <w:tcW w:w="140" w:type="dxa"/>
            <w:vAlign w:val="bottom"/>
            <w:shd w:val="clear" w:color="auto" w:fill="D9D9D6"/>
          </w:tcPr>
          <w:p>
            <w:pPr>
              <w:spacing w:after="0"/>
              <w:rPr>
                <w:sz w:val="5"/>
                <w:szCs w:val="5"/>
                <w:color w:val="auto"/>
              </w:rPr>
            </w:pPr>
          </w:p>
        </w:tc>
        <w:tc>
          <w:tcPr>
            <w:tcW w:w="80" w:type="dxa"/>
            <w:vAlign w:val="bottom"/>
            <w:shd w:val="clear" w:color="auto" w:fill="D9D9D6"/>
          </w:tcPr>
          <w:p>
            <w:pPr>
              <w:spacing w:after="0"/>
              <w:rPr>
                <w:sz w:val="5"/>
                <w:szCs w:val="5"/>
                <w:color w:val="auto"/>
              </w:rPr>
            </w:pPr>
          </w:p>
        </w:tc>
        <w:tc>
          <w:tcPr>
            <w:tcW w:w="180" w:type="dxa"/>
            <w:vAlign w:val="bottom"/>
            <w:shd w:val="clear" w:color="auto" w:fill="D9D9D6"/>
          </w:tcPr>
          <w:p>
            <w:pPr>
              <w:spacing w:after="0"/>
              <w:rPr>
                <w:sz w:val="5"/>
                <w:szCs w:val="5"/>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Change percentages represent year/year growth rates. The changes in Adjusted EBITDA margins are presented as year/year basis point changes in the rounded Adjusted EBITDA margins.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Beginning in the first quarter of 2025, commission revenue from the sale of certain direct to consumer (“DTC”) streaming services and revenue related to certain equipment are</w:t>
      </w:r>
    </w:p>
    <w:p>
      <w:pPr>
        <w:spacing w:after="0" w:line="14"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presented in video revenue. Previously, these amounts were presented in domestic broadband and international connectivity. Prior periods have been reclassified to reflect the current year presentation.</w:t>
      </w:r>
    </w:p>
    <w:p>
      <w:pPr>
        <w:spacing w:after="0" w:line="27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Residential Connectivity &amp; Platforms decreased compared to the prior year period, reflecting decreases in video, other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advertising revenue, partially offset by increases in domestic wireless, domestic broadband and international connectivity revenue. Domestic broadband revenue increased due to higher average rates. Domestic wireless revenue increased primarily due to an increase in the number</w:t>
      </w:r>
    </w:p>
    <w:p>
      <w:pPr>
        <w:spacing w:after="0" w:line="1" w:lineRule="exact"/>
        <w:rPr>
          <w:sz w:val="20"/>
          <w:szCs w:val="20"/>
          <w:color w:val="auto"/>
        </w:rPr>
      </w:pPr>
    </w:p>
    <w:p>
      <w:pPr>
        <w:jc w:val="both"/>
        <w:ind w:right="20"/>
        <w:spacing w:after="0" w:line="231" w:lineRule="auto"/>
        <w:rPr>
          <w:sz w:val="20"/>
          <w:szCs w:val="20"/>
          <w:color w:val="auto"/>
        </w:rPr>
      </w:pPr>
      <w:r>
        <w:rPr>
          <w:rFonts w:ascii="Arial" w:cs="Arial" w:eastAsia="Arial" w:hAnsi="Arial"/>
          <w:sz w:val="18"/>
          <w:szCs w:val="18"/>
          <w:color w:val="auto"/>
        </w:rPr>
        <w:t>of customer lines and device sales. International connectivity revenue increased due to increases in broadband revenue from higher average rates and in wireless revenue, reflecting higher sales of wireless services. Video revenue decreased due to a decline in the number of video customers, partially offset by an overall increase in average rates. Advertising revenue decreased due to lower international advertising</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626" w:right="339" w:bottom="1440" w:gutter="0" w:footer="0" w:header="0"/>
        </w:sectPr>
      </w:pPr>
    </w:p>
    <w:bookmarkStart w:id="6" w:name="page7"/>
    <w:bookmarkEnd w:id="6"/>
    <w:p>
      <w:pPr>
        <w:jc w:val="both"/>
        <w:spacing w:after="0" w:line="256" w:lineRule="auto"/>
        <w:rPr>
          <w:sz w:val="20"/>
          <w:szCs w:val="20"/>
          <w:color w:val="auto"/>
        </w:rPr>
      </w:pPr>
      <w:r>
        <w:rPr>
          <w:rFonts w:ascii="Arial" w:cs="Arial" w:eastAsia="Arial" w:hAnsi="Arial"/>
          <w:sz w:val="18"/>
          <w:szCs w:val="18"/>
          <w:color w:val="auto"/>
        </w:rPr>
        <w:t>and domestic political and nonpolitical advertising. Other revenue decreased primarily due to lower residential wireline voice revenue, driven by a decline in the number of customers.</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Residential Connectivity &amp; Platforms increased due to lower operating expenses. Programming expenses decreased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a decline in the number of domestic video customers, partially offset by rate increases under our domestic programming</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 xml:space="preserve">contracts and an increase in programming expenses for our international sports networks. Non-programming expenses were consistent primarily reflecting an increase in direct product costs and marketing and promotion costs, offset by lower technical and support and customer service costs. </w:t>
      </w:r>
      <w:r>
        <w:rPr>
          <w:rFonts w:ascii="Arial" w:cs="Arial" w:eastAsia="Arial" w:hAnsi="Arial"/>
          <w:sz w:val="18"/>
          <w:szCs w:val="18"/>
          <w:b w:val="1"/>
          <w:bCs w:val="1"/>
          <w:i w:val="1"/>
          <w:iCs w:val="1"/>
          <w:color w:val="auto"/>
        </w:rPr>
        <w:t>Adjusted EBITDA margin</w:t>
      </w:r>
      <w:r>
        <w:rPr>
          <w:rFonts w:ascii="Arial" w:cs="Arial" w:eastAsia="Arial" w:hAnsi="Arial"/>
          <w:sz w:val="18"/>
          <w:szCs w:val="18"/>
          <w:color w:val="auto"/>
        </w:rPr>
        <w:t xml:space="preserve"> increased to 39.2%.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Services Connectivity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 w:type="dxa"/>
            <w:vAlign w:val="bottom"/>
            <w:shd w:val="clear" w:color="auto" w:fill="D9D9D6"/>
          </w:tcPr>
          <w:p>
            <w:pPr>
              <w:spacing w:after="0"/>
              <w:rPr>
                <w:sz w:val="19"/>
                <w:szCs w:val="19"/>
                <w:color w:val="auto"/>
              </w:rPr>
            </w:pPr>
          </w:p>
        </w:tc>
        <w:tc>
          <w:tcPr>
            <w:tcW w:w="682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64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80" w:type="dxa"/>
            <w:vAlign w:val="bottom"/>
            <w:shd w:val="clear" w:color="auto" w:fill="D9D9D6"/>
          </w:tcPr>
          <w:p>
            <w:pPr>
              <w:spacing w:after="0"/>
              <w:rPr>
                <w:sz w:val="19"/>
                <w:szCs w:val="19"/>
                <w:color w:val="auto"/>
              </w:rPr>
            </w:pPr>
          </w:p>
        </w:tc>
        <w:tc>
          <w:tcPr>
            <w:tcW w:w="480" w:type="dxa"/>
            <w:vAlign w:val="bottom"/>
            <w:shd w:val="clear" w:color="auto" w:fill="D9D9D6"/>
          </w:tcPr>
          <w:p>
            <w:pPr>
              <w:spacing w:after="0"/>
              <w:rPr>
                <w:sz w:val="19"/>
                <w:szCs w:val="19"/>
                <w:color w:val="auto"/>
              </w:rPr>
            </w:pPr>
          </w:p>
        </w:tc>
        <w:tc>
          <w:tcPr>
            <w:tcW w:w="240" w:type="dxa"/>
            <w:vAlign w:val="bottom"/>
            <w:shd w:val="clear" w:color="auto" w:fill="D9D9D6"/>
          </w:tcPr>
          <w:p>
            <w:pPr>
              <w:spacing w:after="0"/>
              <w:rPr>
                <w:sz w:val="19"/>
                <w:szCs w:val="19"/>
                <w:color w:val="auto"/>
              </w:rPr>
            </w:pPr>
          </w:p>
        </w:tc>
        <w:tc>
          <w:tcPr>
            <w:tcW w:w="8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54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14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260" w:type="dxa"/>
            <w:vAlign w:val="bottom"/>
            <w:gridSpan w:val="3"/>
            <w:vMerge w:val="restart"/>
            <w:shd w:val="clear" w:color="auto" w:fill="D9D9D6"/>
          </w:tcPr>
          <w:p>
            <w:pPr>
              <w:jc w:val="right"/>
              <w:ind w:right="260"/>
              <w:spacing w:after="0"/>
              <w:rPr>
                <w:sz w:val="20"/>
                <w:szCs w:val="20"/>
                <w:color w:val="auto"/>
              </w:rPr>
            </w:pPr>
            <w:r>
              <w:rPr>
                <w:rFonts w:ascii="Arial" w:cs="Arial" w:eastAsia="Arial" w:hAnsi="Arial"/>
                <w:sz w:val="14"/>
                <w:szCs w:val="14"/>
                <w:color w:val="auto"/>
              </w:rPr>
              <w:t>Constant</w:t>
            </w:r>
          </w:p>
        </w:tc>
        <w:tc>
          <w:tcPr>
            <w:tcW w:w="0" w:type="dxa"/>
            <w:vAlign w:val="bottom"/>
          </w:tcPr>
          <w:p>
            <w:pPr>
              <w:spacing w:after="0"/>
              <w:rPr>
                <w:sz w:val="1"/>
                <w:szCs w:val="1"/>
                <w:color w:val="auto"/>
              </w:rPr>
            </w:pPr>
          </w:p>
        </w:tc>
      </w:tr>
      <w:tr>
        <w:trPr>
          <w:trHeight w:val="141"/>
        </w:trPr>
        <w:tc>
          <w:tcPr>
            <w:tcW w:w="100" w:type="dxa"/>
            <w:vAlign w:val="bottom"/>
            <w:shd w:val="clear" w:color="auto" w:fill="D9D9D6"/>
          </w:tcPr>
          <w:p>
            <w:pPr>
              <w:spacing w:after="0"/>
              <w:rPr>
                <w:sz w:val="12"/>
                <w:szCs w:val="12"/>
                <w:color w:val="auto"/>
              </w:rPr>
            </w:pPr>
          </w:p>
        </w:tc>
        <w:tc>
          <w:tcPr>
            <w:tcW w:w="6820" w:type="dxa"/>
            <w:vAlign w:val="bottom"/>
            <w:shd w:val="clear" w:color="auto" w:fill="D9D9D6"/>
          </w:tcPr>
          <w:p>
            <w:pPr>
              <w:spacing w:after="0"/>
              <w:rPr>
                <w:sz w:val="12"/>
                <w:szCs w:val="12"/>
                <w:color w:val="auto"/>
              </w:rPr>
            </w:pPr>
          </w:p>
        </w:tc>
        <w:tc>
          <w:tcPr>
            <w:tcW w:w="640" w:type="dxa"/>
            <w:vAlign w:val="bottom"/>
            <w:shd w:val="clear" w:color="auto" w:fill="D9D9D6"/>
          </w:tcPr>
          <w:p>
            <w:pPr>
              <w:spacing w:after="0"/>
              <w:rPr>
                <w:sz w:val="12"/>
                <w:szCs w:val="12"/>
                <w:color w:val="auto"/>
              </w:rPr>
            </w:pPr>
          </w:p>
        </w:tc>
        <w:tc>
          <w:tcPr>
            <w:tcW w:w="32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1000" w:type="dxa"/>
            <w:vAlign w:val="bottom"/>
            <w:gridSpan w:val="5"/>
            <w:vMerge w:val="restart"/>
            <w:shd w:val="clear" w:color="auto" w:fill="D9D9D6"/>
          </w:tcPr>
          <w:p>
            <w:pPr>
              <w:ind w:left="180"/>
              <w:spacing w:after="0"/>
              <w:rPr>
                <w:sz w:val="20"/>
                <w:szCs w:val="20"/>
                <w:color w:val="auto"/>
              </w:rPr>
            </w:pPr>
            <w:r>
              <w:rPr>
                <w:rFonts w:ascii="Arial" w:cs="Arial" w:eastAsia="Arial" w:hAnsi="Arial"/>
                <w:sz w:val="14"/>
                <w:szCs w:val="14"/>
                <w:color w:val="auto"/>
              </w:rPr>
              <w:t>1st Quarter</w:t>
            </w:r>
          </w:p>
        </w:tc>
        <w:tc>
          <w:tcPr>
            <w:tcW w:w="540" w:type="dxa"/>
            <w:vAlign w:val="bottom"/>
            <w:shd w:val="clear" w:color="auto" w:fill="D9D9D6"/>
          </w:tcPr>
          <w:p>
            <w:pPr>
              <w:spacing w:after="0"/>
              <w:rPr>
                <w:sz w:val="12"/>
                <w:szCs w:val="12"/>
                <w:color w:val="auto"/>
              </w:rPr>
            </w:pPr>
          </w:p>
        </w:tc>
        <w:tc>
          <w:tcPr>
            <w:tcW w:w="360" w:type="dxa"/>
            <w:vAlign w:val="bottom"/>
            <w:shd w:val="clear" w:color="auto" w:fill="D9D9D6"/>
          </w:tcPr>
          <w:p>
            <w:pPr>
              <w:spacing w:after="0"/>
              <w:rPr>
                <w:sz w:val="12"/>
                <w:szCs w:val="12"/>
                <w:color w:val="auto"/>
              </w:rPr>
            </w:pPr>
          </w:p>
        </w:tc>
        <w:tc>
          <w:tcPr>
            <w:tcW w:w="14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1260" w:type="dxa"/>
            <w:vAlign w:val="bottom"/>
            <w:gridSpan w:val="3"/>
            <w:vMerge w:val="continue"/>
            <w:shd w:val="clear" w:color="auto" w:fill="D9D9D6"/>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00" w:type="dxa"/>
            <w:vAlign w:val="bottom"/>
            <w:shd w:val="clear" w:color="auto" w:fill="D9D9D6"/>
          </w:tcPr>
          <w:p>
            <w:pPr>
              <w:spacing w:after="0"/>
              <w:rPr>
                <w:sz w:val="7"/>
                <w:szCs w:val="7"/>
                <w:color w:val="auto"/>
              </w:rPr>
            </w:pPr>
          </w:p>
        </w:tc>
        <w:tc>
          <w:tcPr>
            <w:tcW w:w="6820" w:type="dxa"/>
            <w:vAlign w:val="bottom"/>
            <w:shd w:val="clear" w:color="auto" w:fill="D9D9D6"/>
          </w:tcPr>
          <w:p>
            <w:pPr>
              <w:spacing w:after="0"/>
              <w:rPr>
                <w:sz w:val="7"/>
                <w:szCs w:val="7"/>
                <w:color w:val="auto"/>
              </w:rPr>
            </w:pPr>
          </w:p>
        </w:tc>
        <w:tc>
          <w:tcPr>
            <w:tcW w:w="640" w:type="dxa"/>
            <w:vAlign w:val="bottom"/>
            <w:shd w:val="clear" w:color="auto" w:fill="D9D9D6"/>
          </w:tcPr>
          <w:p>
            <w:pPr>
              <w:spacing w:after="0"/>
              <w:rPr>
                <w:sz w:val="7"/>
                <w:szCs w:val="7"/>
                <w:color w:val="auto"/>
              </w:rPr>
            </w:pPr>
          </w:p>
        </w:tc>
        <w:tc>
          <w:tcPr>
            <w:tcW w:w="320" w:type="dxa"/>
            <w:vAlign w:val="bottom"/>
            <w:shd w:val="clear" w:color="auto" w:fill="D9D9D6"/>
          </w:tcPr>
          <w:p>
            <w:pPr>
              <w:spacing w:after="0"/>
              <w:rPr>
                <w:sz w:val="7"/>
                <w:szCs w:val="7"/>
                <w:color w:val="auto"/>
              </w:rPr>
            </w:pPr>
          </w:p>
        </w:tc>
        <w:tc>
          <w:tcPr>
            <w:tcW w:w="20" w:type="dxa"/>
            <w:vAlign w:val="bottom"/>
            <w:shd w:val="clear" w:color="auto" w:fill="D9D9D6"/>
          </w:tcPr>
          <w:p>
            <w:pPr>
              <w:spacing w:after="0"/>
              <w:rPr>
                <w:sz w:val="7"/>
                <w:szCs w:val="7"/>
                <w:color w:val="auto"/>
              </w:rPr>
            </w:pPr>
          </w:p>
        </w:tc>
        <w:tc>
          <w:tcPr>
            <w:tcW w:w="1000" w:type="dxa"/>
            <w:vAlign w:val="bottom"/>
            <w:gridSpan w:val="5"/>
            <w:vMerge w:val="continue"/>
            <w:shd w:val="clear" w:color="auto" w:fill="D9D9D6"/>
          </w:tcPr>
          <w:p>
            <w:pPr>
              <w:spacing w:after="0"/>
              <w:rPr>
                <w:sz w:val="7"/>
                <w:szCs w:val="7"/>
                <w:color w:val="auto"/>
              </w:rPr>
            </w:pPr>
          </w:p>
        </w:tc>
        <w:tc>
          <w:tcPr>
            <w:tcW w:w="540" w:type="dxa"/>
            <w:vAlign w:val="bottom"/>
            <w:shd w:val="clear" w:color="auto" w:fill="D9D9D6"/>
          </w:tcPr>
          <w:p>
            <w:pPr>
              <w:spacing w:after="0"/>
              <w:rPr>
                <w:sz w:val="7"/>
                <w:szCs w:val="7"/>
                <w:color w:val="auto"/>
              </w:rPr>
            </w:pPr>
          </w:p>
        </w:tc>
        <w:tc>
          <w:tcPr>
            <w:tcW w:w="360" w:type="dxa"/>
            <w:vAlign w:val="bottom"/>
            <w:shd w:val="clear" w:color="auto" w:fill="D9D9D6"/>
          </w:tcPr>
          <w:p>
            <w:pPr>
              <w:spacing w:after="0"/>
              <w:rPr>
                <w:sz w:val="7"/>
                <w:szCs w:val="7"/>
                <w:color w:val="auto"/>
              </w:rPr>
            </w:pPr>
          </w:p>
        </w:tc>
        <w:tc>
          <w:tcPr>
            <w:tcW w:w="140" w:type="dxa"/>
            <w:vAlign w:val="bottom"/>
            <w:shd w:val="clear" w:color="auto" w:fill="D9D9D6"/>
          </w:tcPr>
          <w:p>
            <w:pPr>
              <w:spacing w:after="0"/>
              <w:rPr>
                <w:sz w:val="7"/>
                <w:szCs w:val="7"/>
                <w:color w:val="auto"/>
              </w:rPr>
            </w:pPr>
          </w:p>
        </w:tc>
        <w:tc>
          <w:tcPr>
            <w:tcW w:w="20" w:type="dxa"/>
            <w:vAlign w:val="bottom"/>
            <w:shd w:val="clear" w:color="auto" w:fill="D9D9D6"/>
          </w:tcPr>
          <w:p>
            <w:pPr>
              <w:spacing w:after="0"/>
              <w:rPr>
                <w:sz w:val="7"/>
                <w:szCs w:val="7"/>
                <w:color w:val="auto"/>
              </w:rPr>
            </w:pPr>
          </w:p>
        </w:tc>
        <w:tc>
          <w:tcPr>
            <w:tcW w:w="1260" w:type="dxa"/>
            <w:vAlign w:val="bottom"/>
            <w:gridSpan w:val="3"/>
            <w:vMerge w:val="restart"/>
            <w:shd w:val="clear" w:color="auto" w:fill="D9D9D6"/>
          </w:tcPr>
          <w:p>
            <w:pPr>
              <w:jc w:val="right"/>
              <w:ind w:right="260"/>
              <w:spacing w:after="0" w:line="137" w:lineRule="exact"/>
              <w:rPr>
                <w:sz w:val="20"/>
                <w:szCs w:val="20"/>
                <w:color w:val="auto"/>
              </w:rPr>
            </w:pPr>
            <w:r>
              <w:rPr>
                <w:rFonts w:ascii="Arial" w:cs="Arial" w:eastAsia="Arial" w:hAnsi="Arial"/>
                <w:sz w:val="14"/>
                <w:szCs w:val="14"/>
                <w:color w:val="auto"/>
              </w:rPr>
              <w:t>Currency</w:t>
            </w:r>
          </w:p>
        </w:tc>
        <w:tc>
          <w:tcPr>
            <w:tcW w:w="0" w:type="dxa"/>
            <w:vAlign w:val="bottom"/>
          </w:tcPr>
          <w:p>
            <w:pPr>
              <w:spacing w:after="0"/>
              <w:rPr>
                <w:sz w:val="1"/>
                <w:szCs w:val="1"/>
                <w:color w:val="auto"/>
              </w:rPr>
            </w:pPr>
          </w:p>
        </w:tc>
      </w:tr>
      <w:tr>
        <w:trPr>
          <w:trHeight w:val="20"/>
        </w:trPr>
        <w:tc>
          <w:tcPr>
            <w:tcW w:w="100" w:type="dxa"/>
            <w:vAlign w:val="bottom"/>
            <w:shd w:val="clear" w:color="auto" w:fill="D9D9D6"/>
          </w:tcPr>
          <w:p>
            <w:pPr>
              <w:spacing w:after="0" w:line="20" w:lineRule="exact"/>
              <w:rPr>
                <w:sz w:val="1"/>
                <w:szCs w:val="1"/>
                <w:color w:val="auto"/>
              </w:rPr>
            </w:pPr>
          </w:p>
        </w:tc>
        <w:tc>
          <w:tcPr>
            <w:tcW w:w="6820" w:type="dxa"/>
            <w:vAlign w:val="bottom"/>
            <w:shd w:val="clear" w:color="auto" w:fill="D9D9D6"/>
          </w:tcPr>
          <w:p>
            <w:pPr>
              <w:spacing w:after="0" w:line="20" w:lineRule="exact"/>
              <w:rPr>
                <w:sz w:val="1"/>
                <w:szCs w:val="1"/>
                <w:color w:val="auto"/>
              </w:rPr>
            </w:pPr>
          </w:p>
        </w:tc>
        <w:tc>
          <w:tcPr>
            <w:tcW w:w="64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260" w:type="dxa"/>
            <w:vAlign w:val="bottom"/>
            <w:gridSpan w:val="3"/>
            <w:vMerge w:val="continue"/>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100" w:type="dxa"/>
            <w:vAlign w:val="bottom"/>
            <w:shd w:val="clear" w:color="auto" w:fill="D9D9D6"/>
          </w:tcPr>
          <w:p>
            <w:pPr>
              <w:spacing w:after="0"/>
              <w:rPr>
                <w:sz w:val="3"/>
                <w:szCs w:val="3"/>
                <w:color w:val="auto"/>
              </w:rPr>
            </w:pPr>
          </w:p>
        </w:tc>
        <w:tc>
          <w:tcPr>
            <w:tcW w:w="6820" w:type="dxa"/>
            <w:vAlign w:val="bottom"/>
            <w:shd w:val="clear" w:color="auto" w:fill="D9D9D6"/>
          </w:tcPr>
          <w:p>
            <w:pPr>
              <w:spacing w:after="0"/>
              <w:rPr>
                <w:sz w:val="3"/>
                <w:szCs w:val="3"/>
                <w:color w:val="auto"/>
              </w:rPr>
            </w:pPr>
          </w:p>
        </w:tc>
        <w:tc>
          <w:tcPr>
            <w:tcW w:w="640" w:type="dxa"/>
            <w:vAlign w:val="bottom"/>
            <w:vMerge w:val="restart"/>
            <w:shd w:val="clear" w:color="auto" w:fill="D9D9D6"/>
          </w:tcPr>
          <w:p>
            <w:pPr>
              <w:spacing w:after="0"/>
              <w:rPr>
                <w:sz w:val="3"/>
                <w:szCs w:val="3"/>
                <w:color w:val="auto"/>
              </w:rPr>
            </w:pPr>
          </w:p>
        </w:tc>
        <w:tc>
          <w:tcPr>
            <w:tcW w:w="340" w:type="dxa"/>
            <w:vAlign w:val="bottom"/>
            <w:gridSpan w:val="2"/>
            <w:vMerge w:val="restart"/>
            <w:shd w:val="clear" w:color="auto" w:fill="D9D9D6"/>
          </w:tcPr>
          <w:p>
            <w:pPr>
              <w:jc w:val="right"/>
              <w:ind w:right="20"/>
              <w:spacing w:after="0"/>
              <w:rPr>
                <w:sz w:val="20"/>
                <w:szCs w:val="20"/>
                <w:color w:val="auto"/>
              </w:rPr>
            </w:pPr>
            <w:r>
              <w:rPr>
                <w:rFonts w:ascii="Arial" w:cs="Arial" w:eastAsia="Arial" w:hAnsi="Arial"/>
                <w:sz w:val="14"/>
                <w:szCs w:val="14"/>
                <w:color w:val="auto"/>
                <w:w w:val="96"/>
              </w:rPr>
              <w:t>2025</w:t>
            </w:r>
          </w:p>
        </w:tc>
        <w:tc>
          <w:tcPr>
            <w:tcW w:w="180" w:type="dxa"/>
            <w:vAlign w:val="bottom"/>
            <w:vMerge w:val="restart"/>
            <w:shd w:val="clear" w:color="auto" w:fill="D9D9D6"/>
          </w:tcPr>
          <w:p>
            <w:pPr>
              <w:spacing w:after="0"/>
              <w:rPr>
                <w:sz w:val="3"/>
                <w:szCs w:val="3"/>
                <w:color w:val="auto"/>
              </w:rPr>
            </w:pPr>
          </w:p>
        </w:tc>
        <w:tc>
          <w:tcPr>
            <w:tcW w:w="820" w:type="dxa"/>
            <w:vAlign w:val="bottom"/>
            <w:gridSpan w:val="4"/>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1060" w:type="dxa"/>
            <w:vAlign w:val="bottom"/>
            <w:gridSpan w:val="4"/>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Change</w:t>
            </w:r>
          </w:p>
        </w:tc>
        <w:tc>
          <w:tcPr>
            <w:tcW w:w="1260" w:type="dxa"/>
            <w:vAlign w:val="bottom"/>
            <w:gridSpan w:val="3"/>
            <w:vMerge w:val="continue"/>
            <w:shd w:val="clear" w:color="auto" w:fill="D9D9D6"/>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7"/>
        </w:trPr>
        <w:tc>
          <w:tcPr>
            <w:tcW w:w="100" w:type="dxa"/>
            <w:vAlign w:val="bottom"/>
            <w:shd w:val="clear" w:color="auto" w:fill="D9D9D6"/>
          </w:tcPr>
          <w:p>
            <w:pPr>
              <w:spacing w:after="0"/>
              <w:rPr>
                <w:sz w:val="12"/>
                <w:szCs w:val="12"/>
                <w:color w:val="auto"/>
              </w:rPr>
            </w:pPr>
          </w:p>
        </w:tc>
        <w:tc>
          <w:tcPr>
            <w:tcW w:w="6820" w:type="dxa"/>
            <w:vAlign w:val="bottom"/>
            <w:shd w:val="clear" w:color="auto" w:fill="D9D9D6"/>
          </w:tcPr>
          <w:p>
            <w:pPr>
              <w:spacing w:after="0"/>
              <w:rPr>
                <w:sz w:val="12"/>
                <w:szCs w:val="12"/>
                <w:color w:val="auto"/>
              </w:rPr>
            </w:pPr>
          </w:p>
        </w:tc>
        <w:tc>
          <w:tcPr>
            <w:tcW w:w="640" w:type="dxa"/>
            <w:vAlign w:val="bottom"/>
            <w:vMerge w:val="continue"/>
            <w:shd w:val="clear" w:color="auto" w:fill="D9D9D6"/>
          </w:tcPr>
          <w:p>
            <w:pPr>
              <w:spacing w:after="0"/>
              <w:rPr>
                <w:sz w:val="12"/>
                <w:szCs w:val="12"/>
                <w:color w:val="auto"/>
              </w:rPr>
            </w:pPr>
          </w:p>
        </w:tc>
        <w:tc>
          <w:tcPr>
            <w:tcW w:w="340" w:type="dxa"/>
            <w:vAlign w:val="bottom"/>
            <w:gridSpan w:val="2"/>
            <w:vMerge w:val="continue"/>
            <w:shd w:val="clear" w:color="auto" w:fill="D9D9D6"/>
          </w:tcPr>
          <w:p>
            <w:pPr>
              <w:spacing w:after="0"/>
              <w:rPr>
                <w:sz w:val="12"/>
                <w:szCs w:val="12"/>
                <w:color w:val="auto"/>
              </w:rPr>
            </w:pPr>
          </w:p>
        </w:tc>
        <w:tc>
          <w:tcPr>
            <w:tcW w:w="180" w:type="dxa"/>
            <w:vAlign w:val="bottom"/>
            <w:vMerge w:val="continue"/>
            <w:shd w:val="clear" w:color="auto" w:fill="D9D9D6"/>
          </w:tcPr>
          <w:p>
            <w:pPr>
              <w:spacing w:after="0"/>
              <w:rPr>
                <w:sz w:val="12"/>
                <w:szCs w:val="12"/>
                <w:color w:val="auto"/>
              </w:rPr>
            </w:pPr>
          </w:p>
        </w:tc>
        <w:tc>
          <w:tcPr>
            <w:tcW w:w="820" w:type="dxa"/>
            <w:vAlign w:val="bottom"/>
            <w:gridSpan w:val="4"/>
            <w:vMerge w:val="continue"/>
            <w:shd w:val="clear" w:color="auto" w:fill="D9D9D6"/>
          </w:tcPr>
          <w:p>
            <w:pPr>
              <w:spacing w:after="0"/>
              <w:rPr>
                <w:sz w:val="12"/>
                <w:szCs w:val="12"/>
                <w:color w:val="auto"/>
              </w:rPr>
            </w:pPr>
          </w:p>
        </w:tc>
        <w:tc>
          <w:tcPr>
            <w:tcW w:w="1060" w:type="dxa"/>
            <w:vAlign w:val="bottom"/>
            <w:gridSpan w:val="4"/>
            <w:vMerge w:val="continue"/>
            <w:shd w:val="clear" w:color="auto" w:fill="D9D9D6"/>
          </w:tcPr>
          <w:p>
            <w:pPr>
              <w:spacing w:after="0"/>
              <w:rPr>
                <w:sz w:val="12"/>
                <w:szCs w:val="12"/>
                <w:color w:val="auto"/>
              </w:rPr>
            </w:pPr>
          </w:p>
        </w:tc>
        <w:tc>
          <w:tcPr>
            <w:tcW w:w="1260" w:type="dxa"/>
            <w:vAlign w:val="bottom"/>
            <w:gridSpan w:val="3"/>
            <w:shd w:val="clear" w:color="auto" w:fill="D9D9D6"/>
          </w:tcPr>
          <w:p>
            <w:pPr>
              <w:jc w:val="right"/>
              <w:ind w:right="220"/>
              <w:spacing w:after="0" w:line="127" w:lineRule="exact"/>
              <w:rPr>
                <w:sz w:val="20"/>
                <w:szCs w:val="20"/>
                <w:color w:val="auto"/>
              </w:rPr>
            </w:pPr>
            <w:r>
              <w:rPr>
                <w:rFonts w:ascii="Arial" w:cs="Arial" w:eastAsia="Arial" w:hAnsi="Arial"/>
                <w:sz w:val="11"/>
                <w:szCs w:val="11"/>
                <w:color w:val="auto"/>
              </w:rPr>
              <w:t>Change</w:t>
            </w:r>
            <w:r>
              <w:rPr>
                <w:rFonts w:ascii="Arial" w:cs="Arial" w:eastAsia="Arial" w:hAnsi="Arial"/>
                <w:sz w:val="14"/>
                <w:szCs w:val="14"/>
                <w:color w:val="auto"/>
                <w:vertAlign w:val="superscript"/>
              </w:rPr>
              <w:t>5</w:t>
            </w:r>
          </w:p>
        </w:tc>
        <w:tc>
          <w:tcPr>
            <w:tcW w:w="0" w:type="dxa"/>
            <w:vAlign w:val="bottom"/>
          </w:tcPr>
          <w:p>
            <w:pPr>
              <w:spacing w:after="0"/>
              <w:rPr>
                <w:sz w:val="1"/>
                <w:szCs w:val="1"/>
                <w:color w:val="auto"/>
              </w:rPr>
            </w:pPr>
          </w:p>
        </w:tc>
      </w:tr>
      <w:tr>
        <w:trPr>
          <w:trHeight w:val="20"/>
        </w:trPr>
        <w:tc>
          <w:tcPr>
            <w:tcW w:w="100" w:type="dxa"/>
            <w:vAlign w:val="bottom"/>
            <w:tcBorders>
              <w:top w:val="single" w:sz="8" w:color="D9D9D6"/>
            </w:tcBorders>
            <w:shd w:val="clear" w:color="auto" w:fill="D9D9D6"/>
          </w:tcPr>
          <w:p>
            <w:pPr>
              <w:spacing w:after="0" w:line="20" w:lineRule="exact"/>
              <w:rPr>
                <w:sz w:val="1"/>
                <w:szCs w:val="1"/>
                <w:color w:val="auto"/>
              </w:rPr>
            </w:pPr>
          </w:p>
        </w:tc>
        <w:tc>
          <w:tcPr>
            <w:tcW w:w="6820" w:type="dxa"/>
            <w:vAlign w:val="bottom"/>
            <w:tcBorders>
              <w:top w:val="single" w:sz="8" w:color="D9D9D6"/>
            </w:tcBorders>
            <w:shd w:val="clear" w:color="auto" w:fill="D9D9D6"/>
          </w:tcPr>
          <w:p>
            <w:pPr>
              <w:spacing w:after="0" w:line="20" w:lineRule="exact"/>
              <w:rPr>
                <w:sz w:val="1"/>
                <w:szCs w:val="1"/>
                <w:color w:val="auto"/>
              </w:rPr>
            </w:pPr>
          </w:p>
        </w:tc>
        <w:tc>
          <w:tcPr>
            <w:tcW w:w="640" w:type="dxa"/>
            <w:vAlign w:val="bottom"/>
            <w:tcBorders>
              <w:top w:val="single" w:sz="8" w:color="D9D9D6"/>
            </w:tcBorders>
            <w:shd w:val="clear" w:color="auto" w:fill="D9D9D6"/>
          </w:tcPr>
          <w:p>
            <w:pPr>
              <w:spacing w:after="0" w:line="20" w:lineRule="exact"/>
              <w:rPr>
                <w:sz w:val="1"/>
                <w:szCs w:val="1"/>
                <w:color w:val="auto"/>
              </w:rPr>
            </w:pPr>
          </w:p>
        </w:tc>
        <w:tc>
          <w:tcPr>
            <w:tcW w:w="320" w:type="dxa"/>
            <w:vAlign w:val="bottom"/>
            <w:tcBorders>
              <w:top w:val="single" w:sz="8" w:color="auto"/>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180" w:type="dxa"/>
            <w:vAlign w:val="bottom"/>
            <w:tcBorders>
              <w:top w:val="single" w:sz="8" w:color="D9D9D6"/>
            </w:tcBorders>
            <w:shd w:val="clear" w:color="auto" w:fill="D9D9D6"/>
          </w:tcPr>
          <w:p>
            <w:pPr>
              <w:spacing w:after="0" w:line="20" w:lineRule="exact"/>
              <w:rPr>
                <w:sz w:val="1"/>
                <w:szCs w:val="1"/>
                <w:color w:val="auto"/>
              </w:rPr>
            </w:pPr>
          </w:p>
        </w:tc>
        <w:tc>
          <w:tcPr>
            <w:tcW w:w="480" w:type="dxa"/>
            <w:vAlign w:val="bottom"/>
            <w:tcBorders>
              <w:top w:val="single" w:sz="8" w:color="D9D9D6"/>
            </w:tcBorders>
            <w:shd w:val="clear" w:color="auto" w:fill="D9D9D6"/>
          </w:tcPr>
          <w:p>
            <w:pPr>
              <w:spacing w:after="0" w:line="20" w:lineRule="exact"/>
              <w:rPr>
                <w:sz w:val="1"/>
                <w:szCs w:val="1"/>
                <w:color w:val="auto"/>
              </w:rPr>
            </w:pPr>
          </w:p>
        </w:tc>
        <w:tc>
          <w:tcPr>
            <w:tcW w:w="240" w:type="dxa"/>
            <w:vAlign w:val="bottom"/>
            <w:tcBorders>
              <w:top w:val="single" w:sz="8" w:color="auto"/>
            </w:tcBorders>
            <w:shd w:val="clear" w:color="auto" w:fill="D9D9D6"/>
          </w:tcPr>
          <w:p>
            <w:pPr>
              <w:spacing w:after="0" w:line="20" w:lineRule="exact"/>
              <w:rPr>
                <w:sz w:val="1"/>
                <w:szCs w:val="1"/>
                <w:color w:val="auto"/>
              </w:rPr>
            </w:pPr>
          </w:p>
        </w:tc>
        <w:tc>
          <w:tcPr>
            <w:tcW w:w="80" w:type="dxa"/>
            <w:vAlign w:val="bottom"/>
            <w:tcBorders>
              <w:top w:val="single" w:sz="8" w:color="auto"/>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540" w:type="dxa"/>
            <w:vAlign w:val="bottom"/>
            <w:tcBorders>
              <w:top w:val="single" w:sz="8" w:color="D9D9D6"/>
            </w:tcBorders>
            <w:shd w:val="clear" w:color="auto" w:fill="D9D9D6"/>
          </w:tcPr>
          <w:p>
            <w:pPr>
              <w:spacing w:after="0" w:line="20" w:lineRule="exact"/>
              <w:rPr>
                <w:sz w:val="1"/>
                <w:szCs w:val="1"/>
                <w:color w:val="auto"/>
              </w:rPr>
            </w:pPr>
          </w:p>
        </w:tc>
        <w:tc>
          <w:tcPr>
            <w:tcW w:w="360" w:type="dxa"/>
            <w:vAlign w:val="bottom"/>
            <w:tcBorders>
              <w:top w:val="single" w:sz="8" w:color="auto"/>
            </w:tcBorders>
            <w:shd w:val="clear" w:color="auto" w:fill="D9D9D6"/>
          </w:tcPr>
          <w:p>
            <w:pPr>
              <w:spacing w:after="0" w:line="20" w:lineRule="exact"/>
              <w:rPr>
                <w:sz w:val="1"/>
                <w:szCs w:val="1"/>
                <w:color w:val="auto"/>
              </w:rPr>
            </w:pPr>
          </w:p>
        </w:tc>
        <w:tc>
          <w:tcPr>
            <w:tcW w:w="140" w:type="dxa"/>
            <w:vAlign w:val="bottom"/>
            <w:tcBorders>
              <w:top w:val="single" w:sz="8" w:color="auto"/>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500" w:type="dxa"/>
            <w:vAlign w:val="bottom"/>
            <w:tcBorders>
              <w:top w:val="single" w:sz="8" w:color="D9D9D6"/>
            </w:tcBorders>
            <w:shd w:val="clear" w:color="auto" w:fill="D9D9D6"/>
          </w:tcPr>
          <w:p>
            <w:pPr>
              <w:spacing w:after="0" w:line="20" w:lineRule="exact"/>
              <w:rPr>
                <w:sz w:val="1"/>
                <w:szCs w:val="1"/>
                <w:color w:val="auto"/>
              </w:rPr>
            </w:pPr>
          </w:p>
        </w:tc>
        <w:tc>
          <w:tcPr>
            <w:tcW w:w="560" w:type="dxa"/>
            <w:vAlign w:val="bottom"/>
            <w:tcBorders>
              <w:top w:val="single" w:sz="8" w:color="D9D9D6"/>
              <w:right w:val="single" w:sz="8" w:color="D9D9D6"/>
            </w:tcBorders>
            <w:shd w:val="clear" w:color="auto" w:fill="000000"/>
          </w:tcPr>
          <w:p>
            <w:pPr>
              <w:spacing w:after="0" w:line="20" w:lineRule="exact"/>
              <w:rPr>
                <w:sz w:val="1"/>
                <w:szCs w:val="1"/>
                <w:color w:val="auto"/>
              </w:rPr>
            </w:pPr>
          </w:p>
        </w:tc>
        <w:tc>
          <w:tcPr>
            <w:tcW w:w="200" w:type="dxa"/>
            <w:vAlign w:val="bottom"/>
            <w:tcBorders>
              <w:top w:val="single" w:sz="8" w:color="D9D9D6"/>
            </w:tcBorders>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00" w:type="dxa"/>
            <w:vAlign w:val="bottom"/>
            <w:shd w:val="clear" w:color="auto" w:fill="D9D9D6"/>
          </w:tcPr>
          <w:p>
            <w:pPr>
              <w:spacing w:after="0"/>
              <w:rPr>
                <w:sz w:val="24"/>
                <w:szCs w:val="24"/>
                <w:color w:val="auto"/>
              </w:rPr>
            </w:pPr>
          </w:p>
        </w:tc>
        <w:tc>
          <w:tcPr>
            <w:tcW w:w="68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$2,496</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$2,407</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3.7</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D9D9D6"/>
          </w:tcPr>
          <w:p>
            <w:pPr>
              <w:spacing w:after="0"/>
              <w:rPr>
                <w:sz w:val="24"/>
                <w:szCs w:val="24"/>
                <w:color w:val="auto"/>
              </w:rPr>
            </w:pPr>
          </w:p>
        </w:tc>
        <w:tc>
          <w:tcPr>
            <w:tcW w:w="10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3.7 %</w:t>
            </w:r>
          </w:p>
        </w:tc>
        <w:tc>
          <w:tcPr>
            <w:tcW w:w="20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0" w:type="dxa"/>
            <w:vAlign w:val="bottom"/>
            <w:tcBorders>
              <w:bottom w:val="single" w:sz="8" w:color="D9D9D6"/>
            </w:tcBorders>
            <w:shd w:val="clear" w:color="auto" w:fill="D9D9D6"/>
          </w:tcPr>
          <w:p>
            <w:pPr>
              <w:spacing w:after="0"/>
              <w:rPr>
                <w:sz w:val="17"/>
                <w:szCs w:val="17"/>
                <w:color w:val="auto"/>
              </w:rPr>
            </w:pPr>
          </w:p>
        </w:tc>
        <w:tc>
          <w:tcPr>
            <w:tcW w:w="682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98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1,074</w:t>
            </w:r>
          </w:p>
        </w:tc>
        <w:tc>
          <w:tcPr>
            <w:tcW w:w="100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1,041</w:t>
            </w:r>
          </w:p>
        </w:tc>
        <w:tc>
          <w:tcPr>
            <w:tcW w:w="9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3.1</w:t>
            </w:r>
          </w:p>
        </w:tc>
        <w:tc>
          <w:tcPr>
            <w:tcW w:w="14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Borders>
              <w:bottom w:val="single" w:sz="8" w:color="auto"/>
            </w:tcBorders>
            <w:shd w:val="clear" w:color="auto" w:fill="D9D9D6"/>
          </w:tcPr>
          <w:p>
            <w:pPr>
              <w:spacing w:after="0"/>
              <w:rPr>
                <w:sz w:val="17"/>
                <w:szCs w:val="17"/>
                <w:color w:val="auto"/>
              </w:rPr>
            </w:pPr>
          </w:p>
        </w:tc>
        <w:tc>
          <w:tcPr>
            <w:tcW w:w="106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3.1 %</w:t>
            </w:r>
          </w:p>
        </w:tc>
        <w:tc>
          <w:tcPr>
            <w:tcW w:w="20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 w:type="dxa"/>
            <w:vAlign w:val="bottom"/>
            <w:shd w:val="clear" w:color="auto" w:fill="D9D9D6"/>
          </w:tcPr>
          <w:p>
            <w:pPr>
              <w:spacing w:after="0"/>
              <w:rPr>
                <w:sz w:val="17"/>
                <w:szCs w:val="17"/>
                <w:color w:val="auto"/>
              </w:rPr>
            </w:pPr>
          </w:p>
        </w:tc>
        <w:tc>
          <w:tcPr>
            <w:tcW w:w="682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Adjusted EBITDA</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$1,422</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$1,366</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4.1</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96"/>
              </w:rPr>
              <w:t>%</w:t>
            </w:r>
          </w:p>
        </w:tc>
        <w:tc>
          <w:tcPr>
            <w:tcW w:w="20" w:type="dxa"/>
            <w:vAlign w:val="bottom"/>
            <w:shd w:val="clear" w:color="auto" w:fill="D9D9D6"/>
          </w:tcPr>
          <w:p>
            <w:pPr>
              <w:spacing w:after="0"/>
              <w:rPr>
                <w:sz w:val="17"/>
                <w:szCs w:val="17"/>
                <w:color w:val="auto"/>
              </w:rPr>
            </w:pPr>
          </w:p>
        </w:tc>
        <w:tc>
          <w:tcPr>
            <w:tcW w:w="10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4.1 %</w:t>
            </w:r>
          </w:p>
        </w:tc>
        <w:tc>
          <w:tcPr>
            <w:tcW w:w="20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 w:type="dxa"/>
            <w:vAlign w:val="bottom"/>
            <w:shd w:val="clear" w:color="auto" w:fill="D9D9D6"/>
          </w:tcPr>
          <w:p>
            <w:pPr>
              <w:spacing w:after="0"/>
              <w:rPr>
                <w:sz w:val="17"/>
                <w:szCs w:val="17"/>
                <w:color w:val="auto"/>
              </w:rPr>
            </w:pPr>
          </w:p>
        </w:tc>
        <w:tc>
          <w:tcPr>
            <w:tcW w:w="682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9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57.0 %</w:t>
            </w:r>
          </w:p>
        </w:tc>
        <w:tc>
          <w:tcPr>
            <w:tcW w:w="20" w:type="dxa"/>
            <w:vAlign w:val="bottom"/>
            <w:shd w:val="clear" w:color="auto" w:fill="D9D9D6"/>
          </w:tcPr>
          <w:p>
            <w:pPr>
              <w:spacing w:after="0"/>
              <w:rPr>
                <w:sz w:val="17"/>
                <w:szCs w:val="17"/>
                <w:color w:val="auto"/>
              </w:rPr>
            </w:pPr>
          </w:p>
        </w:tc>
        <w:tc>
          <w:tcPr>
            <w:tcW w:w="98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56.7 %</w:t>
            </w:r>
          </w:p>
        </w:tc>
        <w:tc>
          <w:tcPr>
            <w:tcW w:w="20" w:type="dxa"/>
            <w:vAlign w:val="bottom"/>
            <w:shd w:val="clear" w:color="auto" w:fill="D9D9D6"/>
          </w:tcPr>
          <w:p>
            <w:pPr>
              <w:spacing w:after="0"/>
              <w:rPr>
                <w:sz w:val="17"/>
                <w:szCs w:val="17"/>
                <w:color w:val="auto"/>
              </w:rPr>
            </w:pPr>
          </w:p>
        </w:tc>
        <w:tc>
          <w:tcPr>
            <w:tcW w:w="540" w:type="dxa"/>
            <w:vAlign w:val="bottom"/>
            <w:shd w:val="clear" w:color="auto" w:fill="D9D9D6"/>
          </w:tcPr>
          <w:p>
            <w:pPr>
              <w:spacing w:after="0"/>
              <w:rPr>
                <w:sz w:val="17"/>
                <w:szCs w:val="17"/>
                <w:color w:val="auto"/>
              </w:rPr>
            </w:pPr>
          </w:p>
        </w:tc>
        <w:tc>
          <w:tcPr>
            <w:tcW w:w="5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30 bps</w:t>
            </w:r>
          </w:p>
        </w:tc>
        <w:tc>
          <w:tcPr>
            <w:tcW w:w="500" w:type="dxa"/>
            <w:vAlign w:val="bottom"/>
            <w:shd w:val="clear" w:color="auto" w:fill="D9D9D6"/>
          </w:tcPr>
          <w:p>
            <w:pPr>
              <w:spacing w:after="0"/>
              <w:rPr>
                <w:sz w:val="17"/>
                <w:szCs w:val="17"/>
                <w:color w:val="auto"/>
              </w:rPr>
            </w:pPr>
          </w:p>
        </w:tc>
        <w:tc>
          <w:tcPr>
            <w:tcW w:w="56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rPr>
              <w:t>30 bps</w:t>
            </w:r>
          </w:p>
        </w:tc>
        <w:tc>
          <w:tcPr>
            <w:tcW w:w="20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100" w:type="dxa"/>
            <w:vAlign w:val="bottom"/>
            <w:shd w:val="clear" w:color="auto" w:fill="D9D9D6"/>
          </w:tcPr>
          <w:p>
            <w:pPr>
              <w:spacing w:after="0"/>
              <w:rPr>
                <w:sz w:val="5"/>
                <w:szCs w:val="5"/>
                <w:color w:val="auto"/>
              </w:rPr>
            </w:pPr>
          </w:p>
        </w:tc>
        <w:tc>
          <w:tcPr>
            <w:tcW w:w="6820" w:type="dxa"/>
            <w:vAlign w:val="bottom"/>
            <w:shd w:val="clear" w:color="auto" w:fill="D9D9D6"/>
          </w:tcPr>
          <w:p>
            <w:pPr>
              <w:spacing w:after="0"/>
              <w:rPr>
                <w:sz w:val="5"/>
                <w:szCs w:val="5"/>
                <w:color w:val="auto"/>
              </w:rPr>
            </w:pPr>
          </w:p>
        </w:tc>
        <w:tc>
          <w:tcPr>
            <w:tcW w:w="64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180" w:type="dxa"/>
            <w:vAlign w:val="bottom"/>
            <w:shd w:val="clear" w:color="auto" w:fill="D9D9D6"/>
          </w:tcPr>
          <w:p>
            <w:pPr>
              <w:spacing w:after="0"/>
              <w:rPr>
                <w:sz w:val="5"/>
                <w:szCs w:val="5"/>
                <w:color w:val="auto"/>
              </w:rPr>
            </w:pPr>
          </w:p>
        </w:tc>
        <w:tc>
          <w:tcPr>
            <w:tcW w:w="480" w:type="dxa"/>
            <w:vAlign w:val="bottom"/>
            <w:shd w:val="clear" w:color="auto" w:fill="D9D9D6"/>
          </w:tcPr>
          <w:p>
            <w:pPr>
              <w:spacing w:after="0"/>
              <w:rPr>
                <w:sz w:val="5"/>
                <w:szCs w:val="5"/>
                <w:color w:val="auto"/>
              </w:rPr>
            </w:pPr>
          </w:p>
        </w:tc>
        <w:tc>
          <w:tcPr>
            <w:tcW w:w="240" w:type="dxa"/>
            <w:vAlign w:val="bottom"/>
            <w:shd w:val="clear" w:color="auto" w:fill="D9D9D6"/>
          </w:tcPr>
          <w:p>
            <w:pPr>
              <w:spacing w:after="0"/>
              <w:rPr>
                <w:sz w:val="5"/>
                <w:szCs w:val="5"/>
                <w:color w:val="auto"/>
              </w:rPr>
            </w:pPr>
          </w:p>
        </w:tc>
        <w:tc>
          <w:tcPr>
            <w:tcW w:w="8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540" w:type="dxa"/>
            <w:vAlign w:val="bottom"/>
            <w:shd w:val="clear" w:color="auto" w:fill="D9D9D6"/>
          </w:tcPr>
          <w:p>
            <w:pPr>
              <w:spacing w:after="0"/>
              <w:rPr>
                <w:sz w:val="5"/>
                <w:szCs w:val="5"/>
                <w:color w:val="auto"/>
              </w:rPr>
            </w:pPr>
          </w:p>
        </w:tc>
        <w:tc>
          <w:tcPr>
            <w:tcW w:w="360" w:type="dxa"/>
            <w:vAlign w:val="bottom"/>
            <w:shd w:val="clear" w:color="auto" w:fill="D9D9D6"/>
          </w:tcPr>
          <w:p>
            <w:pPr>
              <w:spacing w:after="0"/>
              <w:rPr>
                <w:sz w:val="5"/>
                <w:szCs w:val="5"/>
                <w:color w:val="auto"/>
              </w:rPr>
            </w:pPr>
          </w:p>
        </w:tc>
        <w:tc>
          <w:tcPr>
            <w:tcW w:w="14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560" w:type="dxa"/>
            <w:vAlign w:val="bottom"/>
            <w:tcBorders>
              <w:right w:val="single" w:sz="8" w:color="D9D9D6"/>
            </w:tcBorders>
            <w:shd w:val="clear" w:color="auto" w:fill="D9D9D6"/>
          </w:tcPr>
          <w:p>
            <w:pPr>
              <w:spacing w:after="0"/>
              <w:rPr>
                <w:sz w:val="5"/>
                <w:szCs w:val="5"/>
                <w:color w:val="auto"/>
              </w:rPr>
            </w:pPr>
          </w:p>
        </w:tc>
        <w:tc>
          <w:tcPr>
            <w:tcW w:w="200" w:type="dxa"/>
            <w:vAlign w:val="bottom"/>
            <w:shd w:val="clear" w:color="auto" w:fill="D9D9D6"/>
          </w:tcPr>
          <w:p>
            <w:pPr>
              <w:spacing w:after="0"/>
              <w:rPr>
                <w:sz w:val="5"/>
                <w:szCs w:val="5"/>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Change percentages represent year/year growth rates. The changes in Adjusted EBITDA margins are presented as year/year basis point changes in the rounded Adjusted EBITDA margins.</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Business Services Connectivity increased due to an increase in revenue from enterprise solutions offerings and an increase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small business customers driven by an increase in average rates due to higher adoption of our suite of advanced services.</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Business Services Connectivity increased due to higher revenue, partially offset by higher operating expenses.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increase in operating expenses was primarily due to increases in direct product costs. </w:t>
      </w:r>
      <w:r>
        <w:rPr>
          <w:rFonts w:ascii="Arial" w:cs="Arial" w:eastAsia="Arial" w:hAnsi="Arial"/>
          <w:sz w:val="18"/>
          <w:szCs w:val="18"/>
          <w:b w:val="1"/>
          <w:bCs w:val="1"/>
          <w:i w:val="1"/>
          <w:iCs w:val="1"/>
          <w:color w:val="auto"/>
        </w:rPr>
        <w:t>Adjusted EBITDA margin</w:t>
      </w:r>
      <w:r>
        <w:rPr>
          <w:rFonts w:ascii="Arial" w:cs="Arial" w:eastAsia="Arial" w:hAnsi="Arial"/>
          <w:sz w:val="18"/>
          <w:szCs w:val="18"/>
          <w:color w:val="auto"/>
        </w:rPr>
        <w:t xml:space="preserve"> increased to 57.0%.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56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Content &amp;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80645</wp:posOffset>
            </wp:positionV>
            <wp:extent cx="71151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6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420" w:type="dxa"/>
            <w:vAlign w:val="bottom"/>
            <w:shd w:val="clear" w:color="auto" w:fill="D9D9D6"/>
          </w:tcPr>
          <w:p>
            <w:pPr>
              <w:spacing w:after="0"/>
              <w:rPr>
                <w:sz w:val="17"/>
                <w:szCs w:val="17"/>
                <w:color w:val="auto"/>
              </w:rPr>
            </w:pPr>
          </w:p>
        </w:tc>
        <w:tc>
          <w:tcPr>
            <w:tcW w:w="30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56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120" w:type="dxa"/>
            <w:vAlign w:val="bottom"/>
            <w:tcBorders>
              <w:bottom w:val="single" w:sz="8" w:color="D9D9D6"/>
            </w:tcBorders>
            <w:shd w:val="clear" w:color="auto" w:fill="D9D9D6"/>
          </w:tcPr>
          <w:p>
            <w:pPr>
              <w:spacing w:after="0"/>
              <w:rPr>
                <w:sz w:val="15"/>
                <w:szCs w:val="15"/>
                <w:color w:val="auto"/>
              </w:rPr>
            </w:pPr>
          </w:p>
        </w:tc>
        <w:tc>
          <w:tcPr>
            <w:tcW w:w="8040" w:type="dxa"/>
            <w:vAlign w:val="bottom"/>
            <w:tcBorders>
              <w:bottom w:val="single" w:sz="8" w:color="D9D9D6"/>
            </w:tcBorders>
            <w:shd w:val="clear" w:color="auto" w:fill="D9D9D6"/>
          </w:tcPr>
          <w:p>
            <w:pPr>
              <w:spacing w:after="0"/>
              <w:rPr>
                <w:sz w:val="15"/>
                <w:szCs w:val="15"/>
                <w:color w:val="auto"/>
              </w:rPr>
            </w:pPr>
          </w:p>
        </w:tc>
        <w:tc>
          <w:tcPr>
            <w:tcW w:w="64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40" w:type="dxa"/>
            <w:vAlign w:val="bottom"/>
            <w:tcBorders>
              <w:bottom w:val="single" w:sz="8" w:color="D9D9D6"/>
            </w:tcBorders>
            <w:shd w:val="clear" w:color="auto" w:fill="D9D9D6"/>
          </w:tcPr>
          <w:p>
            <w:pPr>
              <w:spacing w:after="0"/>
              <w:rPr>
                <w:sz w:val="15"/>
                <w:szCs w:val="15"/>
                <w:color w:val="auto"/>
              </w:rPr>
            </w:pPr>
          </w:p>
        </w:tc>
        <w:tc>
          <w:tcPr>
            <w:tcW w:w="72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w w:val="99"/>
              </w:rPr>
              <w:t>1st Quarter</w:t>
            </w:r>
          </w:p>
        </w:tc>
        <w:tc>
          <w:tcPr>
            <w:tcW w:w="40" w:type="dxa"/>
            <w:vAlign w:val="bottom"/>
            <w:tcBorders>
              <w:bottom w:val="single" w:sz="8" w:color="D9D9D6"/>
            </w:tcBorders>
            <w:gridSpan w:val="2"/>
            <w:shd w:val="clear" w:color="auto" w:fill="D9D9D6"/>
          </w:tcPr>
          <w:p>
            <w:pPr>
              <w:spacing w:after="0"/>
              <w:rPr>
                <w:sz w:val="15"/>
                <w:szCs w:val="15"/>
                <w:color w:val="auto"/>
              </w:rPr>
            </w:pPr>
          </w:p>
        </w:tc>
        <w:tc>
          <w:tcPr>
            <w:tcW w:w="56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D9D9D6"/>
            </w:tcBorders>
            <w:shd w:val="clear" w:color="auto" w:fill="D9D9D6"/>
          </w:tcPr>
          <w:p>
            <w:pPr>
              <w:spacing w:after="0"/>
              <w:rPr>
                <w:sz w:val="15"/>
                <w:szCs w:val="15"/>
                <w:color w:val="auto"/>
              </w:rPr>
            </w:pPr>
          </w:p>
        </w:tc>
        <w:tc>
          <w:tcPr>
            <w:tcW w:w="18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20" w:type="dxa"/>
            <w:vAlign w:val="bottom"/>
            <w:tcBorders>
              <w:bottom w:val="single" w:sz="8" w:color="D9D9D6"/>
            </w:tcBorders>
            <w:shd w:val="clear" w:color="auto" w:fill="D9D9D6"/>
          </w:tcPr>
          <w:p>
            <w:pPr>
              <w:spacing w:after="0"/>
              <w:rPr>
                <w:sz w:val="15"/>
                <w:szCs w:val="15"/>
                <w:color w:val="auto"/>
              </w:rPr>
            </w:pPr>
          </w:p>
        </w:tc>
      </w:tr>
      <w:tr>
        <w:trPr>
          <w:trHeight w:val="183"/>
        </w:trPr>
        <w:tc>
          <w:tcPr>
            <w:tcW w:w="120" w:type="dxa"/>
            <w:vAlign w:val="bottom"/>
            <w:shd w:val="clear" w:color="auto" w:fill="D9D9D6"/>
          </w:tcPr>
          <w:p>
            <w:pPr>
              <w:spacing w:after="0"/>
              <w:rPr>
                <w:sz w:val="15"/>
                <w:szCs w:val="15"/>
                <w:color w:val="auto"/>
              </w:rPr>
            </w:pPr>
          </w:p>
        </w:tc>
        <w:tc>
          <w:tcPr>
            <w:tcW w:w="8040" w:type="dxa"/>
            <w:vAlign w:val="bottom"/>
            <w:shd w:val="clear" w:color="auto" w:fill="D9D9D6"/>
          </w:tcPr>
          <w:p>
            <w:pPr>
              <w:spacing w:after="0"/>
              <w:rPr>
                <w:sz w:val="15"/>
                <w:szCs w:val="15"/>
                <w:color w:val="auto"/>
              </w:rPr>
            </w:pP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2025</w:t>
            </w:r>
          </w:p>
        </w:tc>
        <w:tc>
          <w:tcPr>
            <w:tcW w:w="9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1200" w:type="dxa"/>
            <w:vAlign w:val="bottom"/>
            <w:gridSpan w:val="5"/>
            <w:shd w:val="clear" w:color="auto" w:fill="D9D9D6"/>
          </w:tcPr>
          <w:p>
            <w:pPr>
              <w:ind w:left="560"/>
              <w:spacing w:after="0"/>
              <w:rPr>
                <w:sz w:val="20"/>
                <w:szCs w:val="20"/>
                <w:color w:val="auto"/>
              </w:rPr>
            </w:pPr>
            <w:r>
              <w:rPr>
                <w:rFonts w:ascii="Arial" w:cs="Arial" w:eastAsia="Arial" w:hAnsi="Arial"/>
                <w:sz w:val="14"/>
                <w:szCs w:val="14"/>
                <w:color w:val="auto"/>
              </w:rPr>
              <w:t>Change</w:t>
            </w: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80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Content &amp; Experiences Revenue</w:t>
            </w:r>
          </w:p>
        </w:tc>
        <w:tc>
          <w:tcPr>
            <w:tcW w:w="6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40" w:type="dxa"/>
            <w:vAlign w:val="bottom"/>
            <w:tcBorders>
              <w:top w:val="single" w:sz="8" w:color="D9D9D6"/>
            </w:tcBorders>
            <w:shd w:val="clear" w:color="auto" w:fill="D9D9D6"/>
          </w:tcPr>
          <w:p>
            <w:pPr>
              <w:spacing w:after="0"/>
              <w:rPr>
                <w:sz w:val="19"/>
                <w:szCs w:val="19"/>
                <w:color w:val="auto"/>
              </w:rPr>
            </w:pPr>
          </w:p>
        </w:tc>
        <w:tc>
          <w:tcPr>
            <w:tcW w:w="420" w:type="dxa"/>
            <w:vAlign w:val="bottom"/>
            <w:tcBorders>
              <w:top w:val="single" w:sz="8" w:color="D9D9D6"/>
            </w:tcBorders>
            <w:shd w:val="clear" w:color="auto" w:fill="D9D9D6"/>
          </w:tcPr>
          <w:p>
            <w:pPr>
              <w:spacing w:after="0"/>
              <w:rPr>
                <w:sz w:val="19"/>
                <w:szCs w:val="19"/>
                <w:color w:val="auto"/>
              </w:rPr>
            </w:pPr>
          </w:p>
        </w:tc>
        <w:tc>
          <w:tcPr>
            <w:tcW w:w="30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6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7"/>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Media</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$6,440</w:t>
            </w:r>
          </w:p>
        </w:tc>
        <w:tc>
          <w:tcPr>
            <w:tcW w:w="9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$6,371</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1.1</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Studios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2,826</w:t>
            </w:r>
          </w:p>
        </w:tc>
        <w:tc>
          <w:tcPr>
            <w:tcW w:w="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2,743</w:t>
            </w:r>
          </w:p>
        </w:tc>
        <w:tc>
          <w:tcPr>
            <w:tcW w:w="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3.0</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Theme Parks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1,876</w:t>
            </w:r>
          </w:p>
        </w:tc>
        <w:tc>
          <w:tcPr>
            <w:tcW w:w="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1,979</w:t>
            </w:r>
          </w:p>
        </w:tc>
        <w:tc>
          <w:tcPr>
            <w:tcW w:w="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(5.2</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2"/>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Headquarters &amp; Other</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11</w:t>
            </w:r>
          </w:p>
        </w:tc>
        <w:tc>
          <w:tcPr>
            <w:tcW w:w="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12</w:t>
            </w:r>
          </w:p>
        </w:tc>
        <w:tc>
          <w:tcPr>
            <w:tcW w:w="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(9.1</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0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Eliminations</w:t>
            </w:r>
          </w:p>
        </w:tc>
        <w:tc>
          <w:tcPr>
            <w:tcW w:w="96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(697)</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4"/>
            <w:shd w:val="clear" w:color="auto" w:fill="D9D9D6"/>
          </w:tcPr>
          <w:p>
            <w:pPr>
              <w:jc w:val="right"/>
              <w:spacing w:after="0"/>
              <w:rPr>
                <w:sz w:val="20"/>
                <w:szCs w:val="20"/>
                <w:color w:val="auto"/>
              </w:rPr>
            </w:pPr>
            <w:r>
              <w:rPr>
                <w:rFonts w:ascii="Arial" w:cs="Arial" w:eastAsia="Arial" w:hAnsi="Arial"/>
                <w:sz w:val="14"/>
                <w:szCs w:val="14"/>
                <w:color w:val="auto"/>
              </w:rPr>
              <w:t>(731)</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4.7</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1"/>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Content &amp; Experiences Revenue</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$10,457</w:t>
            </w:r>
          </w:p>
        </w:tc>
        <w:tc>
          <w:tcPr>
            <w:tcW w:w="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$10,374</w:t>
            </w:r>
          </w:p>
        </w:tc>
        <w:tc>
          <w:tcPr>
            <w:tcW w:w="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0.8</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418"/>
        </w:trPr>
        <w:tc>
          <w:tcPr>
            <w:tcW w:w="120" w:type="dxa"/>
            <w:vAlign w:val="bottom"/>
            <w:shd w:val="clear" w:color="auto" w:fill="D9D9D6"/>
          </w:tcPr>
          <w:p>
            <w:pPr>
              <w:spacing w:after="0"/>
              <w:rPr>
                <w:sz w:val="24"/>
                <w:szCs w:val="24"/>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Content &amp; Experiences Adjusted EBITDA</w:t>
            </w:r>
          </w:p>
        </w:tc>
        <w:tc>
          <w:tcPr>
            <w:tcW w:w="6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420" w:type="dxa"/>
            <w:vAlign w:val="bottom"/>
            <w:shd w:val="clear" w:color="auto" w:fill="D9D9D6"/>
          </w:tcPr>
          <w:p>
            <w:pPr>
              <w:spacing w:after="0"/>
              <w:rPr>
                <w:sz w:val="24"/>
                <w:szCs w:val="24"/>
                <w:color w:val="auto"/>
              </w:rPr>
            </w:pPr>
          </w:p>
        </w:tc>
        <w:tc>
          <w:tcPr>
            <w:tcW w:w="30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197"/>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Media</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$1,004</w:t>
            </w:r>
          </w:p>
        </w:tc>
        <w:tc>
          <w:tcPr>
            <w:tcW w:w="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$827</w:t>
            </w:r>
          </w:p>
        </w:tc>
        <w:tc>
          <w:tcPr>
            <w:tcW w:w="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21.5 %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Studios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298</w:t>
            </w:r>
          </w:p>
        </w:tc>
        <w:tc>
          <w:tcPr>
            <w:tcW w:w="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244</w:t>
            </w:r>
          </w:p>
        </w:tc>
        <w:tc>
          <w:tcPr>
            <w:tcW w:w="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22.3 %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Theme Parks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429</w:t>
            </w:r>
          </w:p>
        </w:tc>
        <w:tc>
          <w:tcPr>
            <w:tcW w:w="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632</w:t>
            </w:r>
          </w:p>
        </w:tc>
        <w:tc>
          <w:tcPr>
            <w:tcW w:w="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(32.1 %)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Headquarters &amp; Other</w:t>
            </w:r>
          </w:p>
        </w:tc>
        <w:tc>
          <w:tcPr>
            <w:tcW w:w="9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(255)</w:t>
            </w:r>
          </w:p>
        </w:tc>
        <w:tc>
          <w:tcPr>
            <w:tcW w:w="20" w:type="dxa"/>
            <w:vAlign w:val="bottom"/>
            <w:shd w:val="clear" w:color="auto" w:fill="D9D9D6"/>
          </w:tcPr>
          <w:p>
            <w:pPr>
              <w:spacing w:after="0"/>
              <w:rPr>
                <w:sz w:val="17"/>
                <w:szCs w:val="17"/>
                <w:color w:val="auto"/>
              </w:rPr>
            </w:pPr>
          </w:p>
        </w:tc>
        <w:tc>
          <w:tcPr>
            <w:tcW w:w="88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(243)</w:t>
            </w:r>
          </w:p>
        </w:tc>
        <w:tc>
          <w:tcPr>
            <w:tcW w:w="20" w:type="dxa"/>
            <w:vAlign w:val="bottom"/>
            <w:shd w:val="clear" w:color="auto" w:fill="D9D9D6"/>
          </w:tcPr>
          <w:p>
            <w:pPr>
              <w:spacing w:after="0"/>
              <w:rPr>
                <w:sz w:val="17"/>
                <w:szCs w:val="17"/>
                <w:color w:val="auto"/>
              </w:rPr>
            </w:pP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(4.7 %)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0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Eliminations</w:t>
            </w:r>
          </w:p>
        </w:tc>
        <w:tc>
          <w:tcPr>
            <w:tcW w:w="96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14</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33</w:t>
            </w:r>
          </w:p>
        </w:tc>
        <w:tc>
          <w:tcPr>
            <w:tcW w:w="20" w:type="dxa"/>
            <w:vAlign w:val="bottom"/>
            <w:tcBorders>
              <w:bottom w:val="single" w:sz="8" w:color="auto"/>
            </w:tcBorders>
            <w:shd w:val="clear" w:color="auto" w:fill="D9D9D6"/>
          </w:tcPr>
          <w:p>
            <w:pPr>
              <w:spacing w:after="0"/>
              <w:rPr>
                <w:sz w:val="17"/>
                <w:szCs w:val="17"/>
                <w:color w:val="auto"/>
              </w:rPr>
            </w:pP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(57.8</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Content &amp; Experiences Adjusted EBITDA</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$1,490</w:t>
            </w:r>
          </w:p>
        </w:tc>
        <w:tc>
          <w:tcPr>
            <w:tcW w:w="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$1,493</w:t>
            </w:r>
          </w:p>
        </w:tc>
        <w:tc>
          <w:tcPr>
            <w:tcW w:w="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(0.1</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highlight w:val="lightGray"/>
                <w:w w:val="93"/>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bl>
    <w:p>
      <w:pPr>
        <w:spacing w:after="0" w:line="3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Content &amp; Experiences was consistent compared to the prior year period primarily reflecting an increase in Studios and Media,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offset by a decrease in Theme Parks. </w:t>
      </w:r>
      <w:r>
        <w:rPr>
          <w:rFonts w:ascii="Arial" w:cs="Arial" w:eastAsia="Arial" w:hAnsi="Arial"/>
          <w:sz w:val="18"/>
          <w:szCs w:val="18"/>
          <w:b w:val="1"/>
          <w:bCs w:val="1"/>
          <w:i w:val="1"/>
          <w:iCs w:val="1"/>
          <w:color w:val="auto"/>
        </w:rPr>
        <w:t>Adjusted EBITDA</w:t>
      </w:r>
      <w:r>
        <w:rPr>
          <w:rFonts w:ascii="Arial" w:cs="Arial" w:eastAsia="Arial" w:hAnsi="Arial"/>
          <w:sz w:val="18"/>
          <w:szCs w:val="18"/>
          <w:color w:val="auto"/>
        </w:rPr>
        <w:t xml:space="preserve"> for Content &amp; Experiences was consistent compared to the prior year period primarily due to a decline in Theme Parks, offset by growth in Media and Studios.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816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60" w:type="dxa"/>
            <w:vAlign w:val="bottom"/>
            <w:shd w:val="clear" w:color="auto" w:fill="D9D9D6"/>
          </w:tcPr>
          <w:p>
            <w:pPr>
              <w:spacing w:after="0"/>
              <w:rPr>
                <w:sz w:val="17"/>
                <w:szCs w:val="17"/>
                <w:color w:val="auto"/>
              </w:rPr>
            </w:pPr>
          </w:p>
        </w:tc>
        <w:tc>
          <w:tcPr>
            <w:tcW w:w="340" w:type="dxa"/>
            <w:vAlign w:val="bottom"/>
            <w:tcBorders>
              <w:right w:val="single" w:sz="8" w:color="D9D9D6"/>
            </w:tcBorders>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380" w:type="dxa"/>
            <w:vAlign w:val="bottom"/>
            <w:shd w:val="clear" w:color="auto" w:fill="D9D9D6"/>
          </w:tcPr>
          <w:p>
            <w:pPr>
              <w:spacing w:after="0"/>
              <w:rPr>
                <w:sz w:val="17"/>
                <w:szCs w:val="17"/>
                <w:color w:val="auto"/>
              </w:rPr>
            </w:pPr>
          </w:p>
        </w:tc>
        <w:tc>
          <w:tcPr>
            <w:tcW w:w="340" w:type="dxa"/>
            <w:vAlign w:val="bottom"/>
            <w:tcBorders>
              <w:right w:val="single" w:sz="8" w:color="D9D9D6"/>
            </w:tcBorders>
            <w:shd w:val="clear" w:color="auto" w:fill="D9D9D6"/>
          </w:tcPr>
          <w:p>
            <w:pPr>
              <w:spacing w:after="0"/>
              <w:rPr>
                <w:sz w:val="17"/>
                <w:szCs w:val="17"/>
                <w:color w:val="auto"/>
              </w:rPr>
            </w:pPr>
          </w:p>
        </w:tc>
        <w:tc>
          <w:tcPr>
            <w:tcW w:w="5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120" w:type="dxa"/>
            <w:vAlign w:val="bottom"/>
            <w:tcBorders>
              <w:bottom w:val="single" w:sz="8" w:color="D9D9D6"/>
            </w:tcBorders>
            <w:shd w:val="clear" w:color="auto" w:fill="D9D9D6"/>
          </w:tcPr>
          <w:p>
            <w:pPr>
              <w:spacing w:after="0"/>
              <w:rPr>
                <w:sz w:val="15"/>
                <w:szCs w:val="15"/>
                <w:color w:val="auto"/>
              </w:rPr>
            </w:pPr>
          </w:p>
        </w:tc>
        <w:tc>
          <w:tcPr>
            <w:tcW w:w="8160" w:type="dxa"/>
            <w:vAlign w:val="bottom"/>
            <w:tcBorders>
              <w:bottom w:val="single" w:sz="8" w:color="D9D9D6"/>
            </w:tcBorders>
            <w:shd w:val="clear" w:color="auto" w:fill="D9D9D6"/>
          </w:tcPr>
          <w:p>
            <w:pPr>
              <w:spacing w:after="0"/>
              <w:rPr>
                <w:sz w:val="15"/>
                <w:szCs w:val="15"/>
                <w:color w:val="auto"/>
              </w:rPr>
            </w:pPr>
          </w:p>
        </w:tc>
        <w:tc>
          <w:tcPr>
            <w:tcW w:w="560" w:type="dxa"/>
            <w:vAlign w:val="bottom"/>
            <w:tcBorders>
              <w:bottom w:val="single" w:sz="8" w:color="D9D9D6"/>
            </w:tcBorders>
            <w:shd w:val="clear" w:color="auto" w:fill="D9D9D6"/>
          </w:tcPr>
          <w:p>
            <w:pPr>
              <w:spacing w:after="0"/>
              <w:rPr>
                <w:sz w:val="15"/>
                <w:szCs w:val="15"/>
                <w:color w:val="auto"/>
              </w:rPr>
            </w:pPr>
          </w:p>
        </w:tc>
        <w:tc>
          <w:tcPr>
            <w:tcW w:w="340" w:type="dxa"/>
            <w:vAlign w:val="bottom"/>
            <w:tcBorders>
              <w:bottom w:val="single" w:sz="8" w:color="D9D9D6"/>
              <w:right w:val="single" w:sz="8" w:color="D9D9D6"/>
            </w:tcBorders>
            <w:shd w:val="clear" w:color="auto" w:fill="D9D9D6"/>
          </w:tcPr>
          <w:p>
            <w:pPr>
              <w:spacing w:after="0"/>
              <w:rPr>
                <w:sz w:val="15"/>
                <w:szCs w:val="15"/>
                <w:color w:val="auto"/>
              </w:rPr>
            </w:pPr>
          </w:p>
        </w:tc>
        <w:tc>
          <w:tcPr>
            <w:tcW w:w="160" w:type="dxa"/>
            <w:vAlign w:val="bottom"/>
            <w:tcBorders>
              <w:bottom w:val="single" w:sz="8" w:color="D9D9D6"/>
            </w:tcBorders>
            <w:shd w:val="clear" w:color="auto" w:fill="D9D9D6"/>
          </w:tcPr>
          <w:p>
            <w:pPr>
              <w:spacing w:after="0"/>
              <w:rPr>
                <w:sz w:val="15"/>
                <w:szCs w:val="15"/>
                <w:color w:val="auto"/>
              </w:rPr>
            </w:pPr>
          </w:p>
        </w:tc>
        <w:tc>
          <w:tcPr>
            <w:tcW w:w="72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w w:val="99"/>
              </w:rPr>
              <w:t>1st Quarter</w:t>
            </w:r>
          </w:p>
        </w:tc>
        <w:tc>
          <w:tcPr>
            <w:tcW w:w="54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D9D9D6"/>
            </w:tcBorders>
            <w:shd w:val="clear" w:color="auto" w:fill="D9D9D6"/>
          </w:tcPr>
          <w:p>
            <w:pPr>
              <w:spacing w:after="0"/>
              <w:rPr>
                <w:sz w:val="15"/>
                <w:szCs w:val="15"/>
                <w:color w:val="auto"/>
              </w:rPr>
            </w:pPr>
          </w:p>
        </w:tc>
        <w:tc>
          <w:tcPr>
            <w:tcW w:w="18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20" w:type="dxa"/>
            <w:vAlign w:val="bottom"/>
            <w:tcBorders>
              <w:bottom w:val="single" w:sz="8" w:color="D9D9D6"/>
            </w:tcBorders>
            <w:shd w:val="clear" w:color="auto" w:fill="D9D9D6"/>
          </w:tcPr>
          <w:p>
            <w:pPr>
              <w:spacing w:after="0"/>
              <w:rPr>
                <w:sz w:val="15"/>
                <w:szCs w:val="15"/>
                <w:color w:val="auto"/>
              </w:rPr>
            </w:pPr>
          </w:p>
        </w:tc>
      </w:tr>
      <w:tr>
        <w:trPr>
          <w:trHeight w:val="183"/>
        </w:trPr>
        <w:tc>
          <w:tcPr>
            <w:tcW w:w="120" w:type="dxa"/>
            <w:vAlign w:val="bottom"/>
            <w:shd w:val="clear" w:color="auto" w:fill="D9D9D6"/>
          </w:tcPr>
          <w:p>
            <w:pPr>
              <w:spacing w:after="0"/>
              <w:rPr>
                <w:sz w:val="15"/>
                <w:szCs w:val="15"/>
                <w:color w:val="auto"/>
              </w:rPr>
            </w:pPr>
          </w:p>
        </w:tc>
        <w:tc>
          <w:tcPr>
            <w:tcW w:w="8160" w:type="dxa"/>
            <w:vAlign w:val="bottom"/>
            <w:shd w:val="clear" w:color="auto" w:fill="D9D9D6"/>
          </w:tcPr>
          <w:p>
            <w:pPr>
              <w:spacing w:after="0"/>
              <w:rPr>
                <w:sz w:val="15"/>
                <w:szCs w:val="15"/>
                <w:color w:val="auto"/>
              </w:rPr>
            </w:pPr>
          </w:p>
        </w:tc>
        <w:tc>
          <w:tcPr>
            <w:tcW w:w="90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2025</w:t>
            </w:r>
          </w:p>
        </w:tc>
        <w:tc>
          <w:tcPr>
            <w:tcW w:w="88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1180" w:type="dxa"/>
            <w:vAlign w:val="bottom"/>
            <w:gridSpan w:val="5"/>
            <w:shd w:val="clear" w:color="auto" w:fill="D9D9D6"/>
          </w:tcPr>
          <w:p>
            <w:pPr>
              <w:ind w:left="540"/>
              <w:spacing w:after="0"/>
              <w:rPr>
                <w:sz w:val="20"/>
                <w:szCs w:val="20"/>
                <w:color w:val="auto"/>
              </w:rPr>
            </w:pPr>
            <w:r>
              <w:rPr>
                <w:rFonts w:ascii="Arial" w:cs="Arial" w:eastAsia="Arial" w:hAnsi="Arial"/>
                <w:sz w:val="14"/>
                <w:szCs w:val="14"/>
                <w:color w:val="auto"/>
              </w:rPr>
              <w:t>Change</w:t>
            </w:r>
          </w:p>
        </w:tc>
      </w:tr>
      <w:tr>
        <w:trPr>
          <w:trHeight w:val="223"/>
        </w:trPr>
        <w:tc>
          <w:tcPr>
            <w:tcW w:w="120" w:type="dxa"/>
            <w:vAlign w:val="bottom"/>
            <w:tcBorders>
              <w:top w:val="single" w:sz="8" w:color="D9D9D6"/>
            </w:tcBorders>
            <w:shd w:val="clear" w:color="auto" w:fill="D9D9D6"/>
          </w:tcPr>
          <w:p>
            <w:pPr>
              <w:spacing w:after="0"/>
              <w:rPr>
                <w:sz w:val="19"/>
                <w:szCs w:val="19"/>
                <w:color w:val="auto"/>
              </w:rPr>
            </w:pPr>
          </w:p>
        </w:tc>
        <w:tc>
          <w:tcPr>
            <w:tcW w:w="816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56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right w:val="single" w:sz="8" w:color="D9D9D6"/>
            </w:tcBorders>
            <w:shd w:val="clear" w:color="auto" w:fill="D9D9D6"/>
          </w:tcPr>
          <w:p>
            <w:pPr>
              <w:spacing w:after="0"/>
              <w:rPr>
                <w:sz w:val="19"/>
                <w:szCs w:val="19"/>
                <w:color w:val="auto"/>
              </w:rPr>
            </w:pPr>
          </w:p>
        </w:tc>
        <w:tc>
          <w:tcPr>
            <w:tcW w:w="160" w:type="dxa"/>
            <w:vAlign w:val="bottom"/>
            <w:tcBorders>
              <w:top w:val="single" w:sz="8" w:color="D9D9D6"/>
            </w:tcBorders>
            <w:shd w:val="clear" w:color="auto" w:fill="D9D9D6"/>
          </w:tcPr>
          <w:p>
            <w:pPr>
              <w:spacing w:after="0"/>
              <w:rPr>
                <w:sz w:val="19"/>
                <w:szCs w:val="19"/>
                <w:color w:val="auto"/>
              </w:rPr>
            </w:pPr>
          </w:p>
        </w:tc>
        <w:tc>
          <w:tcPr>
            <w:tcW w:w="38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right w:val="single" w:sz="8" w:color="D9D9D6"/>
            </w:tcBorders>
            <w:shd w:val="clear" w:color="auto" w:fill="D9D9D6"/>
          </w:tcPr>
          <w:p>
            <w:pPr>
              <w:spacing w:after="0"/>
              <w:rPr>
                <w:sz w:val="19"/>
                <w:szCs w:val="19"/>
                <w:color w:val="auto"/>
              </w:rPr>
            </w:pPr>
          </w:p>
        </w:tc>
        <w:tc>
          <w:tcPr>
            <w:tcW w:w="5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4"/>
        </w:trPr>
        <w:tc>
          <w:tcPr>
            <w:tcW w:w="120" w:type="dxa"/>
            <w:vAlign w:val="bottom"/>
            <w:shd w:val="clear" w:color="auto" w:fill="D9D9D6"/>
          </w:tcPr>
          <w:p>
            <w:pPr>
              <w:spacing w:after="0"/>
              <w:rPr>
                <w:sz w:val="16"/>
                <w:szCs w:val="16"/>
                <w:color w:val="auto"/>
              </w:rPr>
            </w:pPr>
          </w:p>
        </w:tc>
        <w:tc>
          <w:tcPr>
            <w:tcW w:w="81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Advertising</w:t>
            </w:r>
          </w:p>
        </w:tc>
        <w:tc>
          <w:tcPr>
            <w:tcW w:w="90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$1,886</w:t>
            </w:r>
          </w:p>
        </w:tc>
        <w:tc>
          <w:tcPr>
            <w:tcW w:w="880" w:type="dxa"/>
            <w:vAlign w:val="bottom"/>
            <w:tcBorders>
              <w:right w:val="single" w:sz="8" w:color="DBDBDB"/>
            </w:tcBorders>
            <w:gridSpan w:val="3"/>
            <w:shd w:val="clear" w:color="auto" w:fill="DBDBDB"/>
          </w:tcPr>
          <w:p>
            <w:pPr>
              <w:jc w:val="right"/>
              <w:ind w:right="20"/>
              <w:spacing w:after="0"/>
              <w:rPr>
                <w:sz w:val="20"/>
                <w:szCs w:val="20"/>
                <w:color w:val="auto"/>
              </w:rPr>
            </w:pPr>
            <w:r>
              <w:rPr>
                <w:rFonts w:ascii="Arial" w:cs="Arial" w:eastAsia="Arial" w:hAnsi="Arial"/>
                <w:sz w:val="14"/>
                <w:szCs w:val="14"/>
                <w:color w:val="auto"/>
              </w:rPr>
              <w:t>$2,025</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(6.8</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r>
      <w:tr>
        <w:trPr>
          <w:trHeight w:val="203"/>
        </w:trPr>
        <w:tc>
          <w:tcPr>
            <w:tcW w:w="120" w:type="dxa"/>
            <w:vAlign w:val="bottom"/>
            <w:shd w:val="clear" w:color="auto" w:fill="D9D9D6"/>
          </w:tcPr>
          <w:p>
            <w:pPr>
              <w:spacing w:after="0"/>
              <w:rPr>
                <w:sz w:val="17"/>
                <w:szCs w:val="17"/>
                <w:color w:val="auto"/>
              </w:rPr>
            </w:pPr>
          </w:p>
        </w:tc>
        <w:tc>
          <w:tcPr>
            <w:tcW w:w="81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Distribution</w:t>
            </w:r>
          </w:p>
        </w:tc>
        <w:tc>
          <w:tcPr>
            <w:tcW w:w="9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2,922</w:t>
            </w:r>
          </w:p>
        </w:tc>
        <w:tc>
          <w:tcPr>
            <w:tcW w:w="880" w:type="dxa"/>
            <w:vAlign w:val="bottom"/>
            <w:tcBorders>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2,906</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0.6</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1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International Networks</w:t>
            </w:r>
          </w:p>
        </w:tc>
        <w:tc>
          <w:tcPr>
            <w:tcW w:w="9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1,162</w:t>
            </w:r>
          </w:p>
        </w:tc>
        <w:tc>
          <w:tcPr>
            <w:tcW w:w="880" w:type="dxa"/>
            <w:vAlign w:val="bottom"/>
            <w:tcBorders>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1,021</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13.9</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16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Other</w:t>
            </w:r>
          </w:p>
        </w:tc>
        <w:tc>
          <w:tcPr>
            <w:tcW w:w="900" w:type="dxa"/>
            <w:vAlign w:val="bottom"/>
            <w:tcBorders>
              <w:bottom w:val="single" w:sz="8" w:color="auto"/>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470</w:t>
            </w:r>
          </w:p>
        </w:tc>
        <w:tc>
          <w:tcPr>
            <w:tcW w:w="880" w:type="dxa"/>
            <w:vAlign w:val="bottom"/>
            <w:tcBorders>
              <w:bottom w:val="single" w:sz="8" w:color="auto"/>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420</w:t>
            </w: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11.8</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1"/>
        </w:trPr>
        <w:tc>
          <w:tcPr>
            <w:tcW w:w="120" w:type="dxa"/>
            <w:vAlign w:val="bottom"/>
            <w:shd w:val="clear" w:color="auto" w:fill="D9D9D6"/>
          </w:tcPr>
          <w:p>
            <w:pPr>
              <w:spacing w:after="0"/>
              <w:rPr>
                <w:sz w:val="17"/>
                <w:szCs w:val="17"/>
                <w:color w:val="auto"/>
              </w:rPr>
            </w:pPr>
          </w:p>
        </w:tc>
        <w:tc>
          <w:tcPr>
            <w:tcW w:w="81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Revenue</w:t>
            </w:r>
          </w:p>
        </w:tc>
        <w:tc>
          <w:tcPr>
            <w:tcW w:w="9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$6,440</w:t>
            </w:r>
          </w:p>
        </w:tc>
        <w:tc>
          <w:tcPr>
            <w:tcW w:w="880" w:type="dxa"/>
            <w:vAlign w:val="bottom"/>
            <w:tcBorders>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b w:val="1"/>
                <w:bCs w:val="1"/>
                <w:color w:val="auto"/>
              </w:rPr>
              <w:t>$6,371</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1.1</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98"/>
        </w:trPr>
        <w:tc>
          <w:tcPr>
            <w:tcW w:w="120" w:type="dxa"/>
            <w:vAlign w:val="bottom"/>
            <w:tcBorders>
              <w:bottom w:val="single" w:sz="8" w:color="D9D9D6"/>
            </w:tcBorders>
            <w:shd w:val="clear" w:color="auto" w:fill="D9D9D6"/>
          </w:tcPr>
          <w:p>
            <w:pPr>
              <w:spacing w:after="0"/>
              <w:rPr>
                <w:sz w:val="17"/>
                <w:szCs w:val="17"/>
                <w:color w:val="auto"/>
              </w:rPr>
            </w:pPr>
          </w:p>
        </w:tc>
        <w:tc>
          <w:tcPr>
            <w:tcW w:w="816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900" w:type="dxa"/>
            <w:vAlign w:val="bottom"/>
            <w:tcBorders>
              <w:bottom w:val="single" w:sz="8" w:color="auto"/>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5,436</w:t>
            </w:r>
          </w:p>
        </w:tc>
        <w:tc>
          <w:tcPr>
            <w:tcW w:w="880" w:type="dxa"/>
            <w:vAlign w:val="bottom"/>
            <w:tcBorders>
              <w:bottom w:val="single" w:sz="8" w:color="auto"/>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5,545</w:t>
            </w: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(2.0</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36"/>
        </w:trPr>
        <w:tc>
          <w:tcPr>
            <w:tcW w:w="120" w:type="dxa"/>
            <w:vAlign w:val="bottom"/>
            <w:tcBorders>
              <w:bottom w:val="single" w:sz="8" w:color="D9D9D6"/>
            </w:tcBorders>
            <w:shd w:val="clear" w:color="auto" w:fill="D9D9D6"/>
          </w:tcPr>
          <w:p>
            <w:pPr>
              <w:spacing w:after="0"/>
              <w:rPr>
                <w:sz w:val="20"/>
                <w:szCs w:val="20"/>
                <w:color w:val="auto"/>
              </w:rPr>
            </w:pPr>
          </w:p>
        </w:tc>
        <w:tc>
          <w:tcPr>
            <w:tcW w:w="816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Adjusted EBITDA</w:t>
            </w:r>
          </w:p>
        </w:tc>
        <w:tc>
          <w:tcPr>
            <w:tcW w:w="900" w:type="dxa"/>
            <w:vAlign w:val="bottom"/>
            <w:tcBorders>
              <w:bottom w:val="single" w:sz="8" w:color="D9D9D6"/>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$1,004</w:t>
            </w:r>
          </w:p>
        </w:tc>
        <w:tc>
          <w:tcPr>
            <w:tcW w:w="880" w:type="dxa"/>
            <w:vAlign w:val="bottom"/>
            <w:tcBorders>
              <w:bottom w:val="single" w:sz="8" w:color="D9D9D6"/>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b w:val="1"/>
                <w:bCs w:val="1"/>
                <w:color w:val="auto"/>
              </w:rPr>
              <w:t>$827</w:t>
            </w:r>
          </w:p>
        </w:tc>
        <w:tc>
          <w:tcPr>
            <w:tcW w:w="860" w:type="dxa"/>
            <w:vAlign w:val="bottom"/>
            <w:tcBorders>
              <w:bottom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21.5</w:t>
            </w:r>
          </w:p>
        </w:tc>
        <w:tc>
          <w:tcPr>
            <w:tcW w:w="180" w:type="dxa"/>
            <w:vAlign w:val="bottom"/>
            <w:tcBorders>
              <w:bottom w:val="single" w:sz="8" w:color="D9D9D6"/>
            </w:tcBorders>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D9D9D6"/>
            </w:tcBorders>
            <w:shd w:val="clear" w:color="auto" w:fill="D9D9D6"/>
          </w:tcPr>
          <w:p>
            <w:pPr>
              <w:spacing w:after="0"/>
              <w:rPr>
                <w:sz w:val="20"/>
                <w:szCs w:val="20"/>
                <w:color w:val="auto"/>
              </w:rPr>
            </w:pPr>
          </w:p>
        </w:tc>
        <w:tc>
          <w:tcPr>
            <w:tcW w:w="120" w:type="dxa"/>
            <w:vAlign w:val="bottom"/>
            <w:tcBorders>
              <w:bottom w:val="single" w:sz="8" w:color="D9D9D6"/>
            </w:tcBorders>
            <w:shd w:val="clear" w:color="auto" w:fill="D9D9D6"/>
          </w:tcPr>
          <w:p>
            <w:pPr>
              <w:spacing w:after="0"/>
              <w:rPr>
                <w:sz w:val="20"/>
                <w:szCs w:val="20"/>
                <w:color w:val="auto"/>
              </w:rPr>
            </w:pPr>
          </w:p>
        </w:tc>
      </w:tr>
    </w:tbl>
    <w:p>
      <w:pPr>
        <w:spacing w:after="0" w:line="29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Media increased primarily driven by higher international networks revenue, partially offset by lower domestic advertising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Domestic advertising revenue decreased primarily due to lower revenue at our networks, partially offset by an increase in revenue at Peacock. Domestic distribution revenue was consistent primarily reflecting higher revenue at Peacock, offset by lower revenue at our networks. International networks revenue increased primarily due to an increase in revenue associated with the distribution of sports networks.</w:t>
      </w:r>
    </w:p>
    <w:p>
      <w:pPr>
        <w:spacing w:after="0" w:line="21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Media increased due to lower operating expenses and higher revenue. The decrease in operating expenses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lower sports programming costs at Peacock and our domestic television networks, mainly reflecting lower sports volumes compared to the prior year period, partially offset by higher content costs at our entertainment television networks and an increase in sports costs for our international networks. Media results include $1.2 billion of revenue and an Adjusted EBITDA</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loss of $215 million related to Peacock, compared to $1.1 billion of revenue and an Adjusted EBITDA</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loss of $639 million in the prior year period.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58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Studios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6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38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30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120" w:type="dxa"/>
            <w:vAlign w:val="bottom"/>
            <w:tcBorders>
              <w:bottom w:val="single" w:sz="8" w:color="D9D9D6"/>
            </w:tcBorders>
            <w:shd w:val="clear" w:color="auto" w:fill="D9D9D6"/>
          </w:tcPr>
          <w:p>
            <w:pPr>
              <w:spacing w:after="0"/>
              <w:rPr>
                <w:sz w:val="15"/>
                <w:szCs w:val="15"/>
                <w:color w:val="auto"/>
              </w:rPr>
            </w:pPr>
          </w:p>
        </w:tc>
        <w:tc>
          <w:tcPr>
            <w:tcW w:w="8140" w:type="dxa"/>
            <w:vAlign w:val="bottom"/>
            <w:tcBorders>
              <w:bottom w:val="single" w:sz="8" w:color="D9D9D6"/>
            </w:tcBorders>
            <w:shd w:val="clear" w:color="auto" w:fill="D9D9D6"/>
          </w:tcPr>
          <w:p>
            <w:pPr>
              <w:spacing w:after="0"/>
              <w:rPr>
                <w:sz w:val="15"/>
                <w:szCs w:val="15"/>
                <w:color w:val="auto"/>
              </w:rPr>
            </w:pPr>
          </w:p>
        </w:tc>
        <w:tc>
          <w:tcPr>
            <w:tcW w:w="56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80" w:type="dxa"/>
            <w:vAlign w:val="bottom"/>
            <w:tcBorders>
              <w:bottom w:val="single" w:sz="8" w:color="D9D9D6"/>
            </w:tcBorders>
            <w:shd w:val="clear" w:color="auto" w:fill="D9D9D6"/>
          </w:tcPr>
          <w:p>
            <w:pPr>
              <w:spacing w:after="0"/>
              <w:rPr>
                <w:sz w:val="15"/>
                <w:szCs w:val="15"/>
                <w:color w:val="auto"/>
              </w:rPr>
            </w:pPr>
          </w:p>
        </w:tc>
        <w:tc>
          <w:tcPr>
            <w:tcW w:w="720" w:type="dxa"/>
            <w:vAlign w:val="bottom"/>
            <w:tcBorders>
              <w:bottom w:val="single" w:sz="8" w:color="auto"/>
            </w:tcBorders>
            <w:gridSpan w:val="3"/>
            <w:shd w:val="clear" w:color="auto" w:fill="D9D9D6"/>
          </w:tcPr>
          <w:p>
            <w:pPr>
              <w:spacing w:after="0"/>
              <w:rPr>
                <w:sz w:val="20"/>
                <w:szCs w:val="20"/>
                <w:color w:val="auto"/>
              </w:rPr>
            </w:pPr>
            <w:r>
              <w:rPr>
                <w:rFonts w:ascii="Arial" w:cs="Arial" w:eastAsia="Arial" w:hAnsi="Arial"/>
                <w:sz w:val="14"/>
                <w:szCs w:val="14"/>
                <w:color w:val="auto"/>
                <w:w w:val="99"/>
              </w:rPr>
              <w:t>1st Quarter</w:t>
            </w:r>
          </w:p>
        </w:tc>
        <w:tc>
          <w:tcPr>
            <w:tcW w:w="240" w:type="dxa"/>
            <w:vAlign w:val="bottom"/>
            <w:tcBorders>
              <w:bottom w:val="single" w:sz="8" w:color="D9D9D6"/>
            </w:tcBorders>
            <w:shd w:val="clear" w:color="auto" w:fill="D9D9D6"/>
          </w:tcPr>
          <w:p>
            <w:pPr>
              <w:spacing w:after="0"/>
              <w:rPr>
                <w:sz w:val="15"/>
                <w:szCs w:val="15"/>
                <w:color w:val="auto"/>
              </w:rPr>
            </w:pPr>
          </w:p>
        </w:tc>
        <w:tc>
          <w:tcPr>
            <w:tcW w:w="30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D9D9D6"/>
            </w:tcBorders>
            <w:shd w:val="clear" w:color="auto" w:fill="D9D9D6"/>
          </w:tcPr>
          <w:p>
            <w:pPr>
              <w:spacing w:after="0"/>
              <w:rPr>
                <w:sz w:val="15"/>
                <w:szCs w:val="15"/>
                <w:color w:val="auto"/>
              </w:rPr>
            </w:pPr>
          </w:p>
        </w:tc>
        <w:tc>
          <w:tcPr>
            <w:tcW w:w="18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20" w:type="dxa"/>
            <w:vAlign w:val="bottom"/>
            <w:tcBorders>
              <w:bottom w:val="single" w:sz="8" w:color="D9D9D6"/>
            </w:tcBorders>
            <w:shd w:val="clear" w:color="auto" w:fill="D9D9D6"/>
          </w:tcPr>
          <w:p>
            <w:pPr>
              <w:spacing w:after="0"/>
              <w:rPr>
                <w:sz w:val="15"/>
                <w:szCs w:val="15"/>
                <w:color w:val="auto"/>
              </w:rPr>
            </w:pPr>
          </w:p>
        </w:tc>
      </w:tr>
      <w:tr>
        <w:trPr>
          <w:trHeight w:val="183"/>
        </w:trPr>
        <w:tc>
          <w:tcPr>
            <w:tcW w:w="120" w:type="dxa"/>
            <w:vAlign w:val="bottom"/>
            <w:shd w:val="clear" w:color="auto" w:fill="D9D9D6"/>
          </w:tcPr>
          <w:p>
            <w:pPr>
              <w:spacing w:after="0"/>
              <w:rPr>
                <w:sz w:val="15"/>
                <w:szCs w:val="15"/>
                <w:color w:val="auto"/>
              </w:rPr>
            </w:pPr>
          </w:p>
        </w:tc>
        <w:tc>
          <w:tcPr>
            <w:tcW w:w="8140" w:type="dxa"/>
            <w:vAlign w:val="bottom"/>
            <w:shd w:val="clear" w:color="auto" w:fill="D9D9D6"/>
          </w:tcPr>
          <w:p>
            <w:pPr>
              <w:spacing w:after="0"/>
              <w:rPr>
                <w:sz w:val="15"/>
                <w:szCs w:val="15"/>
                <w:color w:val="auto"/>
              </w:rPr>
            </w:pP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2025</w:t>
            </w:r>
          </w:p>
        </w:tc>
        <w:tc>
          <w:tcPr>
            <w:tcW w:w="9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240" w:type="dxa"/>
            <w:vAlign w:val="bottom"/>
            <w:shd w:val="clear" w:color="auto" w:fill="D9D9D6"/>
          </w:tcPr>
          <w:p>
            <w:pPr>
              <w:spacing w:after="0"/>
              <w:rPr>
                <w:sz w:val="15"/>
                <w:szCs w:val="15"/>
                <w:color w:val="auto"/>
              </w:rPr>
            </w:pPr>
          </w:p>
        </w:tc>
        <w:tc>
          <w:tcPr>
            <w:tcW w:w="940" w:type="dxa"/>
            <w:vAlign w:val="bottom"/>
            <w:gridSpan w:val="5"/>
            <w:shd w:val="clear" w:color="auto" w:fill="D9D9D6"/>
          </w:tcPr>
          <w:p>
            <w:pPr>
              <w:ind w:left="300"/>
              <w:spacing w:after="0"/>
              <w:rPr>
                <w:sz w:val="20"/>
                <w:szCs w:val="20"/>
                <w:color w:val="auto"/>
              </w:rPr>
            </w:pPr>
            <w:r>
              <w:rPr>
                <w:rFonts w:ascii="Arial" w:cs="Arial" w:eastAsia="Arial" w:hAnsi="Arial"/>
                <w:sz w:val="14"/>
                <w:szCs w:val="14"/>
                <w:color w:val="auto"/>
              </w:rPr>
              <w:t>Change</w:t>
            </w: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81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56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80" w:type="dxa"/>
            <w:vAlign w:val="bottom"/>
            <w:tcBorders>
              <w:top w:val="single" w:sz="8" w:color="D9D9D6"/>
            </w:tcBorders>
            <w:shd w:val="clear" w:color="auto" w:fill="D9D9D6"/>
          </w:tcPr>
          <w:p>
            <w:pPr>
              <w:spacing w:after="0"/>
              <w:rPr>
                <w:sz w:val="19"/>
                <w:szCs w:val="19"/>
                <w:color w:val="auto"/>
              </w:rPr>
            </w:pPr>
          </w:p>
        </w:tc>
        <w:tc>
          <w:tcPr>
            <w:tcW w:w="38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240" w:type="dxa"/>
            <w:vAlign w:val="bottom"/>
            <w:tcBorders>
              <w:top w:val="single" w:sz="8" w:color="D9D9D6"/>
            </w:tcBorders>
            <w:shd w:val="clear" w:color="auto" w:fill="D9D9D6"/>
          </w:tcPr>
          <w:p>
            <w:pPr>
              <w:spacing w:after="0"/>
              <w:rPr>
                <w:sz w:val="19"/>
                <w:szCs w:val="19"/>
                <w:color w:val="auto"/>
              </w:rPr>
            </w:pPr>
          </w:p>
        </w:tc>
        <w:tc>
          <w:tcPr>
            <w:tcW w:w="30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7"/>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Content Licensing</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$2,174</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$2,101</w:t>
            </w:r>
          </w:p>
        </w:tc>
        <w:tc>
          <w:tcPr>
            <w:tcW w:w="20" w:type="dxa"/>
            <w:vAlign w:val="bottom"/>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3.5 %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Theatrical</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286</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330</w:t>
            </w:r>
          </w:p>
        </w:tc>
        <w:tc>
          <w:tcPr>
            <w:tcW w:w="20" w:type="dxa"/>
            <w:vAlign w:val="bottom"/>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(13.3 %)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1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366</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312</w:t>
            </w:r>
          </w:p>
        </w:tc>
        <w:tc>
          <w:tcPr>
            <w:tcW w:w="20" w:type="dxa"/>
            <w:vAlign w:val="bottom"/>
            <w:tcBorders>
              <w:bottom w:val="single" w:sz="8" w:color="auto"/>
            </w:tcBorders>
            <w:shd w:val="clear" w:color="auto" w:fill="D9D9D6"/>
          </w:tcPr>
          <w:p>
            <w:pPr>
              <w:spacing w:after="0"/>
              <w:rPr>
                <w:sz w:val="17"/>
                <w:szCs w:val="17"/>
                <w:color w:val="auto"/>
              </w:rPr>
            </w:pPr>
          </w:p>
        </w:tc>
        <w:tc>
          <w:tcPr>
            <w:tcW w:w="240" w:type="dxa"/>
            <w:vAlign w:val="bottom"/>
            <w:tcBorders>
              <w:bottom w:val="single" w:sz="8" w:color="auto"/>
            </w:tcBorders>
            <w:shd w:val="clear" w:color="auto" w:fill="D9D9D6"/>
          </w:tcPr>
          <w:p>
            <w:pPr>
              <w:spacing w:after="0"/>
              <w:rPr>
                <w:sz w:val="17"/>
                <w:szCs w:val="17"/>
                <w:color w:val="auto"/>
              </w:rPr>
            </w:pPr>
          </w:p>
        </w:tc>
        <w:tc>
          <w:tcPr>
            <w:tcW w:w="80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17.5 %</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Revenue</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$2,826</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$2,743</w:t>
            </w:r>
          </w:p>
        </w:tc>
        <w:tc>
          <w:tcPr>
            <w:tcW w:w="20" w:type="dxa"/>
            <w:vAlign w:val="bottom"/>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3.0 %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98"/>
        </w:trPr>
        <w:tc>
          <w:tcPr>
            <w:tcW w:w="120" w:type="dxa"/>
            <w:vAlign w:val="bottom"/>
            <w:tcBorders>
              <w:bottom w:val="single" w:sz="8" w:color="D9D9D6"/>
            </w:tcBorders>
            <w:shd w:val="clear" w:color="auto" w:fill="D9D9D6"/>
          </w:tcPr>
          <w:p>
            <w:pPr>
              <w:spacing w:after="0"/>
              <w:rPr>
                <w:sz w:val="17"/>
                <w:szCs w:val="17"/>
                <w:color w:val="auto"/>
              </w:rPr>
            </w:pPr>
          </w:p>
        </w:tc>
        <w:tc>
          <w:tcPr>
            <w:tcW w:w="81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88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2,528</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2,499</w:t>
            </w:r>
          </w:p>
        </w:tc>
        <w:tc>
          <w:tcPr>
            <w:tcW w:w="20" w:type="dxa"/>
            <w:vAlign w:val="bottom"/>
            <w:tcBorders>
              <w:bottom w:val="single" w:sz="8" w:color="auto"/>
            </w:tcBorders>
            <w:shd w:val="clear" w:color="auto" w:fill="D9D9D6"/>
          </w:tcPr>
          <w:p>
            <w:pPr>
              <w:spacing w:after="0"/>
              <w:rPr>
                <w:sz w:val="17"/>
                <w:szCs w:val="17"/>
                <w:color w:val="auto"/>
              </w:rPr>
            </w:pPr>
          </w:p>
        </w:tc>
        <w:tc>
          <w:tcPr>
            <w:tcW w:w="240" w:type="dxa"/>
            <w:vAlign w:val="bottom"/>
            <w:tcBorders>
              <w:bottom w:val="single" w:sz="8" w:color="auto"/>
            </w:tcBorders>
            <w:shd w:val="clear" w:color="auto" w:fill="D9D9D6"/>
          </w:tcPr>
          <w:p>
            <w:pPr>
              <w:spacing w:after="0"/>
              <w:rPr>
                <w:sz w:val="17"/>
                <w:szCs w:val="17"/>
                <w:color w:val="auto"/>
              </w:rPr>
            </w:pPr>
          </w:p>
        </w:tc>
        <w:tc>
          <w:tcPr>
            <w:tcW w:w="62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1.2</w:t>
            </w:r>
          </w:p>
        </w:tc>
        <w:tc>
          <w:tcPr>
            <w:tcW w:w="18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Adjusted EBITDA</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$298</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$244</w:t>
            </w:r>
          </w:p>
        </w:tc>
        <w:tc>
          <w:tcPr>
            <w:tcW w:w="20" w:type="dxa"/>
            <w:vAlign w:val="bottom"/>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6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22.3</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79"/>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56"/>
        </w:trPr>
        <w:tc>
          <w:tcPr>
            <w:tcW w:w="120" w:type="dxa"/>
            <w:vAlign w:val="bottom"/>
            <w:shd w:val="clear" w:color="auto" w:fill="D9D9D6"/>
          </w:tcPr>
          <w:p>
            <w:pPr>
              <w:spacing w:after="0"/>
              <w:rPr>
                <w:sz w:val="4"/>
                <w:szCs w:val="4"/>
                <w:color w:val="auto"/>
              </w:rPr>
            </w:pPr>
          </w:p>
        </w:tc>
        <w:tc>
          <w:tcPr>
            <w:tcW w:w="8140" w:type="dxa"/>
            <w:vAlign w:val="bottom"/>
            <w:shd w:val="clear" w:color="auto" w:fill="D9D9D6"/>
          </w:tcPr>
          <w:p>
            <w:pPr>
              <w:spacing w:after="0"/>
              <w:rPr>
                <w:sz w:val="4"/>
                <w:szCs w:val="4"/>
                <w:color w:val="auto"/>
              </w:rPr>
            </w:pPr>
          </w:p>
        </w:tc>
        <w:tc>
          <w:tcPr>
            <w:tcW w:w="56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38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240" w:type="dxa"/>
            <w:vAlign w:val="bottom"/>
            <w:shd w:val="clear" w:color="auto" w:fill="D9D9D6"/>
          </w:tcPr>
          <w:p>
            <w:pPr>
              <w:spacing w:after="0"/>
              <w:rPr>
                <w:sz w:val="4"/>
                <w:szCs w:val="4"/>
                <w:color w:val="auto"/>
              </w:rPr>
            </w:pPr>
          </w:p>
        </w:tc>
        <w:tc>
          <w:tcPr>
            <w:tcW w:w="30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r>
    </w:tbl>
    <w:p>
      <w:pPr>
        <w:spacing w:after="0" w:line="3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Studios increased due to higher content licensing and other revenue, partially offset by lower theatrical revenue. Content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licensing revenue increased primarily due to the timing of when content was made available by our film and television studios. Other revenue increased primarily driven by digital sales of </w:t>
      </w:r>
      <w:r>
        <w:rPr>
          <w:rFonts w:ascii="Arial" w:cs="Arial" w:eastAsia="Arial" w:hAnsi="Arial"/>
          <w:sz w:val="18"/>
          <w:szCs w:val="18"/>
          <w:i w:val="1"/>
          <w:iCs w:val="1"/>
          <w:color w:val="auto"/>
        </w:rPr>
        <w:t>Wicked</w:t>
      </w:r>
      <w:r>
        <w:rPr>
          <w:rFonts w:ascii="Arial" w:cs="Arial" w:eastAsia="Arial" w:hAnsi="Arial"/>
          <w:sz w:val="18"/>
          <w:szCs w:val="18"/>
          <w:color w:val="auto"/>
        </w:rPr>
        <w:t xml:space="preserve">. Theatrical revenue decreased primarily due to higher revenue from releases in the prior year period, including </w:t>
      </w:r>
      <w:r>
        <w:rPr>
          <w:rFonts w:ascii="Arial" w:cs="Arial" w:eastAsia="Arial" w:hAnsi="Arial"/>
          <w:sz w:val="18"/>
          <w:szCs w:val="18"/>
          <w:i w:val="1"/>
          <w:iCs w:val="1"/>
          <w:color w:val="auto"/>
        </w:rPr>
        <w:t>Kung Fu Panda 4</w:t>
      </w:r>
      <w:r>
        <w:rPr>
          <w:rFonts w:ascii="Arial" w:cs="Arial" w:eastAsia="Arial" w:hAnsi="Arial"/>
          <w:sz w:val="18"/>
          <w:szCs w:val="18"/>
          <w:color w:val="auto"/>
        </w:rPr>
        <w:t xml:space="preserve"> and </w:t>
      </w:r>
      <w:r>
        <w:rPr>
          <w:rFonts w:ascii="Arial" w:cs="Arial" w:eastAsia="Arial" w:hAnsi="Arial"/>
          <w:sz w:val="18"/>
          <w:szCs w:val="18"/>
          <w:i w:val="1"/>
          <w:iCs w:val="1"/>
          <w:color w:val="auto"/>
        </w:rPr>
        <w:t>Migration</w:t>
      </w:r>
      <w:r>
        <w:rPr>
          <w:rFonts w:ascii="Arial" w:cs="Arial" w:eastAsia="Arial" w:hAnsi="Arial"/>
          <w:sz w:val="18"/>
          <w:szCs w:val="18"/>
          <w:color w:val="auto"/>
        </w:rPr>
        <w:t xml:space="preserve">, compared to releases in the current quarter, including </w:t>
      </w:r>
      <w:r>
        <w:rPr>
          <w:rFonts w:ascii="Arial" w:cs="Arial" w:eastAsia="Arial" w:hAnsi="Arial"/>
          <w:sz w:val="18"/>
          <w:szCs w:val="18"/>
          <w:i w:val="1"/>
          <w:iCs w:val="1"/>
          <w:color w:val="auto"/>
        </w:rPr>
        <w:t>Dog Man</w:t>
      </w:r>
      <w:r>
        <w:rPr>
          <w:rFonts w:ascii="Arial" w:cs="Arial" w:eastAsia="Arial" w:hAnsi="Arial"/>
          <w:sz w:val="18"/>
          <w:szCs w:val="18"/>
          <w:color w:val="auto"/>
        </w:rPr>
        <w:t xml:space="preserve">, as well as the carryover benefit of </w:t>
      </w:r>
      <w:r>
        <w:rPr>
          <w:rFonts w:ascii="Arial" w:cs="Arial" w:eastAsia="Arial" w:hAnsi="Arial"/>
          <w:sz w:val="18"/>
          <w:szCs w:val="18"/>
          <w:i w:val="1"/>
          <w:iCs w:val="1"/>
          <w:color w:val="auto"/>
        </w:rPr>
        <w:t>Wicked</w:t>
      </w:r>
      <w:r>
        <w:rPr>
          <w:rFonts w:ascii="Arial" w:cs="Arial" w:eastAsia="Arial" w:hAnsi="Arial"/>
          <w:sz w:val="18"/>
          <w:szCs w:val="18"/>
          <w:color w:val="auto"/>
        </w:rPr>
        <w:t xml:space="preserve"> and </w:t>
      </w:r>
      <w:r>
        <w:rPr>
          <w:rFonts w:ascii="Arial" w:cs="Arial" w:eastAsia="Arial" w:hAnsi="Arial"/>
          <w:sz w:val="18"/>
          <w:szCs w:val="18"/>
          <w:i w:val="1"/>
          <w:iCs w:val="1"/>
          <w:color w:val="auto"/>
        </w:rPr>
        <w:t>Nosferatu</w:t>
      </w:r>
      <w:r>
        <w:rPr>
          <w:rFonts w:ascii="Arial" w:cs="Arial" w:eastAsia="Arial" w:hAnsi="Arial"/>
          <w:sz w:val="18"/>
          <w:szCs w:val="18"/>
          <w:color w:val="auto"/>
        </w:rPr>
        <w:t>.</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Studios increased due to higher revenue, which more than offset higher operating expenses. Programming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expenses increased, mainly driven by higher costs associated with content licensing sales this quarter compared to the prior year period. Marketing and promotion expenses decreased due to the timing of spending on recent and upcoming theatrical film releases.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 w:type="dxa"/>
            <w:vAlign w:val="bottom"/>
            <w:shd w:val="clear" w:color="auto" w:fill="D9D9D6"/>
          </w:tcPr>
          <w:p>
            <w:pPr>
              <w:spacing w:after="0"/>
              <w:rPr>
                <w:sz w:val="19"/>
                <w:szCs w:val="19"/>
                <w:color w:val="auto"/>
              </w:rPr>
            </w:pPr>
          </w:p>
        </w:tc>
        <w:tc>
          <w:tcPr>
            <w:tcW w:w="822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40" w:type="dxa"/>
            <w:vAlign w:val="bottom"/>
            <w:shd w:val="clear" w:color="auto" w:fill="D9D9D6"/>
          </w:tcPr>
          <w:p>
            <w:pPr>
              <w:spacing w:after="0"/>
              <w:rPr>
                <w:sz w:val="19"/>
                <w:szCs w:val="19"/>
                <w:color w:val="auto"/>
              </w:rPr>
            </w:pPr>
          </w:p>
        </w:tc>
        <w:tc>
          <w:tcPr>
            <w:tcW w:w="340" w:type="dxa"/>
            <w:vAlign w:val="bottom"/>
            <w:tcBorders>
              <w:right w:val="single" w:sz="8" w:color="D9D9D6"/>
            </w:tcBorders>
            <w:shd w:val="clear" w:color="auto" w:fill="D9D9D6"/>
          </w:tcPr>
          <w:p>
            <w:pPr>
              <w:spacing w:after="0"/>
              <w:rPr>
                <w:sz w:val="19"/>
                <w:szCs w:val="19"/>
                <w:color w:val="auto"/>
              </w:rPr>
            </w:pPr>
          </w:p>
        </w:tc>
        <w:tc>
          <w:tcPr>
            <w:tcW w:w="160" w:type="dxa"/>
            <w:vAlign w:val="bottom"/>
            <w:shd w:val="clear" w:color="auto" w:fill="D9D9D6"/>
          </w:tcPr>
          <w:p>
            <w:pPr>
              <w:spacing w:after="0"/>
              <w:rPr>
                <w:sz w:val="19"/>
                <w:szCs w:val="19"/>
                <w:color w:val="auto"/>
              </w:rPr>
            </w:pPr>
          </w:p>
        </w:tc>
        <w:tc>
          <w:tcPr>
            <w:tcW w:w="380" w:type="dxa"/>
            <w:vAlign w:val="bottom"/>
            <w:shd w:val="clear" w:color="auto" w:fill="D9D9D6"/>
          </w:tcPr>
          <w:p>
            <w:pPr>
              <w:spacing w:after="0"/>
              <w:rPr>
                <w:sz w:val="19"/>
                <w:szCs w:val="19"/>
                <w:color w:val="auto"/>
              </w:rPr>
            </w:pPr>
          </w:p>
        </w:tc>
        <w:tc>
          <w:tcPr>
            <w:tcW w:w="340" w:type="dxa"/>
            <w:vAlign w:val="bottom"/>
            <w:tcBorders>
              <w:right w:val="single" w:sz="8" w:color="D9D9D6"/>
            </w:tcBorders>
            <w:shd w:val="clear" w:color="auto" w:fill="D9D9D6"/>
          </w:tcPr>
          <w:p>
            <w:pPr>
              <w:spacing w:after="0"/>
              <w:rPr>
                <w:sz w:val="19"/>
                <w:szCs w:val="19"/>
                <w:color w:val="auto"/>
              </w:rPr>
            </w:pPr>
          </w:p>
        </w:tc>
        <w:tc>
          <w:tcPr>
            <w:tcW w:w="240" w:type="dxa"/>
            <w:vAlign w:val="bottom"/>
            <w:shd w:val="clear" w:color="auto" w:fill="D9D9D6"/>
          </w:tcPr>
          <w:p>
            <w:pPr>
              <w:spacing w:after="0"/>
              <w:rPr>
                <w:sz w:val="19"/>
                <w:szCs w:val="19"/>
                <w:color w:val="auto"/>
              </w:rPr>
            </w:pPr>
          </w:p>
        </w:tc>
        <w:tc>
          <w:tcPr>
            <w:tcW w:w="300" w:type="dxa"/>
            <w:vAlign w:val="bottom"/>
            <w:shd w:val="clear" w:color="auto" w:fill="D9D9D6"/>
          </w:tcPr>
          <w:p>
            <w:pPr>
              <w:spacing w:after="0"/>
              <w:rPr>
                <w:sz w:val="19"/>
                <w:szCs w:val="19"/>
                <w:color w:val="auto"/>
              </w:rPr>
            </w:pPr>
          </w:p>
        </w:tc>
        <w:tc>
          <w:tcPr>
            <w:tcW w:w="520" w:type="dxa"/>
            <w:vAlign w:val="bottom"/>
            <w:tcBorders>
              <w:right w:val="single" w:sz="8" w:color="D9D9D6"/>
            </w:tcBorders>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r>
      <w:tr>
        <w:trPr>
          <w:trHeight w:val="223"/>
        </w:trPr>
        <w:tc>
          <w:tcPr>
            <w:tcW w:w="100" w:type="dxa"/>
            <w:vAlign w:val="bottom"/>
            <w:shd w:val="clear" w:color="auto" w:fill="D9D9D6"/>
          </w:tcPr>
          <w:p>
            <w:pPr>
              <w:spacing w:after="0"/>
              <w:rPr>
                <w:sz w:val="19"/>
                <w:szCs w:val="19"/>
                <w:color w:val="auto"/>
              </w:rPr>
            </w:pPr>
          </w:p>
        </w:tc>
        <w:tc>
          <w:tcPr>
            <w:tcW w:w="8220" w:type="dxa"/>
            <w:vAlign w:val="bottom"/>
            <w:shd w:val="clear" w:color="auto" w:fill="D9D9D6"/>
          </w:tcPr>
          <w:p>
            <w:pPr>
              <w:spacing w:after="0"/>
              <w:rPr>
                <w:sz w:val="19"/>
                <w:szCs w:val="19"/>
                <w:color w:val="auto"/>
              </w:rPr>
            </w:pPr>
          </w:p>
        </w:tc>
        <w:tc>
          <w:tcPr>
            <w:tcW w:w="540" w:type="dxa"/>
            <w:vAlign w:val="bottom"/>
            <w:shd w:val="clear" w:color="auto" w:fill="D9D9D6"/>
          </w:tcPr>
          <w:p>
            <w:pPr>
              <w:spacing w:after="0"/>
              <w:rPr>
                <w:sz w:val="19"/>
                <w:szCs w:val="19"/>
                <w:color w:val="auto"/>
              </w:rPr>
            </w:pPr>
          </w:p>
        </w:tc>
        <w:tc>
          <w:tcPr>
            <w:tcW w:w="340" w:type="dxa"/>
            <w:vAlign w:val="bottom"/>
            <w:tcBorders>
              <w:right w:val="single" w:sz="8" w:color="D9D9D6"/>
            </w:tcBorders>
            <w:shd w:val="clear" w:color="auto" w:fill="D9D9D6"/>
          </w:tcPr>
          <w:p>
            <w:pPr>
              <w:spacing w:after="0"/>
              <w:rPr>
                <w:sz w:val="19"/>
                <w:szCs w:val="19"/>
                <w:color w:val="auto"/>
              </w:rPr>
            </w:pPr>
          </w:p>
        </w:tc>
        <w:tc>
          <w:tcPr>
            <w:tcW w:w="160" w:type="dxa"/>
            <w:vAlign w:val="bottom"/>
            <w:shd w:val="clear" w:color="auto" w:fill="D9D9D6"/>
          </w:tcPr>
          <w:p>
            <w:pPr>
              <w:spacing w:after="0"/>
              <w:rPr>
                <w:sz w:val="19"/>
                <w:szCs w:val="19"/>
                <w:color w:val="auto"/>
              </w:rPr>
            </w:pPr>
          </w:p>
        </w:tc>
        <w:tc>
          <w:tcPr>
            <w:tcW w:w="960" w:type="dxa"/>
            <w:vAlign w:val="bottom"/>
            <w:gridSpan w:val="3"/>
            <w:shd w:val="clear" w:color="auto" w:fill="D9D9D6"/>
          </w:tcPr>
          <w:p>
            <w:pPr>
              <w:spacing w:after="0"/>
              <w:rPr>
                <w:sz w:val="20"/>
                <w:szCs w:val="20"/>
                <w:color w:val="auto"/>
              </w:rPr>
            </w:pPr>
            <w:r>
              <w:rPr>
                <w:rFonts w:ascii="Arial" w:cs="Arial" w:eastAsia="Arial" w:hAnsi="Arial"/>
                <w:sz w:val="14"/>
                <w:szCs w:val="14"/>
                <w:color w:val="auto"/>
              </w:rPr>
              <w:t>1st Quarter</w:t>
            </w:r>
          </w:p>
        </w:tc>
        <w:tc>
          <w:tcPr>
            <w:tcW w:w="300" w:type="dxa"/>
            <w:vAlign w:val="bottom"/>
            <w:shd w:val="clear" w:color="auto" w:fill="D9D9D6"/>
          </w:tcPr>
          <w:p>
            <w:pPr>
              <w:spacing w:after="0"/>
              <w:rPr>
                <w:sz w:val="19"/>
                <w:szCs w:val="19"/>
                <w:color w:val="auto"/>
              </w:rPr>
            </w:pPr>
          </w:p>
        </w:tc>
        <w:tc>
          <w:tcPr>
            <w:tcW w:w="520" w:type="dxa"/>
            <w:vAlign w:val="bottom"/>
            <w:tcBorders>
              <w:right w:val="single" w:sz="8" w:color="D9D9D6"/>
            </w:tcBorders>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r>
      <w:tr>
        <w:trPr>
          <w:trHeight w:val="182"/>
        </w:trPr>
        <w:tc>
          <w:tcPr>
            <w:tcW w:w="100" w:type="dxa"/>
            <w:vAlign w:val="bottom"/>
            <w:tcBorders>
              <w:top w:val="single" w:sz="8" w:color="D9D9D6"/>
            </w:tcBorders>
            <w:shd w:val="clear" w:color="auto" w:fill="D9D9D6"/>
          </w:tcPr>
          <w:p>
            <w:pPr>
              <w:spacing w:after="0"/>
              <w:rPr>
                <w:sz w:val="15"/>
                <w:szCs w:val="15"/>
                <w:color w:val="auto"/>
              </w:rPr>
            </w:pPr>
          </w:p>
        </w:tc>
        <w:tc>
          <w:tcPr>
            <w:tcW w:w="8220" w:type="dxa"/>
            <w:vAlign w:val="bottom"/>
            <w:tcBorders>
              <w:top w:val="single" w:sz="8" w:color="D9D9D6"/>
            </w:tcBorders>
            <w:shd w:val="clear" w:color="auto" w:fill="D9D9D6"/>
          </w:tcPr>
          <w:p>
            <w:pPr>
              <w:spacing w:after="0"/>
              <w:rPr>
                <w:sz w:val="15"/>
                <w:szCs w:val="15"/>
                <w:color w:val="auto"/>
              </w:rPr>
            </w:pPr>
          </w:p>
        </w:tc>
        <w:tc>
          <w:tcPr>
            <w:tcW w:w="540" w:type="dxa"/>
            <w:vAlign w:val="bottom"/>
            <w:tcBorders>
              <w:top w:val="single" w:sz="8" w:color="D9D9D6"/>
            </w:tcBorders>
            <w:shd w:val="clear" w:color="auto" w:fill="D9D9D6"/>
          </w:tcPr>
          <w:p>
            <w:pPr>
              <w:spacing w:after="0"/>
              <w:rPr>
                <w:sz w:val="15"/>
                <w:szCs w:val="15"/>
                <w:color w:val="auto"/>
              </w:rPr>
            </w:pPr>
          </w:p>
        </w:tc>
        <w:tc>
          <w:tcPr>
            <w:tcW w:w="340" w:type="dxa"/>
            <w:vAlign w:val="bottom"/>
            <w:tcBorders>
              <w:top w:val="single" w:sz="8" w:color="D9D9D6"/>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96"/>
              </w:rPr>
              <w:t>2025</w:t>
            </w:r>
          </w:p>
        </w:tc>
        <w:tc>
          <w:tcPr>
            <w:tcW w:w="160" w:type="dxa"/>
            <w:vAlign w:val="bottom"/>
            <w:tcBorders>
              <w:top w:val="single" w:sz="8" w:color="D9D9D6"/>
            </w:tcBorders>
            <w:shd w:val="clear" w:color="auto" w:fill="D9D9D6"/>
          </w:tcPr>
          <w:p>
            <w:pPr>
              <w:spacing w:after="0"/>
              <w:rPr>
                <w:sz w:val="15"/>
                <w:szCs w:val="15"/>
                <w:color w:val="auto"/>
              </w:rPr>
            </w:pPr>
          </w:p>
        </w:tc>
        <w:tc>
          <w:tcPr>
            <w:tcW w:w="720" w:type="dxa"/>
            <w:vAlign w:val="bottom"/>
            <w:tcBorders>
              <w:top w:val="single" w:sz="8" w:color="auto"/>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240" w:type="dxa"/>
            <w:vAlign w:val="bottom"/>
            <w:tcBorders>
              <w:top w:val="single" w:sz="8" w:color="D9D9D6"/>
            </w:tcBorders>
            <w:shd w:val="clear" w:color="auto" w:fill="D9D9D6"/>
          </w:tcPr>
          <w:p>
            <w:pPr>
              <w:spacing w:after="0"/>
              <w:rPr>
                <w:sz w:val="15"/>
                <w:szCs w:val="15"/>
                <w:color w:val="auto"/>
              </w:rPr>
            </w:pPr>
          </w:p>
        </w:tc>
        <w:tc>
          <w:tcPr>
            <w:tcW w:w="300" w:type="dxa"/>
            <w:vAlign w:val="bottom"/>
            <w:tcBorders>
              <w:top w:val="single" w:sz="8" w:color="D9D9D6"/>
            </w:tcBorders>
            <w:shd w:val="clear" w:color="auto" w:fill="D9D9D6"/>
          </w:tcPr>
          <w:p>
            <w:pPr>
              <w:spacing w:after="0"/>
              <w:rPr>
                <w:sz w:val="15"/>
                <w:szCs w:val="15"/>
                <w:color w:val="auto"/>
              </w:rPr>
            </w:pPr>
          </w:p>
        </w:tc>
        <w:tc>
          <w:tcPr>
            <w:tcW w:w="620" w:type="dxa"/>
            <w:vAlign w:val="bottom"/>
            <w:tcBorders>
              <w:top w:val="single" w:sz="8" w:color="D9D9D6"/>
            </w:tcBorders>
            <w:gridSpan w:val="2"/>
            <w:shd w:val="clear" w:color="auto" w:fill="D9D9D6"/>
          </w:tcPr>
          <w:p>
            <w:pPr>
              <w:spacing w:after="0"/>
              <w:rPr>
                <w:sz w:val="20"/>
                <w:szCs w:val="20"/>
                <w:color w:val="auto"/>
              </w:rPr>
            </w:pPr>
            <w:r>
              <w:rPr>
                <w:rFonts w:ascii="Arial" w:cs="Arial" w:eastAsia="Arial" w:hAnsi="Arial"/>
                <w:sz w:val="14"/>
                <w:szCs w:val="14"/>
                <w:color w:val="auto"/>
              </w:rPr>
              <w:t>Change</w:t>
            </w:r>
          </w:p>
        </w:tc>
      </w:tr>
      <w:tr>
        <w:trPr>
          <w:trHeight w:val="20"/>
        </w:trPr>
        <w:tc>
          <w:tcPr>
            <w:tcW w:w="100" w:type="dxa"/>
            <w:vAlign w:val="bottom"/>
            <w:shd w:val="clear" w:color="auto" w:fill="D9D9D6"/>
          </w:tcPr>
          <w:p>
            <w:pPr>
              <w:spacing w:after="0" w:line="20" w:lineRule="exact"/>
              <w:rPr>
                <w:sz w:val="1"/>
                <w:szCs w:val="1"/>
                <w:color w:val="auto"/>
              </w:rPr>
            </w:pPr>
          </w:p>
        </w:tc>
        <w:tc>
          <w:tcPr>
            <w:tcW w:w="8220" w:type="dxa"/>
            <w:vAlign w:val="bottom"/>
            <w:shd w:val="clear" w:color="auto" w:fill="D9D9D6"/>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38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240" w:type="dxa"/>
            <w:vAlign w:val="bottom"/>
            <w:shd w:val="clear" w:color="auto" w:fill="D9D9D6"/>
          </w:tcPr>
          <w:p>
            <w:pPr>
              <w:spacing w:after="0" w:line="20" w:lineRule="exact"/>
              <w:rPr>
                <w:sz w:val="1"/>
                <w:szCs w:val="1"/>
                <w:color w:val="auto"/>
              </w:rPr>
            </w:pPr>
          </w:p>
        </w:tc>
        <w:tc>
          <w:tcPr>
            <w:tcW w:w="300" w:type="dxa"/>
            <w:vAlign w:val="bottom"/>
            <w:shd w:val="clear" w:color="auto" w:fill="D9D9D6"/>
          </w:tcPr>
          <w:p>
            <w:pPr>
              <w:spacing w:after="0" w:line="20" w:lineRule="exact"/>
              <w:rPr>
                <w:sz w:val="1"/>
                <w:szCs w:val="1"/>
                <w:color w:val="auto"/>
              </w:rPr>
            </w:pPr>
          </w:p>
        </w:tc>
        <w:tc>
          <w:tcPr>
            <w:tcW w:w="520" w:type="dxa"/>
            <w:vAlign w:val="bottom"/>
            <w:tcBorders>
              <w:right w:val="single" w:sz="8" w:color="D9D9D6"/>
            </w:tcBorders>
            <w:shd w:val="clear" w:color="auto" w:fill="000000"/>
          </w:tcPr>
          <w:p>
            <w:pPr>
              <w:spacing w:after="0" w:line="20" w:lineRule="exact"/>
              <w:rPr>
                <w:sz w:val="1"/>
                <w:szCs w:val="1"/>
                <w:color w:val="auto"/>
              </w:rPr>
            </w:pPr>
          </w:p>
        </w:tc>
        <w:tc>
          <w:tcPr>
            <w:tcW w:w="100" w:type="dxa"/>
            <w:vAlign w:val="bottom"/>
            <w:shd w:val="clear" w:color="auto" w:fill="D9D9D6"/>
          </w:tcPr>
          <w:p>
            <w:pPr>
              <w:spacing w:after="0" w:line="20" w:lineRule="exact"/>
              <w:rPr>
                <w:sz w:val="1"/>
                <w:szCs w:val="1"/>
                <w:color w:val="auto"/>
              </w:rPr>
            </w:pPr>
          </w:p>
        </w:tc>
      </w:tr>
      <w:tr>
        <w:trPr>
          <w:trHeight w:val="343"/>
        </w:trPr>
        <w:tc>
          <w:tcPr>
            <w:tcW w:w="100" w:type="dxa"/>
            <w:vAlign w:val="bottom"/>
            <w:shd w:val="clear" w:color="auto" w:fill="D9D9D6"/>
          </w:tcPr>
          <w:p>
            <w:pPr>
              <w:spacing w:after="0"/>
              <w:rPr>
                <w:sz w:val="24"/>
                <w:szCs w:val="24"/>
                <w:color w:val="auto"/>
              </w:rPr>
            </w:pPr>
          </w:p>
        </w:tc>
        <w:tc>
          <w:tcPr>
            <w:tcW w:w="82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88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$1,876</w:t>
            </w:r>
          </w:p>
        </w:tc>
        <w:tc>
          <w:tcPr>
            <w:tcW w:w="88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$1,979</w:t>
            </w:r>
          </w:p>
        </w:tc>
        <w:tc>
          <w:tcPr>
            <w:tcW w:w="240" w:type="dxa"/>
            <w:vAlign w:val="bottom"/>
            <w:shd w:val="clear" w:color="auto" w:fill="D9D9D6"/>
          </w:tcPr>
          <w:p>
            <w:pPr>
              <w:spacing w:after="0"/>
              <w:rPr>
                <w:sz w:val="24"/>
                <w:szCs w:val="24"/>
                <w:color w:val="auto"/>
              </w:rPr>
            </w:pPr>
          </w:p>
        </w:tc>
        <w:tc>
          <w:tcPr>
            <w:tcW w:w="8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(5.2 %)</w:t>
            </w:r>
          </w:p>
        </w:tc>
        <w:tc>
          <w:tcPr>
            <w:tcW w:w="100" w:type="dxa"/>
            <w:vAlign w:val="bottom"/>
            <w:shd w:val="clear" w:color="auto" w:fill="D9D9D6"/>
          </w:tcPr>
          <w:p>
            <w:pPr>
              <w:spacing w:after="0"/>
              <w:rPr>
                <w:sz w:val="24"/>
                <w:szCs w:val="24"/>
                <w:color w:val="auto"/>
              </w:rPr>
            </w:pPr>
          </w:p>
        </w:tc>
      </w:tr>
      <w:tr>
        <w:trPr>
          <w:trHeight w:val="198"/>
        </w:trPr>
        <w:tc>
          <w:tcPr>
            <w:tcW w:w="100" w:type="dxa"/>
            <w:vAlign w:val="bottom"/>
            <w:tcBorders>
              <w:bottom w:val="single" w:sz="8" w:color="D9D9D6"/>
            </w:tcBorders>
            <w:shd w:val="clear" w:color="auto" w:fill="D9D9D6"/>
          </w:tcPr>
          <w:p>
            <w:pPr>
              <w:spacing w:after="0"/>
              <w:rPr>
                <w:sz w:val="17"/>
                <w:szCs w:val="17"/>
                <w:color w:val="auto"/>
              </w:rPr>
            </w:pPr>
          </w:p>
        </w:tc>
        <w:tc>
          <w:tcPr>
            <w:tcW w:w="822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88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1,447</w:t>
            </w:r>
          </w:p>
        </w:tc>
        <w:tc>
          <w:tcPr>
            <w:tcW w:w="880" w:type="dxa"/>
            <w:vAlign w:val="bottom"/>
            <w:tcBorders>
              <w:bottom w:val="single" w:sz="8" w:color="auto"/>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1,347</w:t>
            </w:r>
          </w:p>
        </w:tc>
        <w:tc>
          <w:tcPr>
            <w:tcW w:w="240" w:type="dxa"/>
            <w:vAlign w:val="bottom"/>
            <w:tcBorders>
              <w:bottom w:val="single" w:sz="8" w:color="auto"/>
            </w:tcBorders>
            <w:shd w:val="clear" w:color="auto" w:fill="D9D9D6"/>
          </w:tcPr>
          <w:p>
            <w:pPr>
              <w:spacing w:after="0"/>
              <w:rPr>
                <w:sz w:val="17"/>
                <w:szCs w:val="17"/>
                <w:color w:val="auto"/>
              </w:rPr>
            </w:pPr>
          </w:p>
        </w:tc>
        <w:tc>
          <w:tcPr>
            <w:tcW w:w="820" w:type="dxa"/>
            <w:vAlign w:val="bottom"/>
            <w:tcBorders>
              <w:bottom w:val="single" w:sz="8" w:color="auto"/>
              <w:right w:val="single" w:sz="8" w:color="D9D9D6"/>
            </w:tcBorders>
            <w:gridSpan w:val="2"/>
            <w:shd w:val="clear" w:color="auto" w:fill="D9D9D6"/>
          </w:tcPr>
          <w:p>
            <w:pPr>
              <w:jc w:val="right"/>
              <w:ind w:right="8"/>
              <w:spacing w:after="0"/>
              <w:rPr>
                <w:sz w:val="20"/>
                <w:szCs w:val="20"/>
                <w:color w:val="auto"/>
              </w:rPr>
            </w:pPr>
            <w:r>
              <w:rPr>
                <w:rFonts w:ascii="Arial" w:cs="Arial" w:eastAsia="Arial" w:hAnsi="Arial"/>
                <w:sz w:val="14"/>
                <w:szCs w:val="14"/>
                <w:color w:val="auto"/>
              </w:rPr>
              <w:t>7.5 %</w:t>
            </w:r>
          </w:p>
        </w:tc>
        <w:tc>
          <w:tcPr>
            <w:tcW w:w="100" w:type="dxa"/>
            <w:vAlign w:val="bottom"/>
            <w:tcBorders>
              <w:bottom w:val="single" w:sz="8" w:color="D9D9D6"/>
            </w:tcBorders>
            <w:shd w:val="clear" w:color="auto" w:fill="D9D9D6"/>
          </w:tcPr>
          <w:p>
            <w:pPr>
              <w:spacing w:after="0"/>
              <w:rPr>
                <w:sz w:val="17"/>
                <w:szCs w:val="17"/>
                <w:color w:val="auto"/>
              </w:rPr>
            </w:pPr>
          </w:p>
        </w:tc>
      </w:tr>
      <w:tr>
        <w:trPr>
          <w:trHeight w:val="200"/>
        </w:trPr>
        <w:tc>
          <w:tcPr>
            <w:tcW w:w="100" w:type="dxa"/>
            <w:vAlign w:val="bottom"/>
            <w:shd w:val="clear" w:color="auto" w:fill="D9D9D6"/>
          </w:tcPr>
          <w:p>
            <w:pPr>
              <w:spacing w:after="0"/>
              <w:rPr>
                <w:sz w:val="17"/>
                <w:szCs w:val="17"/>
                <w:color w:val="auto"/>
              </w:rPr>
            </w:pPr>
          </w:p>
        </w:tc>
        <w:tc>
          <w:tcPr>
            <w:tcW w:w="822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Adjusted EBITDA</w:t>
            </w:r>
          </w:p>
        </w:tc>
        <w:tc>
          <w:tcPr>
            <w:tcW w:w="88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$429</w:t>
            </w:r>
          </w:p>
        </w:tc>
        <w:tc>
          <w:tcPr>
            <w:tcW w:w="88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$632</w:t>
            </w:r>
          </w:p>
        </w:tc>
        <w:tc>
          <w:tcPr>
            <w:tcW w:w="240" w:type="dxa"/>
            <w:vAlign w:val="bottom"/>
            <w:shd w:val="clear" w:color="auto" w:fill="D9D9D6"/>
          </w:tcPr>
          <w:p>
            <w:pPr>
              <w:spacing w:after="0"/>
              <w:rPr>
                <w:sz w:val="17"/>
                <w:szCs w:val="17"/>
                <w:color w:val="auto"/>
              </w:rPr>
            </w:pPr>
          </w:p>
        </w:tc>
        <w:tc>
          <w:tcPr>
            <w:tcW w:w="8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(32.1 %)</w:t>
            </w:r>
          </w:p>
        </w:tc>
        <w:tc>
          <w:tcPr>
            <w:tcW w:w="100" w:type="dxa"/>
            <w:vAlign w:val="bottom"/>
            <w:shd w:val="clear" w:color="auto" w:fill="D9D9D6"/>
          </w:tcPr>
          <w:p>
            <w:pPr>
              <w:spacing w:after="0"/>
              <w:rPr>
                <w:sz w:val="17"/>
                <w:szCs w:val="17"/>
                <w:color w:val="auto"/>
              </w:rPr>
            </w:pPr>
          </w:p>
        </w:tc>
      </w:tr>
      <w:tr>
        <w:trPr>
          <w:trHeight w:val="56"/>
        </w:trPr>
        <w:tc>
          <w:tcPr>
            <w:tcW w:w="100" w:type="dxa"/>
            <w:vAlign w:val="bottom"/>
            <w:shd w:val="clear" w:color="auto" w:fill="D9D9D6"/>
          </w:tcPr>
          <w:p>
            <w:pPr>
              <w:spacing w:after="0"/>
              <w:rPr>
                <w:sz w:val="4"/>
                <w:szCs w:val="4"/>
                <w:color w:val="auto"/>
              </w:rPr>
            </w:pPr>
          </w:p>
        </w:tc>
        <w:tc>
          <w:tcPr>
            <w:tcW w:w="8220" w:type="dxa"/>
            <w:vAlign w:val="bottom"/>
            <w:shd w:val="clear" w:color="auto" w:fill="D9D9D6"/>
          </w:tcPr>
          <w:p>
            <w:pPr>
              <w:spacing w:after="0"/>
              <w:rPr>
                <w:sz w:val="4"/>
                <w:szCs w:val="4"/>
                <w:color w:val="auto"/>
              </w:rPr>
            </w:pPr>
          </w:p>
        </w:tc>
        <w:tc>
          <w:tcPr>
            <w:tcW w:w="540" w:type="dxa"/>
            <w:vAlign w:val="bottom"/>
            <w:shd w:val="clear" w:color="auto" w:fill="D9D9D6"/>
          </w:tcPr>
          <w:p>
            <w:pPr>
              <w:spacing w:after="0"/>
              <w:rPr>
                <w:sz w:val="4"/>
                <w:szCs w:val="4"/>
                <w:color w:val="auto"/>
              </w:rPr>
            </w:pPr>
          </w:p>
        </w:tc>
        <w:tc>
          <w:tcPr>
            <w:tcW w:w="340" w:type="dxa"/>
            <w:vAlign w:val="bottom"/>
            <w:tcBorders>
              <w:right w:val="single" w:sz="8" w:color="D9D9D6"/>
            </w:tcBorders>
            <w:shd w:val="clear" w:color="auto" w:fill="D9D9D6"/>
          </w:tcPr>
          <w:p>
            <w:pPr>
              <w:spacing w:after="0"/>
              <w:rPr>
                <w:sz w:val="4"/>
                <w:szCs w:val="4"/>
                <w:color w:val="auto"/>
              </w:rPr>
            </w:pPr>
          </w:p>
        </w:tc>
        <w:tc>
          <w:tcPr>
            <w:tcW w:w="160" w:type="dxa"/>
            <w:vAlign w:val="bottom"/>
            <w:shd w:val="clear" w:color="auto" w:fill="D9D9D6"/>
          </w:tcPr>
          <w:p>
            <w:pPr>
              <w:spacing w:after="0"/>
              <w:rPr>
                <w:sz w:val="4"/>
                <w:szCs w:val="4"/>
                <w:color w:val="auto"/>
              </w:rPr>
            </w:pPr>
          </w:p>
        </w:tc>
        <w:tc>
          <w:tcPr>
            <w:tcW w:w="380" w:type="dxa"/>
            <w:vAlign w:val="bottom"/>
            <w:shd w:val="clear" w:color="auto" w:fill="D9D9D6"/>
          </w:tcPr>
          <w:p>
            <w:pPr>
              <w:spacing w:after="0"/>
              <w:rPr>
                <w:sz w:val="4"/>
                <w:szCs w:val="4"/>
                <w:color w:val="auto"/>
              </w:rPr>
            </w:pPr>
          </w:p>
        </w:tc>
        <w:tc>
          <w:tcPr>
            <w:tcW w:w="340" w:type="dxa"/>
            <w:vAlign w:val="bottom"/>
            <w:tcBorders>
              <w:right w:val="single" w:sz="8" w:color="D9D9D6"/>
            </w:tcBorders>
            <w:shd w:val="clear" w:color="auto" w:fill="D9D9D6"/>
          </w:tcPr>
          <w:p>
            <w:pPr>
              <w:spacing w:after="0"/>
              <w:rPr>
                <w:sz w:val="4"/>
                <w:szCs w:val="4"/>
                <w:color w:val="auto"/>
              </w:rPr>
            </w:pPr>
          </w:p>
        </w:tc>
        <w:tc>
          <w:tcPr>
            <w:tcW w:w="240" w:type="dxa"/>
            <w:vAlign w:val="bottom"/>
            <w:shd w:val="clear" w:color="auto" w:fill="D9D9D6"/>
          </w:tcPr>
          <w:p>
            <w:pPr>
              <w:spacing w:after="0"/>
              <w:rPr>
                <w:sz w:val="4"/>
                <w:szCs w:val="4"/>
                <w:color w:val="auto"/>
              </w:rPr>
            </w:pPr>
          </w:p>
        </w:tc>
        <w:tc>
          <w:tcPr>
            <w:tcW w:w="300" w:type="dxa"/>
            <w:vAlign w:val="bottom"/>
            <w:shd w:val="clear" w:color="auto" w:fill="D9D9D6"/>
          </w:tcPr>
          <w:p>
            <w:pPr>
              <w:spacing w:after="0"/>
              <w:rPr>
                <w:sz w:val="4"/>
                <w:szCs w:val="4"/>
                <w:color w:val="auto"/>
              </w:rPr>
            </w:pPr>
          </w:p>
        </w:tc>
        <w:tc>
          <w:tcPr>
            <w:tcW w:w="520" w:type="dxa"/>
            <w:vAlign w:val="bottom"/>
            <w:tcBorders>
              <w:right w:val="single" w:sz="8" w:color="D9D9D6"/>
            </w:tcBorders>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r>
    </w:tbl>
    <w:p>
      <w:pPr>
        <w:spacing w:after="0" w:line="29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Theme Parks decreased primarily due to lower revenue at our domestic theme parks, driven by lower guest attendance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the impact of the Hollywood wildfires.</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Theme Parks decreased, reflecting lower revenue and higher operating expenses, including around $100 million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pre-opening costs for Epic Universe ahead of the scheduled opening in May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&amp; 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Content &amp; Experiences Headquarters &amp; Other includes overhead, personnel costs and costs associated with corporate initiatives.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Headquarters &amp; Other Adjusted EBITDA loss in the first quarter was $255 million, compared to a loss of $243 million in the prior year period.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Amounts represent eliminations of transactions between our Content &amp; Experiences segments, the most significant being content licensing between the Studios and Media segments, which are affected by the timing of recognition of content licenses. Revenue eliminations were $ 697 million, compared to $731 million in the prior year period, and Adjusted EBITDA eliminations were a benefit of $14 million, compared to a benefit of $33 million in the prior year period.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580"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15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346075</wp:posOffset>
            </wp:positionV>
            <wp:extent cx="68580" cy="1739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73990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77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7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200" w:type="dxa"/>
            <w:vAlign w:val="bottom"/>
            <w:tcBorders>
              <w:bottom w:val="single" w:sz="8" w:color="D9D9D6"/>
            </w:tcBorders>
            <w:shd w:val="clear" w:color="auto" w:fill="D9D9D6"/>
          </w:tcPr>
          <w:p>
            <w:pPr>
              <w:spacing w:after="0"/>
              <w:rPr>
                <w:sz w:val="17"/>
                <w:szCs w:val="17"/>
                <w:color w:val="auto"/>
              </w:rPr>
            </w:pPr>
          </w:p>
        </w:tc>
        <w:tc>
          <w:tcPr>
            <w:tcW w:w="520" w:type="dxa"/>
            <w:vAlign w:val="bottom"/>
            <w:tcBorders>
              <w:bottom w:val="single" w:sz="8" w:color="D9D9D6"/>
            </w:tcBorders>
            <w:shd w:val="clear" w:color="auto" w:fill="D9D9D6"/>
          </w:tcPr>
          <w:p>
            <w:pPr>
              <w:spacing w:after="0"/>
              <w:rPr>
                <w:sz w:val="17"/>
                <w:szCs w:val="17"/>
                <w:color w:val="auto"/>
              </w:rPr>
            </w:pPr>
          </w:p>
        </w:tc>
        <w:tc>
          <w:tcPr>
            <w:tcW w:w="20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600" w:type="dxa"/>
            <w:vAlign w:val="bottom"/>
            <w:tcBorders>
              <w:bottom w:val="single" w:sz="8" w:color="D9D9D6"/>
            </w:tcBorders>
            <w:shd w:val="clear" w:color="auto" w:fill="D9D9D6"/>
          </w:tcPr>
          <w:p>
            <w:pPr>
              <w:spacing w:after="0"/>
              <w:rPr>
                <w:sz w:val="17"/>
                <w:szCs w:val="17"/>
                <w:color w:val="auto"/>
              </w:rPr>
            </w:pPr>
          </w:p>
        </w:tc>
        <w:tc>
          <w:tcPr>
            <w:tcW w:w="520" w:type="dxa"/>
            <w:vAlign w:val="bottom"/>
            <w:tcBorders>
              <w:bottom w:val="single" w:sz="8" w:color="D9D9D6"/>
              <w:right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740" w:type="dxa"/>
            <w:vAlign w:val="bottom"/>
          </w:tcPr>
          <w:p>
            <w:pPr>
              <w:spacing w:after="0"/>
              <w:rPr>
                <w:sz w:val="14"/>
                <w:szCs w:val="14"/>
                <w:color w:val="auto"/>
              </w:rPr>
            </w:pPr>
          </w:p>
        </w:tc>
        <w:tc>
          <w:tcPr>
            <w:tcW w:w="74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060" w:type="dxa"/>
            <w:vAlign w:val="bottom"/>
            <w:gridSpan w:val="5"/>
            <w:shd w:val="clear" w:color="auto" w:fill="D9D9D6"/>
          </w:tcPr>
          <w:p>
            <w:pPr>
              <w:jc w:val="right"/>
              <w:ind w:right="140"/>
              <w:spacing w:after="0"/>
              <w:rPr>
                <w:sz w:val="20"/>
                <w:szCs w:val="20"/>
                <w:color w:val="auto"/>
              </w:rPr>
            </w:pPr>
            <w:r>
              <w:rPr>
                <w:rFonts w:ascii="Arial" w:cs="Arial" w:eastAsia="Arial" w:hAnsi="Arial"/>
                <w:sz w:val="14"/>
                <w:szCs w:val="14"/>
                <w:color w:val="auto"/>
              </w:rPr>
              <w:t>1st Quarter</w:t>
            </w:r>
          </w:p>
        </w:tc>
        <w:tc>
          <w:tcPr>
            <w:tcW w:w="600" w:type="dxa"/>
            <w:vAlign w:val="bottom"/>
            <w:shd w:val="clear" w:color="auto" w:fill="D9D9D6"/>
          </w:tcPr>
          <w:p>
            <w:pPr>
              <w:spacing w:after="0"/>
              <w:rPr>
                <w:sz w:val="14"/>
                <w:szCs w:val="14"/>
                <w:color w:val="auto"/>
              </w:rPr>
            </w:pPr>
          </w:p>
        </w:tc>
        <w:tc>
          <w:tcPr>
            <w:tcW w:w="520" w:type="dxa"/>
            <w:vAlign w:val="bottom"/>
            <w:tcBorders>
              <w:right w:val="single" w:sz="8" w:color="D9D9D6"/>
            </w:tcBorders>
            <w:shd w:val="clear" w:color="auto" w:fill="D9D9D6"/>
          </w:tcPr>
          <w:p>
            <w:pPr>
              <w:spacing w:after="0"/>
              <w:rPr>
                <w:sz w:val="14"/>
                <w:szCs w:val="14"/>
                <w:color w:val="auto"/>
              </w:rPr>
            </w:pPr>
          </w:p>
        </w:tc>
        <w:tc>
          <w:tcPr>
            <w:tcW w:w="120" w:type="dxa"/>
            <w:vAlign w:val="bottom"/>
            <w:shd w:val="clear" w:color="auto" w:fill="D9D9D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74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520" w:type="dxa"/>
            <w:vAlign w:val="bottom"/>
            <w:tcBorders>
              <w:right w:val="single" w:sz="8" w:color="D9D9D6"/>
            </w:tcBorders>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tcPr>
          <w:p>
            <w:pPr>
              <w:spacing w:after="0"/>
              <w:rPr>
                <w:sz w:val="15"/>
                <w:szCs w:val="15"/>
                <w:color w:val="auto"/>
              </w:rPr>
            </w:pPr>
          </w:p>
        </w:tc>
        <w:tc>
          <w:tcPr>
            <w:tcW w:w="10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2025</w:t>
            </w:r>
          </w:p>
        </w:tc>
        <w:tc>
          <w:tcPr>
            <w:tcW w:w="200" w:type="dxa"/>
            <w:vAlign w:val="bottom"/>
            <w:shd w:val="clear" w:color="auto" w:fill="D9D9D6"/>
          </w:tcPr>
          <w:p>
            <w:pPr>
              <w:spacing w:after="0"/>
              <w:rPr>
                <w:sz w:val="15"/>
                <w:szCs w:val="15"/>
                <w:color w:val="auto"/>
              </w:rPr>
            </w:pPr>
          </w:p>
        </w:tc>
        <w:tc>
          <w:tcPr>
            <w:tcW w:w="8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1240" w:type="dxa"/>
            <w:vAlign w:val="bottom"/>
            <w:gridSpan w:val="3"/>
            <w:shd w:val="clear" w:color="auto" w:fill="D9D9D6"/>
          </w:tcPr>
          <w:p>
            <w:pPr>
              <w:ind w:left="6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1"/>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Corporate &amp; Other</w:t>
            </w:r>
          </w:p>
        </w:tc>
        <w:tc>
          <w:tcPr>
            <w:tcW w:w="7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200" w:type="dxa"/>
            <w:vAlign w:val="bottom"/>
            <w:tcBorders>
              <w:top w:val="single" w:sz="8" w:color="D9D9D6"/>
            </w:tcBorders>
            <w:shd w:val="clear" w:color="auto" w:fill="D9D9D6"/>
          </w:tcPr>
          <w:p>
            <w:pPr>
              <w:spacing w:after="0"/>
              <w:rPr>
                <w:sz w:val="19"/>
                <w:szCs w:val="19"/>
                <w:color w:val="auto"/>
              </w:rPr>
            </w:pPr>
          </w:p>
        </w:tc>
        <w:tc>
          <w:tcPr>
            <w:tcW w:w="520" w:type="dxa"/>
            <w:vAlign w:val="bottom"/>
            <w:tcBorders>
              <w:top w:val="single" w:sz="8" w:color="D9D9D6"/>
            </w:tcBorders>
            <w:shd w:val="clear" w:color="auto" w:fill="D9D9D6"/>
          </w:tcPr>
          <w:p>
            <w:pPr>
              <w:spacing w:after="0"/>
              <w:rPr>
                <w:sz w:val="19"/>
                <w:szCs w:val="19"/>
                <w:color w:val="auto"/>
              </w:rPr>
            </w:pPr>
          </w:p>
        </w:tc>
        <w:tc>
          <w:tcPr>
            <w:tcW w:w="200" w:type="dxa"/>
            <w:vAlign w:val="bottom"/>
            <w:tcBorders>
              <w:top w:val="single" w:sz="8" w:color="auto"/>
            </w:tcBorders>
            <w:shd w:val="clear" w:color="auto" w:fill="D9D9D6"/>
          </w:tcPr>
          <w:p>
            <w:pPr>
              <w:spacing w:after="0"/>
              <w:rPr>
                <w:sz w:val="19"/>
                <w:szCs w:val="19"/>
                <w:color w:val="auto"/>
              </w:rPr>
            </w:pPr>
          </w:p>
        </w:tc>
        <w:tc>
          <w:tcPr>
            <w:tcW w:w="1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600" w:type="dxa"/>
            <w:vAlign w:val="bottom"/>
            <w:tcBorders>
              <w:top w:val="single" w:sz="8" w:color="D9D9D6"/>
            </w:tcBorders>
            <w:shd w:val="clear" w:color="auto" w:fill="D9D9D6"/>
          </w:tcPr>
          <w:p>
            <w:pPr>
              <w:spacing w:after="0"/>
              <w:rPr>
                <w:sz w:val="19"/>
                <w:szCs w:val="19"/>
                <w:color w:val="auto"/>
              </w:rPr>
            </w:pPr>
          </w:p>
        </w:tc>
        <w:tc>
          <w:tcPr>
            <w:tcW w:w="520" w:type="dxa"/>
            <w:vAlign w:val="bottom"/>
            <w:tcBorders>
              <w:top w:val="single" w:sz="8" w:color="auto"/>
              <w:right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10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$741</w:t>
            </w:r>
          </w:p>
        </w:tc>
        <w:tc>
          <w:tcPr>
            <w:tcW w:w="20" w:type="dxa"/>
            <w:vAlign w:val="bottom"/>
            <w:shd w:val="clear" w:color="auto" w:fill="D9D9D6"/>
          </w:tcPr>
          <w:p>
            <w:pPr>
              <w:spacing w:after="0"/>
              <w:rPr>
                <w:sz w:val="17"/>
                <w:szCs w:val="17"/>
                <w:color w:val="auto"/>
              </w:rPr>
            </w:pPr>
          </w:p>
        </w:tc>
        <w:tc>
          <w:tcPr>
            <w:tcW w:w="104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$767</w:t>
            </w:r>
          </w:p>
        </w:tc>
        <w:tc>
          <w:tcPr>
            <w:tcW w:w="20" w:type="dxa"/>
            <w:vAlign w:val="bottom"/>
            <w:shd w:val="clear" w:color="auto" w:fill="D9D9D6"/>
          </w:tcPr>
          <w:p>
            <w:pPr>
              <w:spacing w:after="0"/>
              <w:rPr>
                <w:sz w:val="17"/>
                <w:szCs w:val="17"/>
                <w:color w:val="auto"/>
              </w:rPr>
            </w:pPr>
          </w:p>
        </w:tc>
        <w:tc>
          <w:tcPr>
            <w:tcW w:w="11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(3.4 %)</w:t>
            </w:r>
          </w:p>
        </w:tc>
        <w:tc>
          <w:tcPr>
            <w:tcW w:w="1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6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1,052</w:t>
            </w:r>
          </w:p>
        </w:tc>
        <w:tc>
          <w:tcPr>
            <w:tcW w:w="20" w:type="dxa"/>
            <w:vAlign w:val="bottom"/>
            <w:tcBorders>
              <w:bottom w:val="single" w:sz="8" w:color="auto"/>
            </w:tcBorders>
            <w:shd w:val="clear" w:color="auto" w:fill="D9D9D6"/>
          </w:tcPr>
          <w:p>
            <w:pPr>
              <w:spacing w:after="0"/>
              <w:rPr>
                <w:sz w:val="17"/>
                <w:szCs w:val="17"/>
                <w:color w:val="auto"/>
              </w:rPr>
            </w:pPr>
          </w:p>
        </w:tc>
        <w:tc>
          <w:tcPr>
            <w:tcW w:w="1040" w:type="dxa"/>
            <w:vAlign w:val="bottom"/>
            <w:tcBorders>
              <w:bottom w:val="single" w:sz="8" w:color="auto"/>
            </w:tcBorders>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1,096</w:t>
            </w:r>
          </w:p>
        </w:tc>
        <w:tc>
          <w:tcPr>
            <w:tcW w:w="20" w:type="dxa"/>
            <w:vAlign w:val="bottom"/>
            <w:tcBorders>
              <w:bottom w:val="single" w:sz="8" w:color="auto"/>
            </w:tcBorders>
            <w:shd w:val="clear" w:color="auto" w:fill="D9D9D6"/>
          </w:tcPr>
          <w:p>
            <w:pPr>
              <w:spacing w:after="0"/>
              <w:rPr>
                <w:sz w:val="17"/>
                <w:szCs w:val="17"/>
                <w:color w:val="auto"/>
              </w:rPr>
            </w:pPr>
          </w:p>
        </w:tc>
        <w:tc>
          <w:tcPr>
            <w:tcW w:w="112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(4.0 %)</w:t>
            </w:r>
          </w:p>
        </w:tc>
        <w:tc>
          <w:tcPr>
            <w:tcW w:w="1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10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($311)</w:t>
            </w:r>
          </w:p>
        </w:tc>
        <w:tc>
          <w:tcPr>
            <w:tcW w:w="20" w:type="dxa"/>
            <w:vAlign w:val="bottom"/>
            <w:shd w:val="clear" w:color="auto" w:fill="D9D9D6"/>
          </w:tcPr>
          <w:p>
            <w:pPr>
              <w:spacing w:after="0"/>
              <w:rPr>
                <w:sz w:val="17"/>
                <w:szCs w:val="17"/>
                <w:color w:val="auto"/>
              </w:rPr>
            </w:pPr>
          </w:p>
        </w:tc>
        <w:tc>
          <w:tcPr>
            <w:tcW w:w="104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($329)</w:t>
            </w:r>
          </w:p>
        </w:tc>
        <w:tc>
          <w:tcPr>
            <w:tcW w:w="20" w:type="dxa"/>
            <w:vAlign w:val="bottom"/>
            <w:shd w:val="clear" w:color="auto" w:fill="D9D9D6"/>
          </w:tcPr>
          <w:p>
            <w:pPr>
              <w:spacing w:after="0"/>
              <w:rPr>
                <w:sz w:val="17"/>
                <w:szCs w:val="17"/>
                <w:color w:val="auto"/>
              </w:rPr>
            </w:pPr>
          </w:p>
        </w:tc>
        <w:tc>
          <w:tcPr>
            <w:tcW w:w="1120" w:type="dxa"/>
            <w:vAlign w:val="bottom"/>
            <w:tcBorders>
              <w:right w:val="single" w:sz="8" w:color="D9D9D6"/>
            </w:tcBorders>
            <w:gridSpan w:val="2"/>
            <w:shd w:val="clear" w:color="auto" w:fill="D9D9D6"/>
          </w:tcPr>
          <w:p>
            <w:pPr>
              <w:jc w:val="right"/>
              <w:ind w:right="8"/>
              <w:spacing w:after="0"/>
              <w:rPr>
                <w:sz w:val="20"/>
                <w:szCs w:val="20"/>
                <w:color w:val="auto"/>
              </w:rPr>
            </w:pPr>
            <w:r>
              <w:rPr>
                <w:rFonts w:ascii="Arial" w:cs="Arial" w:eastAsia="Arial" w:hAnsi="Arial"/>
                <w:sz w:val="14"/>
                <w:szCs w:val="14"/>
                <w:b w:val="1"/>
                <w:bCs w:val="1"/>
                <w:color w:val="auto"/>
              </w:rPr>
              <w:t>5.6 %</w:t>
            </w:r>
          </w:p>
        </w:tc>
        <w:tc>
          <w:tcPr>
            <w:tcW w:w="1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740" w:type="dxa"/>
            <w:vAlign w:val="bottom"/>
            <w:shd w:val="clear" w:color="auto" w:fill="D9D9D6"/>
          </w:tcPr>
          <w:p>
            <w:pPr>
              <w:spacing w:after="0"/>
              <w:rPr>
                <w:sz w:val="18"/>
                <w:szCs w:val="18"/>
                <w:color w:val="auto"/>
              </w:rPr>
            </w:pPr>
          </w:p>
        </w:tc>
        <w:tc>
          <w:tcPr>
            <w:tcW w:w="320" w:type="dxa"/>
            <w:vAlign w:val="bottom"/>
            <w:shd w:val="clear" w:color="auto" w:fill="D9D9D6"/>
          </w:tcPr>
          <w:p>
            <w:pPr>
              <w:spacing w:after="0"/>
              <w:rPr>
                <w:sz w:val="18"/>
                <w:szCs w:val="18"/>
                <w:color w:val="auto"/>
              </w:rPr>
            </w:pPr>
          </w:p>
        </w:tc>
        <w:tc>
          <w:tcPr>
            <w:tcW w:w="20" w:type="dxa"/>
            <w:vAlign w:val="bottom"/>
            <w:shd w:val="clear" w:color="auto" w:fill="D9D9D6"/>
          </w:tcPr>
          <w:p>
            <w:pPr>
              <w:spacing w:after="0"/>
              <w:rPr>
                <w:sz w:val="18"/>
                <w:szCs w:val="18"/>
                <w:color w:val="auto"/>
              </w:rPr>
            </w:pPr>
          </w:p>
        </w:tc>
        <w:tc>
          <w:tcPr>
            <w:tcW w:w="200" w:type="dxa"/>
            <w:vAlign w:val="bottom"/>
            <w:shd w:val="clear" w:color="auto" w:fill="D9D9D6"/>
          </w:tcPr>
          <w:p>
            <w:pPr>
              <w:spacing w:after="0"/>
              <w:rPr>
                <w:sz w:val="18"/>
                <w:szCs w:val="18"/>
                <w:color w:val="auto"/>
              </w:rPr>
            </w:pPr>
          </w:p>
        </w:tc>
        <w:tc>
          <w:tcPr>
            <w:tcW w:w="520" w:type="dxa"/>
            <w:vAlign w:val="bottom"/>
            <w:shd w:val="clear" w:color="auto" w:fill="D9D9D6"/>
          </w:tcPr>
          <w:p>
            <w:pPr>
              <w:spacing w:after="0"/>
              <w:rPr>
                <w:sz w:val="18"/>
                <w:szCs w:val="18"/>
                <w:color w:val="auto"/>
              </w:rPr>
            </w:pPr>
          </w:p>
        </w:tc>
        <w:tc>
          <w:tcPr>
            <w:tcW w:w="200" w:type="dxa"/>
            <w:vAlign w:val="bottom"/>
            <w:shd w:val="clear" w:color="auto" w:fill="D9D9D6"/>
          </w:tcPr>
          <w:p>
            <w:pPr>
              <w:spacing w:after="0"/>
              <w:rPr>
                <w:sz w:val="18"/>
                <w:szCs w:val="18"/>
                <w:color w:val="auto"/>
              </w:rPr>
            </w:pPr>
          </w:p>
        </w:tc>
        <w:tc>
          <w:tcPr>
            <w:tcW w:w="120" w:type="dxa"/>
            <w:vAlign w:val="bottom"/>
            <w:shd w:val="clear" w:color="auto" w:fill="D9D9D6"/>
          </w:tcPr>
          <w:p>
            <w:pPr>
              <w:spacing w:after="0"/>
              <w:rPr>
                <w:sz w:val="18"/>
                <w:szCs w:val="18"/>
                <w:color w:val="auto"/>
              </w:rPr>
            </w:pPr>
          </w:p>
        </w:tc>
        <w:tc>
          <w:tcPr>
            <w:tcW w:w="20" w:type="dxa"/>
            <w:vAlign w:val="bottom"/>
            <w:shd w:val="clear" w:color="auto" w:fill="D9D9D6"/>
          </w:tcPr>
          <w:p>
            <w:pPr>
              <w:spacing w:after="0"/>
              <w:rPr>
                <w:sz w:val="18"/>
                <w:szCs w:val="18"/>
                <w:color w:val="auto"/>
              </w:rPr>
            </w:pPr>
          </w:p>
        </w:tc>
        <w:tc>
          <w:tcPr>
            <w:tcW w:w="600" w:type="dxa"/>
            <w:vAlign w:val="bottom"/>
            <w:shd w:val="clear" w:color="auto" w:fill="D9D9D6"/>
          </w:tcPr>
          <w:p>
            <w:pPr>
              <w:spacing w:after="0"/>
              <w:rPr>
                <w:sz w:val="18"/>
                <w:szCs w:val="18"/>
                <w:color w:val="auto"/>
              </w:rPr>
            </w:pPr>
          </w:p>
        </w:tc>
        <w:tc>
          <w:tcPr>
            <w:tcW w:w="520" w:type="dxa"/>
            <w:vAlign w:val="bottom"/>
            <w:tcBorders>
              <w:right w:val="single" w:sz="8" w:color="D9D9D6"/>
            </w:tcBorders>
            <w:shd w:val="clear" w:color="auto" w:fill="D9D9D6"/>
          </w:tcPr>
          <w:p>
            <w:pPr>
              <w:spacing w:after="0"/>
              <w:rPr>
                <w:sz w:val="18"/>
                <w:szCs w:val="18"/>
                <w:color w:val="auto"/>
              </w:rPr>
            </w:pPr>
          </w:p>
        </w:tc>
        <w:tc>
          <w:tcPr>
            <w:tcW w:w="120" w:type="dxa"/>
            <w:vAlign w:val="bottom"/>
            <w:shd w:val="clear" w:color="auto" w:fill="D9D9D6"/>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740" w:type="dxa"/>
            <w:vAlign w:val="bottom"/>
            <w:vMerge w:val="continue"/>
          </w:tcPr>
          <w:p>
            <w:pPr>
              <w:spacing w:after="0"/>
              <w:rPr>
                <w:sz w:val="17"/>
                <w:szCs w:val="17"/>
                <w:color w:val="auto"/>
              </w:rPr>
            </w:pPr>
          </w:p>
        </w:tc>
        <w:tc>
          <w:tcPr>
            <w:tcW w:w="7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52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600" w:type="dxa"/>
            <w:vAlign w:val="bottom"/>
            <w:shd w:val="clear" w:color="auto" w:fill="D9D9D6"/>
          </w:tcPr>
          <w:p>
            <w:pPr>
              <w:spacing w:after="0"/>
              <w:rPr>
                <w:sz w:val="17"/>
                <w:szCs w:val="17"/>
                <w:color w:val="auto"/>
              </w:rPr>
            </w:pPr>
          </w:p>
        </w:tc>
        <w:tc>
          <w:tcPr>
            <w:tcW w:w="520" w:type="dxa"/>
            <w:vAlign w:val="bottom"/>
            <w:tcBorders>
              <w:right w:val="single" w:sz="8" w:color="D9D9D6"/>
            </w:tcBorders>
            <w:shd w:val="clear" w:color="auto" w:fill="D9D9D6"/>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10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($1,449)</w:t>
            </w:r>
          </w:p>
        </w:tc>
        <w:tc>
          <w:tcPr>
            <w:tcW w:w="20" w:type="dxa"/>
            <w:vAlign w:val="bottom"/>
            <w:shd w:val="clear" w:color="auto" w:fill="D9D9D6"/>
          </w:tcPr>
          <w:p>
            <w:pPr>
              <w:spacing w:after="0"/>
              <w:rPr>
                <w:sz w:val="17"/>
                <w:szCs w:val="17"/>
                <w:color w:val="auto"/>
              </w:rPr>
            </w:pPr>
          </w:p>
        </w:tc>
        <w:tc>
          <w:tcPr>
            <w:tcW w:w="104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($1,358)</w:t>
            </w:r>
          </w:p>
        </w:tc>
        <w:tc>
          <w:tcPr>
            <w:tcW w:w="20" w:type="dxa"/>
            <w:vAlign w:val="bottom"/>
            <w:shd w:val="clear" w:color="auto" w:fill="D9D9D6"/>
          </w:tcPr>
          <w:p>
            <w:pPr>
              <w:spacing w:after="0"/>
              <w:rPr>
                <w:sz w:val="17"/>
                <w:szCs w:val="17"/>
                <w:color w:val="auto"/>
              </w:rPr>
            </w:pPr>
          </w:p>
        </w:tc>
        <w:tc>
          <w:tcPr>
            <w:tcW w:w="1120" w:type="dxa"/>
            <w:vAlign w:val="bottom"/>
            <w:tcBorders>
              <w:right w:val="single" w:sz="8" w:color="D9D9D6"/>
            </w:tcBorders>
            <w:gridSpan w:val="2"/>
            <w:shd w:val="clear" w:color="auto" w:fill="D9D9D6"/>
          </w:tcPr>
          <w:p>
            <w:pPr>
              <w:jc w:val="right"/>
              <w:ind w:right="8"/>
              <w:spacing w:after="0"/>
              <w:rPr>
                <w:sz w:val="20"/>
                <w:szCs w:val="20"/>
                <w:color w:val="auto"/>
              </w:rPr>
            </w:pPr>
            <w:r>
              <w:rPr>
                <w:rFonts w:ascii="Arial" w:cs="Arial" w:eastAsia="Arial" w:hAnsi="Arial"/>
                <w:sz w:val="14"/>
                <w:szCs w:val="14"/>
                <w:color w:val="auto"/>
              </w:rPr>
              <w:t>6.7 %</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6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(1,461)</w:t>
            </w:r>
          </w:p>
        </w:tc>
        <w:tc>
          <w:tcPr>
            <w:tcW w:w="20" w:type="dxa"/>
            <w:vAlign w:val="bottom"/>
            <w:tcBorders>
              <w:bottom w:val="single" w:sz="8" w:color="auto"/>
            </w:tcBorders>
            <w:shd w:val="clear" w:color="auto" w:fill="D9D9D6"/>
          </w:tcPr>
          <w:p>
            <w:pPr>
              <w:spacing w:after="0"/>
              <w:rPr>
                <w:sz w:val="17"/>
                <w:szCs w:val="17"/>
                <w:color w:val="auto"/>
              </w:rPr>
            </w:pPr>
          </w:p>
        </w:tc>
        <w:tc>
          <w:tcPr>
            <w:tcW w:w="1040" w:type="dxa"/>
            <w:vAlign w:val="bottom"/>
            <w:tcBorders>
              <w:bottom w:val="single" w:sz="8" w:color="auto"/>
            </w:tcBorders>
            <w:gridSpan w:val="4"/>
            <w:shd w:val="clear" w:color="auto" w:fill="D9D9D6"/>
          </w:tcPr>
          <w:p>
            <w:pPr>
              <w:jc w:val="right"/>
              <w:spacing w:after="0"/>
              <w:rPr>
                <w:sz w:val="20"/>
                <w:szCs w:val="20"/>
                <w:color w:val="auto"/>
              </w:rPr>
            </w:pPr>
            <w:r>
              <w:rPr>
                <w:rFonts w:ascii="Arial" w:cs="Arial" w:eastAsia="Arial" w:hAnsi="Arial"/>
                <w:sz w:val="14"/>
                <w:szCs w:val="14"/>
                <w:color w:val="auto"/>
              </w:rPr>
              <w:t>(1,332)</w:t>
            </w:r>
          </w:p>
        </w:tc>
        <w:tc>
          <w:tcPr>
            <w:tcW w:w="20" w:type="dxa"/>
            <w:vAlign w:val="bottom"/>
            <w:tcBorders>
              <w:bottom w:val="single" w:sz="8" w:color="auto"/>
            </w:tcBorders>
            <w:shd w:val="clear" w:color="auto" w:fill="D9D9D6"/>
          </w:tcPr>
          <w:p>
            <w:pPr>
              <w:spacing w:after="0"/>
              <w:rPr>
                <w:sz w:val="17"/>
                <w:szCs w:val="17"/>
                <w:color w:val="auto"/>
              </w:rPr>
            </w:pPr>
          </w:p>
        </w:tc>
        <w:tc>
          <w:tcPr>
            <w:tcW w:w="1120" w:type="dxa"/>
            <w:vAlign w:val="bottom"/>
            <w:tcBorders>
              <w:bottom w:val="single" w:sz="8" w:color="auto"/>
              <w:right w:val="single" w:sz="8" w:color="D9D9D6"/>
            </w:tcBorders>
            <w:gridSpan w:val="2"/>
            <w:shd w:val="clear" w:color="auto" w:fill="D9D9D6"/>
          </w:tcPr>
          <w:p>
            <w:pPr>
              <w:jc w:val="right"/>
              <w:ind w:right="8"/>
              <w:spacing w:after="0"/>
              <w:rPr>
                <w:sz w:val="20"/>
                <w:szCs w:val="20"/>
                <w:color w:val="auto"/>
              </w:rPr>
            </w:pPr>
            <w:r>
              <w:rPr>
                <w:rFonts w:ascii="Arial" w:cs="Arial" w:eastAsia="Arial" w:hAnsi="Arial"/>
                <w:sz w:val="14"/>
                <w:szCs w:val="14"/>
                <w:color w:val="auto"/>
              </w:rPr>
              <w:t>9.7 %</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10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$12</w:t>
            </w:r>
          </w:p>
        </w:tc>
        <w:tc>
          <w:tcPr>
            <w:tcW w:w="20" w:type="dxa"/>
            <w:vAlign w:val="bottom"/>
            <w:shd w:val="clear" w:color="auto" w:fill="D9D9D6"/>
          </w:tcPr>
          <w:p>
            <w:pPr>
              <w:spacing w:after="0"/>
              <w:rPr>
                <w:sz w:val="17"/>
                <w:szCs w:val="17"/>
                <w:color w:val="auto"/>
              </w:rPr>
            </w:pPr>
          </w:p>
        </w:tc>
        <w:tc>
          <w:tcPr>
            <w:tcW w:w="104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($26)</w:t>
            </w:r>
          </w:p>
        </w:tc>
        <w:tc>
          <w:tcPr>
            <w:tcW w:w="20" w:type="dxa"/>
            <w:vAlign w:val="bottom"/>
            <w:shd w:val="clear" w:color="auto" w:fill="D9D9D6"/>
          </w:tcPr>
          <w:p>
            <w:pPr>
              <w:spacing w:after="0"/>
              <w:rPr>
                <w:sz w:val="17"/>
                <w:szCs w:val="17"/>
                <w:color w:val="auto"/>
              </w:rPr>
            </w:pPr>
          </w:p>
        </w:tc>
        <w:tc>
          <w:tcPr>
            <w:tcW w:w="600" w:type="dxa"/>
            <w:vAlign w:val="bottom"/>
            <w:shd w:val="clear" w:color="auto" w:fill="D9D9D6"/>
          </w:tcPr>
          <w:p>
            <w:pPr>
              <w:spacing w:after="0"/>
              <w:rPr>
                <w:sz w:val="17"/>
                <w:szCs w:val="17"/>
                <w:color w:val="auto"/>
              </w:rPr>
            </w:pPr>
          </w:p>
        </w:tc>
        <w:tc>
          <w:tcPr>
            <w:tcW w:w="520" w:type="dxa"/>
            <w:vAlign w:val="bottom"/>
            <w:tcBorders>
              <w:right w:val="single" w:sz="8" w:color="D9D9D6"/>
            </w:tcBorders>
            <w:shd w:val="clear" w:color="auto" w:fill="D9D9D6"/>
          </w:tcPr>
          <w:p>
            <w:pPr>
              <w:jc w:val="right"/>
              <w:ind w:right="48"/>
              <w:spacing w:after="0"/>
              <w:rPr>
                <w:sz w:val="20"/>
                <w:szCs w:val="20"/>
                <w:color w:val="auto"/>
              </w:rPr>
            </w:pPr>
            <w:r>
              <w:rPr>
                <w:rFonts w:ascii="Arial" w:cs="Arial" w:eastAsia="Arial" w:hAnsi="Arial"/>
                <w:sz w:val="14"/>
                <w:szCs w:val="14"/>
                <w:b w:val="1"/>
                <w:bCs w:val="1"/>
                <w:color w:val="auto"/>
              </w:rPr>
              <w:t>NM</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-1542415</wp:posOffset>
            </wp:positionV>
            <wp:extent cx="7063740" cy="1705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63740" cy="1705610"/>
                    </a:xfrm>
                    <a:prstGeom prst="rect">
                      <a:avLst/>
                    </a:prstGeom>
                    <a:noFill/>
                  </pic:spPr>
                </pic:pic>
              </a:graphicData>
            </a:graphic>
          </wp:anchor>
        </w:drawing>
      </w:r>
    </w:p>
    <w:p>
      <w:pPr>
        <w:spacing w:after="0" w:line="3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NM=comparison not meaningful.</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&amp; Other</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Corporate &amp; Other primarily includes overhead and personnel costs; our Sky-branded video services and television networks in Germany; Comcast Spectacor, which owns the Philadelphia Flyers and the Wells Fargo Center arena in Philadelphia, Pennsylvania; and Xumo. Corporate &amp; Other Adjusted EBITDA increased primarily due to an increase related to Sky operations in Germany.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Amounts represent eliminations of transactions between Connectivity &amp; Platforms, Content &amp; Experiences and other businesses, the most significant being distribution of television network programming between the Media and Residential Connectivity &amp; Platforms segments. Revenue eliminations were $1.4 billion, consistent with the prior year period, and Adjusted EBITDA eliminations were a benefit of $12 million compared to a loss of $26 million in the prior year period.</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584" w:right="3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397510</wp:posOffset>
            </wp:positionV>
            <wp:extent cx="7115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255"/>
                    </a:xfrm>
                    <a:prstGeom prst="rect">
                      <a:avLst/>
                    </a:prstGeom>
                    <a:noFill/>
                  </pic:spPr>
                </pic:pic>
              </a:graphicData>
            </a:graphic>
          </wp:anchor>
        </w:drawing>
        <w:t>Notes:</w:t>
      </w:r>
    </w:p>
    <w:p>
      <w:pPr>
        <w:spacing w:after="0" w:line="90" w:lineRule="exact"/>
        <w:rPr>
          <w:sz w:val="20"/>
          <w:szCs w:val="20"/>
          <w:color w:val="auto"/>
        </w:rPr>
      </w:pPr>
    </w:p>
    <w:p>
      <w:pPr>
        <w:jc w:val="both"/>
        <w:ind w:left="180" w:hanging="161"/>
        <w:spacing w:after="0" w:line="259" w:lineRule="auto"/>
        <w:rPr>
          <w:sz w:val="20"/>
          <w:szCs w:val="20"/>
          <w:color w:val="auto"/>
        </w:rPr>
      </w:pPr>
      <w:r>
        <w:rPr>
          <w:rFonts w:ascii="Arial" w:cs="Arial" w:eastAsia="Arial" w:hAnsi="Arial"/>
          <w:sz w:val="18"/>
          <w:szCs w:val="18"/>
          <w:color w:val="auto"/>
        </w:rPr>
        <w:t>1 We define Adjusted Net Income and Adjusted EPS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See Table 5 for reconciliations of non-GAAP financial measures.</w:t>
      </w:r>
    </w:p>
    <w:p>
      <w:pPr>
        <w:spacing w:after="0" w:line="125" w:lineRule="exact"/>
        <w:rPr>
          <w:sz w:val="20"/>
          <w:szCs w:val="20"/>
          <w:color w:val="auto"/>
        </w:rPr>
      </w:pPr>
    </w:p>
    <w:p>
      <w:pPr>
        <w:jc w:val="both"/>
        <w:ind w:left="180" w:hanging="161"/>
        <w:spacing w:after="0" w:line="257" w:lineRule="auto"/>
        <w:rPr>
          <w:sz w:val="20"/>
          <w:szCs w:val="20"/>
          <w:color w:val="auto"/>
        </w:rPr>
      </w:pPr>
      <w:r>
        <w:rPr>
          <w:rFonts w:ascii="Arial" w:cs="Arial" w:eastAsia="Arial" w:hAnsi="Arial"/>
          <w:sz w:val="18"/>
          <w:szCs w:val="18"/>
          <w:color w:val="auto"/>
        </w:rPr>
        <w:t>2 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See Table 4 for reconciliation of non-GAAP financial measure.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3 All earnings per share amounts are presented on a diluted basis.</w:t>
      </w:r>
    </w:p>
    <w:p>
      <w:pPr>
        <w:spacing w:after="0" w:line="171" w:lineRule="exact"/>
        <w:rPr>
          <w:sz w:val="20"/>
          <w:szCs w:val="20"/>
          <w:color w:val="auto"/>
        </w:rPr>
      </w:pPr>
    </w:p>
    <w:p>
      <w:pPr>
        <w:jc w:val="both"/>
        <w:ind w:left="180" w:hanging="161"/>
        <w:spacing w:after="0" w:line="257" w:lineRule="auto"/>
        <w:rPr>
          <w:sz w:val="20"/>
          <w:szCs w:val="20"/>
          <w:color w:val="auto"/>
        </w:rPr>
      </w:pPr>
      <w:r>
        <w:rPr>
          <w:rFonts w:ascii="Arial" w:cs="Arial" w:eastAsia="Arial" w:hAnsi="Arial"/>
          <w:sz w:val="18"/>
          <w:szCs w:val="18"/>
          <w:color w:val="auto"/>
        </w:rPr>
        <w:t>4 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 of Cash Flows and are therefore excluded from capital expenditures and cash paid for intangible assets for Free Cash Flow. See Table 4 for reconciliation of non-GAAP financial measure.</w:t>
      </w:r>
    </w:p>
    <w:p>
      <w:pPr>
        <w:spacing w:after="0" w:line="128" w:lineRule="exact"/>
        <w:rPr>
          <w:sz w:val="20"/>
          <w:szCs w:val="20"/>
          <w:color w:val="auto"/>
        </w:rPr>
      </w:pPr>
    </w:p>
    <w:p>
      <w:pPr>
        <w:jc w:val="both"/>
        <w:ind w:left="180" w:hanging="161"/>
        <w:spacing w:after="0" w:line="268" w:lineRule="auto"/>
        <w:rPr>
          <w:sz w:val="20"/>
          <w:szCs w:val="20"/>
          <w:color w:val="auto"/>
        </w:rPr>
      </w:pPr>
      <w:r>
        <w:rPr>
          <w:rFonts w:ascii="Arial" w:cs="Arial" w:eastAsia="Arial" w:hAnsi="Arial"/>
          <w:sz w:val="18"/>
          <w:szCs w:val="18"/>
          <w:color w:val="auto"/>
        </w:rPr>
        <w:t>5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 See Table 6 for reconciliations of non-GAAP financial measures.</w:t>
      </w:r>
    </w:p>
    <w:p>
      <w:pPr>
        <w:spacing w:after="0" w:line="117" w:lineRule="exact"/>
        <w:rPr>
          <w:sz w:val="20"/>
          <w:szCs w:val="20"/>
          <w:color w:val="auto"/>
        </w:rPr>
      </w:pPr>
    </w:p>
    <w:p>
      <w:pPr>
        <w:jc w:val="both"/>
        <w:ind w:left="180" w:hanging="161"/>
        <w:spacing w:after="0" w:line="259" w:lineRule="auto"/>
        <w:rPr>
          <w:sz w:val="20"/>
          <w:szCs w:val="20"/>
          <w:color w:val="auto"/>
        </w:rPr>
      </w:pPr>
      <w:r>
        <w:rPr>
          <w:rFonts w:ascii="Arial" w:cs="Arial" w:eastAsia="Arial" w:hAnsi="Arial"/>
          <w:sz w:val="18"/>
          <w:szCs w:val="18"/>
          <w:color w:val="auto"/>
        </w:rPr>
        <w:t>6 Adjusted EBITDA is the measure of profit or loss for our segments. From time to time, we may present Adjusted EBITDA for components of our reportable segments, such as Peacock. We believe these measures are useful to evaluate our financial results and provide a basis of comparison to others, although our definition of Adjusted EBITDA may not be directly comparable to similar measures used by other companies. Adjusted EBITDA for components are presented on a consistent basis with the respective segments and disaggregated in accordance with GAAP.</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Numerical information is presented on a rounded basis using actual amounts, unless otherwise noted. The change in Peacock paid subscribers is calculated using rounded paid subscriber amounts. Minor differences in totals and percentage calculations may exist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634"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April 24, 2025, at 8:30 a.m. Eastern Time (ET). The conference call and related materials will be broadcast live and posted on our Investor Relations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A replay of the call will be available today, April 24, 2025, starting at 11:30 a.m. ET on the Investor Relations website.</w:t>
      </w:r>
    </w:p>
    <w:p>
      <w:pPr>
        <w:spacing w:after="0" w:line="20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xml:space="preserve"> and on our corporate website, </w:t>
      </w:r>
      <w:r>
        <w:rPr>
          <w:rFonts w:ascii="Arial" w:cs="Arial" w:eastAsia="Arial" w:hAnsi="Arial"/>
          <w:sz w:val="16"/>
          <w:szCs w:val="16"/>
          <w:u w:val="single" w:color="auto"/>
          <w:color w:val="0000FF"/>
        </w:rPr>
        <w:t>www.comcastcorporation.com</w:t>
      </w:r>
      <w:r>
        <w:rPr>
          <w:rFonts w:ascii="Arial" w:cs="Arial" w:eastAsia="Arial" w:hAnsi="Arial"/>
          <w:sz w:val="16"/>
          <w:szCs w:val="16"/>
          <w:color w:val="000000"/>
        </w:rPr>
        <w:t>. To automatically receive Comcast financial news by email, please visit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www.cmcsa.com</w:t>
      </w:r>
      <w:r>
        <w:rPr>
          <w:rFonts w:ascii="Arial" w:cs="Arial" w:eastAsia="Arial" w:hAnsi="Arial"/>
          <w:sz w:val="16"/>
          <w:szCs w:val="16"/>
          <w:color w:val="0000FF"/>
        </w:rPr>
        <w:t xml:space="preserve"> </w:t>
      </w:r>
      <w:r>
        <w:rPr>
          <w:rFonts w:ascii="Arial" w:cs="Arial" w:eastAsia="Arial" w:hAnsi="Arial"/>
          <w:sz w:val="16"/>
          <w:szCs w:val="16"/>
          <w:color w:val="000000"/>
        </w:rPr>
        <w:t>and subscribe to email alerts.</w:t>
      </w: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9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480" w:type="dxa"/>
            <w:vAlign w:val="bottom"/>
          </w:tcPr>
          <w:p>
            <w:pPr>
              <w:jc w:val="right"/>
              <w:ind w:right="2219"/>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25"/>
        </w:trPr>
        <w:tc>
          <w:tcPr>
            <w:tcW w:w="198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560" w:type="dxa"/>
            <w:vAlign w:val="bottom"/>
          </w:tcPr>
          <w:p>
            <w:pPr>
              <w:spacing w:after="0"/>
              <w:rPr>
                <w:sz w:val="24"/>
                <w:szCs w:val="24"/>
                <w:color w:val="auto"/>
              </w:rPr>
            </w:pPr>
          </w:p>
        </w:tc>
        <w:tc>
          <w:tcPr>
            <w:tcW w:w="3480" w:type="dxa"/>
            <w:vAlign w:val="bottom"/>
          </w:tcPr>
          <w:p>
            <w:pPr>
              <w:ind w:left="1600"/>
              <w:spacing w:after="0"/>
              <w:rPr>
                <w:sz w:val="20"/>
                <w:szCs w:val="20"/>
                <w:color w:val="auto"/>
              </w:rPr>
            </w:pPr>
            <w:r>
              <w:rPr>
                <w:rFonts w:ascii="Arial" w:cs="Arial" w:eastAsia="Arial" w:hAnsi="Arial"/>
                <w:sz w:val="16"/>
                <w:szCs w:val="16"/>
                <w:b w:val="1"/>
                <w:bCs w:val="1"/>
                <w:color w:val="auto"/>
              </w:rPr>
              <w:t>Press Contacts:</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5"/>
        </w:trPr>
        <w:tc>
          <w:tcPr>
            <w:tcW w:w="1980" w:type="dxa"/>
            <w:vAlign w:val="bottom"/>
          </w:tcPr>
          <w:p>
            <w:pPr>
              <w:spacing w:after="0"/>
              <w:rPr>
                <w:sz w:val="20"/>
                <w:szCs w:val="20"/>
                <w:color w:val="auto"/>
              </w:rPr>
            </w:pPr>
            <w:r>
              <w:rPr>
                <w:rFonts w:ascii="Arial" w:cs="Arial" w:eastAsia="Arial" w:hAnsi="Arial"/>
                <w:sz w:val="16"/>
                <w:szCs w:val="16"/>
                <w:color w:val="auto"/>
              </w:rPr>
              <w:t>Marci Ryvicker</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286-4781</w:t>
            </w:r>
          </w:p>
        </w:tc>
        <w:tc>
          <w:tcPr>
            <w:tcW w:w="3480" w:type="dxa"/>
            <w:vAlign w:val="bottom"/>
          </w:tcPr>
          <w:p>
            <w:pPr>
              <w:ind w:left="1600"/>
              <w:spacing w:after="0"/>
              <w:rPr>
                <w:sz w:val="20"/>
                <w:szCs w:val="20"/>
                <w:color w:val="auto"/>
              </w:rPr>
            </w:pPr>
            <w:r>
              <w:rPr>
                <w:rFonts w:ascii="Arial" w:cs="Arial" w:eastAsia="Arial" w:hAnsi="Arial"/>
                <w:sz w:val="16"/>
                <w:szCs w:val="16"/>
                <w:color w:val="auto"/>
              </w:rPr>
              <w:t>Jennifer Khoury</w:t>
            </w: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c>
          <w:tcPr>
            <w:tcW w:w="720" w:type="dxa"/>
            <w:vAlign w:val="bottom"/>
          </w:tcPr>
          <w:p>
            <w:pPr>
              <w:ind w:left="20"/>
              <w:spacing w:after="0"/>
              <w:rPr>
                <w:sz w:val="20"/>
                <w:szCs w:val="20"/>
                <w:color w:val="auto"/>
              </w:rPr>
            </w:pPr>
            <w:r>
              <w:rPr>
                <w:rFonts w:ascii="Arial" w:cs="Arial" w:eastAsia="Arial" w:hAnsi="Arial"/>
                <w:sz w:val="16"/>
                <w:szCs w:val="16"/>
                <w:color w:val="auto"/>
              </w:rPr>
              <w:t>286-7408</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Jane Kearns</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286-4794</w:t>
            </w:r>
          </w:p>
        </w:tc>
        <w:tc>
          <w:tcPr>
            <w:tcW w:w="3480" w:type="dxa"/>
            <w:vAlign w:val="bottom"/>
          </w:tcPr>
          <w:p>
            <w:pPr>
              <w:ind w:left="1600"/>
              <w:spacing w:after="0"/>
              <w:rPr>
                <w:sz w:val="20"/>
                <w:szCs w:val="20"/>
                <w:color w:val="auto"/>
              </w:rPr>
            </w:pPr>
            <w:r>
              <w:rPr>
                <w:rFonts w:ascii="Arial" w:cs="Arial" w:eastAsia="Arial" w:hAnsi="Arial"/>
                <w:sz w:val="16"/>
                <w:szCs w:val="16"/>
                <w:color w:val="auto"/>
              </w:rPr>
              <w:t>John Demming</w:t>
            </w: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c>
          <w:tcPr>
            <w:tcW w:w="720" w:type="dxa"/>
            <w:vAlign w:val="bottom"/>
          </w:tcPr>
          <w:p>
            <w:pPr>
              <w:ind w:left="20"/>
              <w:spacing w:after="0"/>
              <w:rPr>
                <w:sz w:val="20"/>
                <w:szCs w:val="20"/>
                <w:color w:val="auto"/>
              </w:rPr>
            </w:pPr>
            <w:r>
              <w:rPr>
                <w:rFonts w:ascii="Arial" w:cs="Arial" w:eastAsia="Arial" w:hAnsi="Arial"/>
                <w:sz w:val="16"/>
                <w:szCs w:val="16"/>
                <w:color w:val="auto"/>
              </w:rPr>
              <w:t>286-8011</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Marc Kaplan</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286-6527</w:t>
            </w:r>
          </w:p>
        </w:tc>
        <w:tc>
          <w:tcPr>
            <w:tcW w:w="3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This press release includes statements that may constitute forward-looking statements. In evaluating these statements, readers should consider various factors, including the risks and uncertainties we describe in the “Risk Factors” sections of our most recent Annual Report on Form 10-K, our most recent Quarterly Report on Form 10-Q and other reports filed with the Securities and Exchange Commission (SEC). Factors that could cause our actual results to differ materially from these forward-looking statements include changes in and/or risks associated with: the competitive environment; consumer behavior; the advertising market; consumer acceptance of our content; programming costs; key distribution and/or licensing agreements; use and protection of our intellectual property; our reliance on third-party hardware, software and operational support; keeping pace with technological developments; cyber attacks, security breaches or technology disruptions; weak economic conditions; acquisitions and strategic initiatives; operating businesses internationally; natural disasters, severe weather-related and other uncontrollable events; loss of key personnel; labor disputes; laws and regulations; adverse decisions in litigation or governmental investigations; and other risks described from time to time in reports and other documents we file with the SEC. 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We undertake no obligation to update or revise publicly any forward-looking statements, whether because of new information, future events or otherwise. The amount and timing of any dividends and share repurchases are subject to business, economic and other relevant factors.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Comcast Corporation (Nasdaq: CMCSA) is a global media and technology company. From the connectivity and platforms we provide, to the content and experiences we create, our businesses reach hundreds of millions of customers, viewers, and guests worldwide. We deliver world-class broadband, wireless, and video through Xfinity, Comcast Business, and Sky; produce, distribute, and stream leading entertainment, sports, and news through brands including NBC, Telemundo, Universal, Peacock, and Sky; and bring incredible theme parks and attractions to life through Universal Destinations &amp; Experiences. Visit www.comcastcorporation.com for more information.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313" w:right="33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6243320</wp:posOffset>
            </wp:positionH>
            <wp:positionV relativeFrom="page">
              <wp:posOffset>346075</wp:posOffset>
            </wp:positionV>
            <wp:extent cx="102870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11480"/>
                    </a:xfrm>
                    <a:prstGeom prst="rect">
                      <a:avLst/>
                    </a:prstGeom>
                    <a:noFill/>
                  </pic:spPr>
                </pic:pic>
              </a:graphicData>
            </a:graphic>
          </wp:anchor>
        </w:drawing>
        <w:t>TABLE 1</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Statements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0719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80" w:type="dxa"/>
            <w:vAlign w:val="bottom"/>
          </w:tcPr>
          <w:p>
            <w:pPr>
              <w:spacing w:after="0"/>
              <w:rPr>
                <w:sz w:val="18"/>
                <w:szCs w:val="18"/>
                <w:color w:val="auto"/>
              </w:rPr>
            </w:pPr>
          </w:p>
        </w:tc>
        <w:tc>
          <w:tcPr>
            <w:tcW w:w="222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8780" w:type="dxa"/>
            <w:vAlign w:val="bottom"/>
          </w:tcPr>
          <w:p>
            <w:pPr>
              <w:spacing w:after="0"/>
              <w:rPr>
                <w:sz w:val="20"/>
                <w:szCs w:val="20"/>
                <w:color w:val="auto"/>
              </w:rPr>
            </w:pPr>
            <w:r>
              <w:rPr>
                <w:rFonts w:ascii="Arial" w:cs="Arial" w:eastAsia="Arial" w:hAnsi="Arial"/>
                <w:sz w:val="16"/>
                <w:szCs w:val="16"/>
                <w:color w:val="auto"/>
              </w:rPr>
              <w:t>(in millions, except per share data)</w:t>
            </w:r>
          </w:p>
        </w:tc>
        <w:tc>
          <w:tcPr>
            <w:tcW w:w="1520" w:type="dxa"/>
            <w:vAlign w:val="bottom"/>
            <w:gridSpan w:val="3"/>
          </w:tcPr>
          <w:p>
            <w:pPr>
              <w:jc w:val="center"/>
              <w:ind w:left="619"/>
              <w:spacing w:after="0"/>
              <w:rPr>
                <w:sz w:val="20"/>
                <w:szCs w:val="20"/>
                <w:color w:val="auto"/>
              </w:rPr>
            </w:pPr>
            <w:r>
              <w:rPr>
                <w:rFonts w:ascii="Arial" w:cs="Arial" w:eastAsia="Arial" w:hAnsi="Arial"/>
                <w:sz w:val="16"/>
                <w:szCs w:val="16"/>
                <w:b w:val="1"/>
                <w:bCs w:val="1"/>
                <w:color w:val="auto"/>
              </w:rPr>
              <w:t>March 31,</w:t>
            </w:r>
          </w:p>
        </w:tc>
        <w:tc>
          <w:tcPr>
            <w:tcW w:w="700" w:type="dxa"/>
            <w:vAlign w:val="bottom"/>
          </w:tcPr>
          <w:p>
            <w:pPr>
              <w:spacing w:after="0"/>
              <w:rPr>
                <w:sz w:val="18"/>
                <w:szCs w:val="18"/>
                <w:color w:val="auto"/>
              </w:rPr>
            </w:pPr>
          </w:p>
        </w:tc>
      </w:tr>
      <w:tr>
        <w:trPr>
          <w:trHeight w:val="217"/>
        </w:trPr>
        <w:tc>
          <w:tcPr>
            <w:tcW w:w="8780" w:type="dxa"/>
            <w:vAlign w:val="bottom"/>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2024</w:t>
            </w:r>
          </w:p>
        </w:tc>
      </w:tr>
      <w:tr>
        <w:trPr>
          <w:trHeight w:val="216"/>
        </w:trPr>
        <w:tc>
          <w:tcPr>
            <w:tcW w:w="878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$29,887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$30,058</w:t>
            </w:r>
          </w:p>
        </w:tc>
      </w:tr>
      <w:tr>
        <w:trPr>
          <w:trHeight w:val="477"/>
        </w:trPr>
        <w:tc>
          <w:tcPr>
            <w:tcW w:w="8780" w:type="dxa"/>
            <w:vAlign w:val="bottom"/>
          </w:tcPr>
          <w:p>
            <w:pPr>
              <w:spacing w:after="0"/>
              <w:rPr>
                <w:sz w:val="20"/>
                <w:szCs w:val="20"/>
                <w:color w:val="auto"/>
              </w:rPr>
            </w:pPr>
            <w:r>
              <w:rPr>
                <w:rFonts w:ascii="Arial" w:cs="Arial" w:eastAsia="Arial" w:hAnsi="Arial"/>
                <w:sz w:val="16"/>
                <w:szCs w:val="16"/>
                <w:color w:val="auto"/>
              </w:rPr>
              <w:t>Costs and expenses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7"/>
        </w:trPr>
        <w:tc>
          <w:tcPr>
            <w:tcW w:w="8780" w:type="dxa"/>
            <w:vAlign w:val="bottom"/>
          </w:tcPr>
          <w:p>
            <w:pPr>
              <w:ind w:left="460"/>
              <w:spacing w:after="0"/>
              <w:rPr>
                <w:sz w:val="20"/>
                <w:szCs w:val="20"/>
                <w:color w:val="auto"/>
              </w:rPr>
            </w:pPr>
            <w:r>
              <w:rPr>
                <w:rFonts w:ascii="Arial" w:cs="Arial" w:eastAsia="Arial" w:hAnsi="Arial"/>
                <w:sz w:val="16"/>
                <w:szCs w:val="16"/>
                <w:color w:val="auto"/>
              </w:rPr>
              <w:t>Programming and production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8,415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8,823</w:t>
            </w:r>
          </w:p>
        </w:tc>
      </w:tr>
      <w:tr>
        <w:trPr>
          <w:trHeight w:val="216"/>
        </w:trPr>
        <w:tc>
          <w:tcPr>
            <w:tcW w:w="8780" w:type="dxa"/>
            <w:vAlign w:val="bottom"/>
          </w:tcPr>
          <w:p>
            <w:pPr>
              <w:ind w:left="460"/>
              <w:spacing w:after="0"/>
              <w:rPr>
                <w:sz w:val="20"/>
                <w:szCs w:val="20"/>
                <w:color w:val="auto"/>
              </w:rPr>
            </w:pPr>
            <w:r>
              <w:rPr>
                <w:rFonts w:ascii="Arial" w:cs="Arial" w:eastAsia="Arial" w:hAnsi="Arial"/>
                <w:sz w:val="16"/>
                <w:szCs w:val="16"/>
                <w:color w:val="auto"/>
              </w:rPr>
              <w:t>Marketing and promotion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2,071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2,018</w:t>
            </w:r>
          </w:p>
        </w:tc>
      </w:tr>
      <w:tr>
        <w:trPr>
          <w:trHeight w:val="216"/>
        </w:trPr>
        <w:tc>
          <w:tcPr>
            <w:tcW w:w="8780" w:type="dxa"/>
            <w:vAlign w:val="bottom"/>
          </w:tcPr>
          <w:p>
            <w:pPr>
              <w:ind w:left="460"/>
              <w:spacing w:after="0"/>
              <w:rPr>
                <w:sz w:val="20"/>
                <w:szCs w:val="20"/>
                <w:color w:val="auto"/>
              </w:rPr>
            </w:pPr>
            <w:r>
              <w:rPr>
                <w:rFonts w:ascii="Arial" w:cs="Arial" w:eastAsia="Arial" w:hAnsi="Arial"/>
                <w:sz w:val="16"/>
                <w:szCs w:val="16"/>
                <w:color w:val="auto"/>
              </w:rPr>
              <w:t>Other operating and administrative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9,893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9,857</w:t>
            </w:r>
          </w:p>
        </w:tc>
      </w:tr>
      <w:tr>
        <w:trPr>
          <w:trHeight w:val="216"/>
        </w:trPr>
        <w:tc>
          <w:tcPr>
            <w:tcW w:w="8780" w:type="dxa"/>
            <w:vAlign w:val="bottom"/>
          </w:tcPr>
          <w:p>
            <w:pPr>
              <w:ind w:left="460"/>
              <w:spacing w:after="0"/>
              <w:rPr>
                <w:sz w:val="20"/>
                <w:szCs w:val="20"/>
                <w:color w:val="auto"/>
              </w:rPr>
            </w:pPr>
            <w:r>
              <w:rPr>
                <w:rFonts w:ascii="Arial" w:cs="Arial" w:eastAsia="Arial" w:hAnsi="Arial"/>
                <w:sz w:val="16"/>
                <w:szCs w:val="16"/>
                <w:color w:val="auto"/>
              </w:rPr>
              <w:t>Depreciation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2,231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2,175</w:t>
            </w:r>
          </w:p>
        </w:tc>
      </w:tr>
      <w:tr>
        <w:trPr>
          <w:trHeight w:val="217"/>
        </w:trPr>
        <w:tc>
          <w:tcPr>
            <w:tcW w:w="8780" w:type="dxa"/>
            <w:vAlign w:val="bottom"/>
          </w:tcPr>
          <w:p>
            <w:pPr>
              <w:ind w:left="460"/>
              <w:spacing w:after="0"/>
              <w:rPr>
                <w:sz w:val="20"/>
                <w:szCs w:val="20"/>
                <w:color w:val="auto"/>
              </w:rPr>
            </w:pPr>
            <w:r>
              <w:rPr>
                <w:rFonts w:ascii="Arial" w:cs="Arial" w:eastAsia="Arial" w:hAnsi="Arial"/>
                <w:sz w:val="16"/>
                <w:szCs w:val="16"/>
                <w:color w:val="auto"/>
              </w:rPr>
              <w:t>Amortization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1,618</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1,376</w:t>
            </w:r>
          </w:p>
        </w:tc>
      </w:tr>
      <w:tr>
        <w:trPr>
          <w:trHeight w:val="209"/>
        </w:trPr>
        <w:tc>
          <w:tcPr>
            <w:tcW w:w="87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24,228</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24,248</w:t>
            </w:r>
          </w:p>
        </w:tc>
      </w:tr>
      <w:tr>
        <w:trPr>
          <w:trHeight w:val="418"/>
        </w:trPr>
        <w:tc>
          <w:tcPr>
            <w:tcW w:w="878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5,658</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5,810</w:t>
            </w:r>
          </w:p>
        </w:tc>
      </w:tr>
      <w:tr>
        <w:trPr>
          <w:trHeight w:val="486"/>
        </w:trPr>
        <w:tc>
          <w:tcPr>
            <w:tcW w:w="8780" w:type="dxa"/>
            <w:vAlign w:val="bottom"/>
          </w:tcPr>
          <w:p>
            <w:pPr>
              <w:spacing w:after="0"/>
              <w:rPr>
                <w:sz w:val="20"/>
                <w:szCs w:val="20"/>
                <w:color w:val="auto"/>
              </w:rPr>
            </w:pPr>
            <w:r>
              <w:rPr>
                <w:rFonts w:ascii="Arial" w:cs="Arial" w:eastAsia="Arial" w:hAnsi="Arial"/>
                <w:sz w:val="16"/>
                <w:szCs w:val="16"/>
                <w:color w:val="auto"/>
              </w:rPr>
              <w:t>Interest expense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(1,050)</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(1,002)</w:t>
            </w:r>
          </w:p>
        </w:tc>
      </w:tr>
      <w:tr>
        <w:trPr>
          <w:trHeight w:val="478"/>
        </w:trPr>
        <w:tc>
          <w:tcPr>
            <w:tcW w:w="8780" w:type="dxa"/>
            <w:vAlign w:val="bottom"/>
          </w:tcPr>
          <w:p>
            <w:pPr>
              <w:spacing w:after="0"/>
              <w:rPr>
                <w:sz w:val="20"/>
                <w:szCs w:val="20"/>
                <w:color w:val="auto"/>
              </w:rPr>
            </w:pPr>
            <w:r>
              <w:rPr>
                <w:rFonts w:ascii="Arial" w:cs="Arial" w:eastAsia="Arial" w:hAnsi="Arial"/>
                <w:sz w:val="16"/>
                <w:szCs w:val="16"/>
                <w:color w:val="auto"/>
              </w:rPr>
              <w:t>Investment and other income (loss), net</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7"/>
        </w:trPr>
        <w:tc>
          <w:tcPr>
            <w:tcW w:w="8780" w:type="dxa"/>
            <w:vAlign w:val="bottom"/>
          </w:tcPr>
          <w:p>
            <w:pPr>
              <w:ind w:left="460"/>
              <w:spacing w:after="0"/>
              <w:rPr>
                <w:sz w:val="20"/>
                <w:szCs w:val="20"/>
                <w:color w:val="auto"/>
              </w:rPr>
            </w:pPr>
            <w:r>
              <w:rPr>
                <w:rFonts w:ascii="Arial" w:cs="Arial" w:eastAsia="Arial" w:hAnsi="Arial"/>
                <w:sz w:val="16"/>
                <w:szCs w:val="16"/>
                <w:color w:val="auto"/>
              </w:rPr>
              <w:t>Equity in net income (losses) of investees,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(194)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216"/>
        </w:trPr>
        <w:tc>
          <w:tcPr>
            <w:tcW w:w="8780" w:type="dxa"/>
            <w:vAlign w:val="bottom"/>
          </w:tcPr>
          <w:p>
            <w:pPr>
              <w:ind w:left="460"/>
              <w:spacing w:after="0"/>
              <w:rPr>
                <w:sz w:val="20"/>
                <w:szCs w:val="20"/>
                <w:color w:val="auto"/>
              </w:rPr>
            </w:pPr>
            <w:r>
              <w:rPr>
                <w:rFonts w:ascii="Arial" w:cs="Arial" w:eastAsia="Arial" w:hAnsi="Arial"/>
                <w:sz w:val="16"/>
                <w:szCs w:val="16"/>
                <w:color w:val="auto"/>
              </w:rPr>
              <w:t>Realized and unrealized gains (losses) on equity securities,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7"/>
        </w:trPr>
        <w:tc>
          <w:tcPr>
            <w:tcW w:w="8780" w:type="dxa"/>
            <w:vAlign w:val="bottom"/>
          </w:tcPr>
          <w:p>
            <w:pPr>
              <w:ind w:left="460"/>
              <w:spacing w:after="0"/>
              <w:rPr>
                <w:sz w:val="20"/>
                <w:szCs w:val="20"/>
                <w:color w:val="auto"/>
              </w:rPr>
            </w:pPr>
            <w:r>
              <w:rPr>
                <w:rFonts w:ascii="Arial" w:cs="Arial" w:eastAsia="Arial" w:hAnsi="Arial"/>
                <w:sz w:val="16"/>
                <w:szCs w:val="16"/>
                <w:color w:val="auto"/>
              </w:rPr>
              <w:t>Other income (loss), net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r>
      <w:tr>
        <w:trPr>
          <w:trHeight w:val="209"/>
        </w:trPr>
        <w:tc>
          <w:tcPr>
            <w:tcW w:w="87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r>
      <w:tr>
        <w:trPr>
          <w:trHeight w:val="472"/>
        </w:trPr>
        <w:tc>
          <w:tcPr>
            <w:tcW w:w="878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4,492</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5,105</w:t>
            </w:r>
          </w:p>
        </w:tc>
      </w:tr>
      <w:tr>
        <w:trPr>
          <w:trHeight w:val="480"/>
        </w:trPr>
        <w:tc>
          <w:tcPr>
            <w:tcW w:w="8780" w:type="dxa"/>
            <w:vAlign w:val="bottom"/>
          </w:tcPr>
          <w:p>
            <w:pPr>
              <w:spacing w:after="0"/>
              <w:rPr>
                <w:sz w:val="20"/>
                <w:szCs w:val="20"/>
                <w:color w:val="auto"/>
              </w:rPr>
            </w:pPr>
            <w:r>
              <w:rPr>
                <w:rFonts w:ascii="Arial" w:cs="Arial" w:eastAsia="Arial" w:hAnsi="Arial"/>
                <w:sz w:val="16"/>
                <w:szCs w:val="16"/>
                <w:color w:val="auto"/>
              </w:rPr>
              <w:t>Income tax expense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(1,196)</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(1,328)</w:t>
            </w:r>
          </w:p>
        </w:tc>
      </w:tr>
      <w:tr>
        <w:trPr>
          <w:trHeight w:val="472"/>
        </w:trPr>
        <w:tc>
          <w:tcPr>
            <w:tcW w:w="878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3,296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3,777</w:t>
            </w:r>
          </w:p>
        </w:tc>
      </w:tr>
      <w:tr>
        <w:trPr>
          <w:trHeight w:val="486"/>
        </w:trPr>
        <w:tc>
          <w:tcPr>
            <w:tcW w:w="878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(79)</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64"/>
        </w:trPr>
        <w:tc>
          <w:tcPr>
            <w:tcW w:w="878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r>
      <w:tr>
        <w:trPr>
          <w:trHeight w:val="210"/>
        </w:trPr>
        <w:tc>
          <w:tcPr>
            <w:tcW w:w="8780" w:type="dxa"/>
            <w:vAlign w:val="bottom"/>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$3,375</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$3,857</w:t>
            </w:r>
          </w:p>
        </w:tc>
      </w:tr>
      <w:tr>
        <w:trPr>
          <w:trHeight w:val="20"/>
        </w:trPr>
        <w:tc>
          <w:tcPr>
            <w:tcW w:w="8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601"/>
        </w:trPr>
        <w:tc>
          <w:tcPr>
            <w:tcW w:w="8780" w:type="dxa"/>
            <w:vAlign w:val="bottom"/>
          </w:tcPr>
          <w:p>
            <w:pPr>
              <w:spacing w:after="0"/>
              <w:rPr>
                <w:sz w:val="20"/>
                <w:szCs w:val="20"/>
                <w:color w:val="auto"/>
              </w:rPr>
            </w:pPr>
            <w:r>
              <w:rPr>
                <w:rFonts w:ascii="Arial" w:cs="Arial" w:eastAsia="Arial" w:hAnsi="Arial"/>
                <w:sz w:val="16"/>
                <w:szCs w:val="16"/>
                <w:b w:val="1"/>
                <w:bCs w:val="1"/>
                <w:color w:val="auto"/>
              </w:rPr>
              <w:t>Diluted earnings per common share attributable to Comcast Corporation shareholders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$0.89</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$0.97</w:t>
            </w:r>
          </w:p>
        </w:tc>
      </w:tr>
      <w:tr>
        <w:trPr>
          <w:trHeight w:val="21"/>
        </w:trPr>
        <w:tc>
          <w:tcPr>
            <w:tcW w:w="8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453"/>
        </w:trPr>
        <w:tc>
          <w:tcPr>
            <w:tcW w:w="8780" w:type="dxa"/>
            <w:vAlign w:val="bottom"/>
          </w:tcPr>
          <w:p>
            <w:pPr>
              <w:spacing w:after="0"/>
              <w:rPr>
                <w:sz w:val="20"/>
                <w:szCs w:val="20"/>
                <w:color w:val="auto"/>
              </w:rPr>
            </w:pPr>
            <w:r>
              <w:rPr>
                <w:rFonts w:ascii="Arial" w:cs="Arial" w:eastAsia="Arial" w:hAnsi="Arial"/>
                <w:sz w:val="16"/>
                <w:szCs w:val="16"/>
                <w:color w:val="auto"/>
              </w:rPr>
              <w:t>Diluted weighted-average number of common shares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3,784</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3,992</w:t>
            </w:r>
          </w:p>
        </w:tc>
      </w:tr>
      <w:tr>
        <w:trPr>
          <w:trHeight w:val="20"/>
        </w:trPr>
        <w:tc>
          <w:tcPr>
            <w:tcW w:w="8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000"/>
          </w:cols>
          <w:pgMar w:left="340" w:top="736" w:right="559" w:bottom="1440" w:gutter="0" w:footer="0" w:header="0"/>
        </w:sectPr>
      </w:pPr>
    </w:p>
    <w:bookmarkStart w:id="13" w:name="page14"/>
    <w:bookmarkEnd w:id="13"/>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372110</wp:posOffset>
            </wp:positionV>
            <wp:extent cx="1028700"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11480"/>
                    </a:xfrm>
                    <a:prstGeom prst="rect">
                      <a:avLst/>
                    </a:prstGeom>
                    <a:noFill/>
                  </pic:spPr>
                </pic:pic>
              </a:graphicData>
            </a:graphic>
          </wp:anchor>
        </w:drawing>
        <w:t>TABLE 2</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232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8900" w:type="dxa"/>
            <w:vAlign w:val="bottom"/>
          </w:tcPr>
          <w:p>
            <w:pPr>
              <w:spacing w:after="0"/>
              <w:rPr>
                <w:sz w:val="20"/>
                <w:szCs w:val="20"/>
                <w:color w:val="auto"/>
              </w:rPr>
            </w:pPr>
            <w:r>
              <w:rPr>
                <w:rFonts w:ascii="Arial" w:cs="Arial" w:eastAsia="Arial" w:hAnsi="Arial"/>
                <w:sz w:val="16"/>
                <w:szCs w:val="16"/>
                <w:color w:val="auto"/>
              </w:rPr>
              <w:t>(in millions)</w:t>
            </w:r>
          </w:p>
        </w:tc>
        <w:tc>
          <w:tcPr>
            <w:tcW w:w="158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rPr>
              <w:t>March 31,</w:t>
            </w:r>
          </w:p>
        </w:tc>
        <w:tc>
          <w:tcPr>
            <w:tcW w:w="740" w:type="dxa"/>
            <w:vAlign w:val="bottom"/>
          </w:tcPr>
          <w:p>
            <w:pPr>
              <w:spacing w:after="0"/>
              <w:rPr>
                <w:sz w:val="18"/>
                <w:szCs w:val="18"/>
                <w:color w:val="auto"/>
              </w:rPr>
            </w:pPr>
          </w:p>
        </w:tc>
      </w:tr>
      <w:tr>
        <w:trPr>
          <w:trHeight w:val="217"/>
        </w:trPr>
        <w:tc>
          <w:tcPr>
            <w:tcW w:w="8900" w:type="dxa"/>
            <w:vAlign w:val="bottom"/>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2024</w:t>
            </w:r>
          </w:p>
        </w:tc>
      </w:tr>
      <w:tr>
        <w:trPr>
          <w:trHeight w:val="411"/>
        </w:trPr>
        <w:tc>
          <w:tcPr>
            <w:tcW w:w="890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$3,296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$3,777</w:t>
            </w:r>
          </w:p>
        </w:tc>
      </w:tr>
      <w:tr>
        <w:trPr>
          <w:trHeight w:val="215"/>
        </w:trPr>
        <w:tc>
          <w:tcPr>
            <w:tcW w:w="8900" w:type="dxa"/>
            <w:vAlign w:val="bottom"/>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3,849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3,551</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Share-based compensation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382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373</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Noncash interest expense (income),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Net (gain) loss on investment activity and other</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231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Deferred income taxes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5"/>
        </w:trPr>
        <w:tc>
          <w:tcPr>
            <w:tcW w:w="890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 net of effects of acquisitions and divestitures: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Current and noncurrent receivables,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935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643</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Film and television costs,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Accounts payable and accrued expenses related to trade creditors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(446)</w:t>
            </w: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Other operating assets and liabilities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(327)</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r>
      <w:tr>
        <w:trPr>
          <w:trHeight w:val="304"/>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8,294</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7,848</w:t>
            </w:r>
          </w:p>
        </w:tc>
      </w:tr>
      <w:tr>
        <w:trPr>
          <w:trHeight w:val="290"/>
        </w:trPr>
        <w:tc>
          <w:tcPr>
            <w:tcW w:w="89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(2,252)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(2,630)</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Cash paid for intangible assets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(622)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(679)</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Construction of Universal Beijing Resort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sales of businesses and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274</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Purchases of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(145)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(404)</w:t>
            </w:r>
          </w:p>
        </w:tc>
      </w:tr>
      <w:tr>
        <w:trPr>
          <w:trHeight w:val="217"/>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50"/>
        </w:trPr>
        <w:tc>
          <w:tcPr>
            <w:tcW w:w="8900" w:type="dxa"/>
            <w:vAlign w:val="bottom"/>
          </w:tcPr>
          <w:p>
            <w:pPr>
              <w:ind w:left="980"/>
              <w:spacing w:after="0"/>
              <w:rPr>
                <w:sz w:val="20"/>
                <w:szCs w:val="20"/>
                <w:color w:val="auto"/>
              </w:rPr>
            </w:pPr>
            <w:r>
              <w:rPr>
                <w:rFonts w:ascii="Arial" w:cs="Arial" w:eastAsia="Arial" w:hAnsi="Arial"/>
                <w:sz w:val="16"/>
                <w:szCs w:val="16"/>
                <w:color w:val="auto"/>
              </w:rPr>
              <w:t>Net cash (used in) investing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(2,958)</w:t>
            </w: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(3,511)</w:t>
            </w:r>
          </w:p>
        </w:tc>
      </w:tr>
      <w:tr>
        <w:trPr>
          <w:trHeight w:val="290"/>
        </w:trPr>
        <w:tc>
          <w:tcPr>
            <w:tcW w:w="89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borrowings</w:t>
            </w:r>
          </w:p>
        </w:tc>
        <w:tc>
          <w:tcPr>
            <w:tcW w:w="158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and repayments of debt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(636)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(289)</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of common stock under repurchase program and employee plans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(2,240)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(2,664)</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Dividends paid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(1,224)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(1,193)</w:t>
            </w:r>
          </w:p>
        </w:tc>
      </w:tr>
      <w:tr>
        <w:trPr>
          <w:trHeight w:val="217"/>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r>
      <w:tr>
        <w:trPr>
          <w:trHeight w:val="290"/>
        </w:trPr>
        <w:tc>
          <w:tcPr>
            <w:tcW w:w="8900" w:type="dxa"/>
            <w:vAlign w:val="bottom"/>
          </w:tcPr>
          <w:p>
            <w:pPr>
              <w:ind w:left="980"/>
              <w:spacing w:after="0"/>
              <w:rPr>
                <w:sz w:val="20"/>
                <w:szCs w:val="20"/>
                <w:color w:val="auto"/>
              </w:rPr>
            </w:pPr>
            <w:r>
              <w:rPr>
                <w:rFonts w:ascii="Arial" w:cs="Arial" w:eastAsia="Arial" w:hAnsi="Arial"/>
                <w:sz w:val="16"/>
                <w:szCs w:val="16"/>
                <w:color w:val="auto"/>
              </w:rPr>
              <w:t>Net cash (used in) financing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(4,075)</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(4,023)</w:t>
            </w:r>
          </w:p>
        </w:tc>
      </w:tr>
      <w:tr>
        <w:trPr>
          <w:trHeight w:val="418"/>
        </w:trPr>
        <w:tc>
          <w:tcPr>
            <w:tcW w:w="8900" w:type="dxa"/>
            <w:vAlign w:val="bottom"/>
          </w:tcPr>
          <w:p>
            <w:pPr>
              <w:spacing w:after="0"/>
              <w:rPr>
                <w:sz w:val="20"/>
                <w:szCs w:val="20"/>
                <w:color w:val="auto"/>
              </w:rPr>
            </w:pPr>
            <w:r>
              <w:rPr>
                <w:rFonts w:ascii="Arial" w:cs="Arial" w:eastAsia="Arial" w:hAnsi="Arial"/>
                <w:sz w:val="16"/>
                <w:szCs w:val="16"/>
                <w:color w:val="auto"/>
              </w:rPr>
              <w:t>Impact of foreign currency on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78"/>
        </w:trPr>
        <w:tc>
          <w:tcPr>
            <w:tcW w:w="8900" w:type="dxa"/>
            <w:vAlign w:val="bottom"/>
          </w:tcPr>
          <w:p>
            <w:pPr>
              <w:spacing w:after="0"/>
              <w:rPr>
                <w:sz w:val="20"/>
                <w:szCs w:val="20"/>
                <w:color w:val="auto"/>
              </w:rPr>
            </w:pPr>
            <w:r>
              <w:rPr>
                <w:rFonts w:ascii="Arial" w:cs="Arial" w:eastAsia="Arial" w:hAnsi="Arial"/>
                <w:sz w:val="16"/>
                <w:szCs w:val="16"/>
                <w:color w:val="auto"/>
              </w:rPr>
              <w:t>Increase (decrease) in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1,275</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304</w:t>
            </w:r>
          </w:p>
        </w:tc>
      </w:tr>
      <w:tr>
        <w:trPr>
          <w:trHeight w:val="426"/>
        </w:trPr>
        <w:tc>
          <w:tcPr>
            <w:tcW w:w="8900" w:type="dxa"/>
            <w:vAlign w:val="bottom"/>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7,377</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6,282</w:t>
            </w:r>
          </w:p>
        </w:tc>
      </w:tr>
      <w:tr>
        <w:trPr>
          <w:trHeight w:val="412"/>
        </w:trPr>
        <w:tc>
          <w:tcPr>
            <w:tcW w:w="890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$8,652</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$6,586</w:t>
            </w:r>
          </w:p>
        </w:tc>
      </w:tr>
      <w:tr>
        <w:trPr>
          <w:trHeight w:val="20"/>
        </w:trPr>
        <w:tc>
          <w:tcPr>
            <w:tcW w:w="8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20"/>
          </w:cols>
          <w:pgMar w:left="340" w:top="777" w:right="33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346075</wp:posOffset>
            </wp:positionV>
            <wp:extent cx="1028700" cy="402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02590"/>
                    </a:xfrm>
                    <a:prstGeom prst="rect">
                      <a:avLst/>
                    </a:prstGeom>
                    <a:noFill/>
                  </pic:spPr>
                </pic:pic>
              </a:graphicData>
            </a:graphic>
          </wp:anchor>
        </w:drawing>
        <w:t>TABLE 3</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20"/>
                <w:szCs w:val="20"/>
                <w:color w:val="auto"/>
              </w:rPr>
            </w:pPr>
            <w:r>
              <w:rPr>
                <w:rFonts w:ascii="Arial" w:cs="Arial" w:eastAsia="Arial" w:hAnsi="Arial"/>
                <w:sz w:val="16"/>
                <w:szCs w:val="16"/>
                <w:color w:val="auto"/>
              </w:rPr>
              <w:t>(in millions)</w:t>
            </w:r>
          </w:p>
        </w:tc>
        <w:tc>
          <w:tcPr>
            <w:tcW w:w="2480" w:type="dxa"/>
            <w:vAlign w:val="bottom"/>
          </w:tcPr>
          <w:p>
            <w:pPr>
              <w:spacing w:after="0"/>
              <w:rPr>
                <w:sz w:val="18"/>
                <w:szCs w:val="18"/>
                <w:color w:val="auto"/>
              </w:rPr>
            </w:pPr>
          </w:p>
        </w:tc>
        <w:tc>
          <w:tcPr>
            <w:tcW w:w="1840" w:type="dxa"/>
            <w:vAlign w:val="bottom"/>
            <w:gridSpan w:val="2"/>
          </w:tcPr>
          <w:p>
            <w:pPr>
              <w:ind w:left="420"/>
              <w:spacing w:after="0"/>
              <w:rPr>
                <w:sz w:val="20"/>
                <w:szCs w:val="20"/>
                <w:color w:val="auto"/>
              </w:rPr>
            </w:pPr>
            <w:r>
              <w:rPr>
                <w:rFonts w:ascii="Arial" w:cs="Arial" w:eastAsia="Arial" w:hAnsi="Arial"/>
                <w:sz w:val="16"/>
                <w:szCs w:val="16"/>
                <w:b w:val="1"/>
                <w:bCs w:val="1"/>
                <w:color w:val="auto"/>
              </w:rPr>
              <w:t>March 31,</w:t>
            </w:r>
          </w:p>
        </w:tc>
        <w:tc>
          <w:tcPr>
            <w:tcW w:w="1600" w:type="dxa"/>
            <w:vAlign w:val="bottom"/>
          </w:tcPr>
          <w:p>
            <w:pPr>
              <w:jc w:val="right"/>
              <w:ind w:right="21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17"/>
        </w:trPr>
        <w:tc>
          <w:tcPr>
            <w:tcW w:w="530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408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8"/>
                <w:szCs w:val="18"/>
                <w:color w:val="auto"/>
              </w:rPr>
            </w:pPr>
          </w:p>
        </w:tc>
        <w:tc>
          <w:tcPr>
            <w:tcW w:w="1600" w:type="dxa"/>
            <w:vAlign w:val="bottom"/>
          </w:tcPr>
          <w:p>
            <w:pPr>
              <w:jc w:val="right"/>
              <w:ind w:right="539"/>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02"/>
        </w:trPr>
        <w:tc>
          <w:tcPr>
            <w:tcW w:w="5300" w:type="dxa"/>
            <w:vAlign w:val="bottom"/>
            <w:vMerge w:val="continue"/>
          </w:tcPr>
          <w:p>
            <w:pPr>
              <w:spacing w:after="0"/>
              <w:rPr>
                <w:sz w:val="17"/>
                <w:szCs w:val="17"/>
                <w:color w:val="auto"/>
              </w:rPr>
            </w:pPr>
          </w:p>
        </w:tc>
        <w:tc>
          <w:tcPr>
            <w:tcW w:w="248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0"/>
        </w:trPr>
        <w:tc>
          <w:tcPr>
            <w:tcW w:w="5300" w:type="dxa"/>
            <w:vAlign w:val="bottom"/>
          </w:tcPr>
          <w:p>
            <w:pPr>
              <w:spacing w:after="0"/>
              <w:rPr>
                <w:sz w:val="20"/>
                <w:szCs w:val="20"/>
                <w:color w:val="auto"/>
              </w:rPr>
            </w:pPr>
            <w:r>
              <w:rPr>
                <w:rFonts w:ascii="Arial" w:cs="Arial" w:eastAsia="Arial" w:hAnsi="Arial"/>
                <w:sz w:val="16"/>
                <w:szCs w:val="16"/>
                <w:color w:val="auto"/>
              </w:rPr>
              <w:t>Current Assets</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$8,593</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$7,322</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Receivables,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12,881</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13,661</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Other current assets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5,840</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5,817</w:t>
            </w:r>
          </w:p>
        </w:tc>
        <w:tc>
          <w:tcPr>
            <w:tcW w:w="0" w:type="dxa"/>
            <w:vAlign w:val="bottom"/>
          </w:tcPr>
          <w:p>
            <w:pPr>
              <w:spacing w:after="0"/>
              <w:rPr>
                <w:sz w:val="1"/>
                <w:szCs w:val="1"/>
                <w:color w:val="auto"/>
              </w:rPr>
            </w:pPr>
          </w:p>
        </w:tc>
      </w:tr>
      <w:tr>
        <w:trPr>
          <w:trHeight w:val="209"/>
        </w:trPr>
        <w:tc>
          <w:tcPr>
            <w:tcW w:w="530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27,314</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26,801</w:t>
            </w:r>
          </w:p>
        </w:tc>
        <w:tc>
          <w:tcPr>
            <w:tcW w:w="0" w:type="dxa"/>
            <w:vAlign w:val="bottom"/>
          </w:tcPr>
          <w:p>
            <w:pPr>
              <w:spacing w:after="0"/>
              <w:rPr>
                <w:sz w:val="1"/>
                <w:szCs w:val="1"/>
                <w:color w:val="auto"/>
              </w:rPr>
            </w:pPr>
          </w:p>
        </w:tc>
      </w:tr>
      <w:tr>
        <w:trPr>
          <w:trHeight w:val="418"/>
        </w:trPr>
        <w:tc>
          <w:tcPr>
            <w:tcW w:w="5300" w:type="dxa"/>
            <w:vAlign w:val="bottom"/>
          </w:tcPr>
          <w:p>
            <w:pPr>
              <w:spacing w:after="0"/>
              <w:rPr>
                <w:sz w:val="20"/>
                <w:szCs w:val="20"/>
                <w:color w:val="auto"/>
              </w:rPr>
            </w:pPr>
            <w:r>
              <w:rPr>
                <w:rFonts w:ascii="Arial" w:cs="Arial" w:eastAsia="Arial" w:hAnsi="Arial"/>
                <w:sz w:val="16"/>
                <w:szCs w:val="16"/>
                <w:color w:val="auto"/>
              </w:rPr>
              <w:t>Film and television costs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12,774</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12,541</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Investments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8,524</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8,647</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63,292</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62,548</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Goodwill</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59,094</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58,209</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Franchise rights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59,365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59,365</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24,943</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25,599</w:t>
            </w:r>
          </w:p>
        </w:tc>
        <w:tc>
          <w:tcPr>
            <w:tcW w:w="0" w:type="dxa"/>
            <w:vAlign w:val="bottom"/>
          </w:tcPr>
          <w:p>
            <w:pPr>
              <w:spacing w:after="0"/>
              <w:rPr>
                <w:sz w:val="1"/>
                <w:szCs w:val="1"/>
                <w:color w:val="auto"/>
              </w:rPr>
            </w:pPr>
          </w:p>
        </w:tc>
      </w:tr>
      <w:tr>
        <w:trPr>
          <w:trHeight w:val="426"/>
        </w:trPr>
        <w:tc>
          <w:tcPr>
            <w:tcW w:w="5300" w:type="dxa"/>
            <w:vAlign w:val="bottom"/>
          </w:tcPr>
          <w:p>
            <w:pPr>
              <w:spacing w:after="0"/>
              <w:rPr>
                <w:sz w:val="20"/>
                <w:szCs w:val="20"/>
                <w:color w:val="auto"/>
              </w:rPr>
            </w:pPr>
            <w:r>
              <w:rPr>
                <w:rFonts w:ascii="Arial" w:cs="Arial" w:eastAsia="Arial" w:hAnsi="Arial"/>
                <w:sz w:val="16"/>
                <w:szCs w:val="16"/>
                <w:color w:val="auto"/>
              </w:rPr>
              <w:t>Other noncurrent assets, net</w:t>
            </w:r>
          </w:p>
        </w:tc>
        <w:tc>
          <w:tcPr>
            <w:tcW w:w="248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12,464</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12,501</w:t>
            </w:r>
          </w:p>
        </w:tc>
        <w:tc>
          <w:tcPr>
            <w:tcW w:w="0" w:type="dxa"/>
            <w:vAlign w:val="bottom"/>
          </w:tcPr>
          <w:p>
            <w:pPr>
              <w:spacing w:after="0"/>
              <w:rPr>
                <w:sz w:val="1"/>
                <w:szCs w:val="1"/>
                <w:color w:val="auto"/>
              </w:rPr>
            </w:pPr>
          </w:p>
        </w:tc>
      </w:tr>
      <w:tr>
        <w:trPr>
          <w:trHeight w:val="412"/>
        </w:trPr>
        <w:tc>
          <w:tcPr>
            <w:tcW w:w="5300" w:type="dxa"/>
            <w:vAlign w:val="bottom"/>
          </w:tcPr>
          <w:p>
            <w:pPr>
              <w:spacing w:after="0"/>
              <w:rPr>
                <w:sz w:val="24"/>
                <w:szCs w:val="24"/>
                <w:color w:val="auto"/>
              </w:rPr>
            </w:pP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$267,770</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$266,211</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24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4"/>
        </w:trPr>
        <w:tc>
          <w:tcPr>
            <w:tcW w:w="530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5300" w:type="dxa"/>
            <w:vAlign w:val="bottom"/>
          </w:tcPr>
          <w:p>
            <w:pPr>
              <w:spacing w:after="0"/>
              <w:rPr>
                <w:sz w:val="20"/>
                <w:szCs w:val="20"/>
                <w:color w:val="auto"/>
              </w:rPr>
            </w:pPr>
            <w:r>
              <w:rPr>
                <w:rFonts w:ascii="Arial" w:cs="Arial" w:eastAsia="Arial" w:hAnsi="Arial"/>
                <w:sz w:val="16"/>
                <w:szCs w:val="16"/>
                <w:color w:val="auto"/>
              </w:rPr>
              <w:t>Current Liabilities</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Accounts payable and accrued expenses related to trade creditors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$11,545</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$11,321</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3,766</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3,507</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11,000</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10,679</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Current portion of debt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6,848</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4,907</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Advance on sale of investment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9,167</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9,167</w:t>
            </w:r>
          </w:p>
        </w:tc>
        <w:tc>
          <w:tcPr>
            <w:tcW w:w="0" w:type="dxa"/>
            <w:vAlign w:val="bottom"/>
          </w:tcPr>
          <w:p>
            <w:pPr>
              <w:spacing w:after="0"/>
              <w:rPr>
                <w:sz w:val="1"/>
                <w:szCs w:val="1"/>
                <w:color w:val="auto"/>
              </w:rPr>
            </w:pPr>
          </w:p>
        </w:tc>
      </w:tr>
      <w:tr>
        <w:trPr>
          <w:trHeight w:val="210"/>
        </w:trPr>
        <w:tc>
          <w:tcPr>
            <w:tcW w:w="530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42,325</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39,581</w:t>
            </w:r>
          </w:p>
        </w:tc>
        <w:tc>
          <w:tcPr>
            <w:tcW w:w="0" w:type="dxa"/>
            <w:vAlign w:val="bottom"/>
          </w:tcPr>
          <w:p>
            <w:pPr>
              <w:spacing w:after="0"/>
              <w:rPr>
                <w:sz w:val="1"/>
                <w:szCs w:val="1"/>
                <w:color w:val="auto"/>
              </w:rPr>
            </w:pPr>
          </w:p>
        </w:tc>
      </w:tr>
      <w:tr>
        <w:trPr>
          <w:trHeight w:val="418"/>
        </w:trPr>
        <w:tc>
          <w:tcPr>
            <w:tcW w:w="5300" w:type="dxa"/>
            <w:vAlign w:val="bottom"/>
          </w:tcPr>
          <w:p>
            <w:pPr>
              <w:spacing w:after="0"/>
              <w:rPr>
                <w:sz w:val="20"/>
                <w:szCs w:val="20"/>
                <w:color w:val="auto"/>
              </w:rPr>
            </w:pPr>
            <w:r>
              <w:rPr>
                <w:rFonts w:ascii="Arial" w:cs="Arial" w:eastAsia="Arial" w:hAnsi="Arial"/>
                <w:sz w:val="16"/>
                <w:szCs w:val="16"/>
                <w:color w:val="auto"/>
              </w:rPr>
              <w:t>Noncurrent portion of debt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92,274</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94,186</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Deferred income taxes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25,136</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25,227</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20,735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20,942</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Redeemable noncontrolling interests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244</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424"/>
        </w:trPr>
        <w:tc>
          <w:tcPr>
            <w:tcW w:w="5300" w:type="dxa"/>
            <w:vAlign w:val="bottom"/>
          </w:tcPr>
          <w:p>
            <w:pPr>
              <w:spacing w:after="0"/>
              <w:rPr>
                <w:sz w:val="20"/>
                <w:szCs w:val="20"/>
                <w:color w:val="auto"/>
              </w:rPr>
            </w:pPr>
            <w:r>
              <w:rPr>
                <w:rFonts w:ascii="Arial" w:cs="Arial" w:eastAsia="Arial" w:hAnsi="Arial"/>
                <w:sz w:val="16"/>
                <w:szCs w:val="16"/>
                <w:color w:val="auto"/>
              </w:rPr>
              <w:t>Equity</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Comcast Corporation shareholders' equity</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86,638</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85,560</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Noncontrolling interests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418</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10"/>
        </w:trPr>
        <w:tc>
          <w:tcPr>
            <w:tcW w:w="5300" w:type="dxa"/>
            <w:vAlign w:val="bottom"/>
          </w:tcPr>
          <w:p>
            <w:pPr>
              <w:ind w:left="460"/>
              <w:spacing w:after="0"/>
              <w:rPr>
                <w:sz w:val="20"/>
                <w:szCs w:val="20"/>
                <w:color w:val="auto"/>
              </w:rPr>
            </w:pPr>
            <w:r>
              <w:rPr>
                <w:rFonts w:ascii="Arial" w:cs="Arial" w:eastAsia="Arial" w:hAnsi="Arial"/>
                <w:sz w:val="16"/>
                <w:szCs w:val="16"/>
                <w:color w:val="auto"/>
              </w:rPr>
              <w:t>Total equity</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87,056</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86,038</w:t>
            </w:r>
          </w:p>
        </w:tc>
        <w:tc>
          <w:tcPr>
            <w:tcW w:w="0" w:type="dxa"/>
            <w:vAlign w:val="bottom"/>
          </w:tcPr>
          <w:p>
            <w:pPr>
              <w:spacing w:after="0"/>
              <w:rPr>
                <w:sz w:val="1"/>
                <w:szCs w:val="1"/>
                <w:color w:val="auto"/>
              </w:rPr>
            </w:pPr>
          </w:p>
        </w:tc>
      </w:tr>
      <w:tr>
        <w:trPr>
          <w:trHeight w:val="412"/>
        </w:trPr>
        <w:tc>
          <w:tcPr>
            <w:tcW w:w="5300" w:type="dxa"/>
            <w:vAlign w:val="bottom"/>
          </w:tcPr>
          <w:p>
            <w:pPr>
              <w:spacing w:after="0"/>
              <w:rPr>
                <w:sz w:val="24"/>
                <w:szCs w:val="24"/>
                <w:color w:val="auto"/>
              </w:rPr>
            </w:pP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$267,770</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$266,211</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2480" w:type="dxa"/>
            <w:vAlign w:val="bottom"/>
            <w:vMerge w:val="restart"/>
          </w:tcPr>
          <w:p>
            <w:pPr>
              <w:jc w:val="right"/>
              <w:ind w:right="2019"/>
              <w:spacing w:after="0"/>
              <w:rPr>
                <w:sz w:val="20"/>
                <w:szCs w:val="20"/>
                <w:color w:val="auto"/>
              </w:rPr>
            </w:pPr>
            <w:r>
              <w:rPr>
                <w:rFonts w:ascii="Arial" w:cs="Arial" w:eastAsia="Arial" w:hAnsi="Arial"/>
                <w:sz w:val="14"/>
                <w:szCs w:val="14"/>
                <w:color w:val="auto"/>
              </w:rPr>
              <w:t>12</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1"/>
        </w:trPr>
        <w:tc>
          <w:tcPr>
            <w:tcW w:w="53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736" w:right="339" w:bottom="1440" w:gutter="0" w:footer="0" w:header="0"/>
        </w:sectPr>
      </w:pPr>
    </w:p>
    <w:bookmarkStart w:id="15" w:name="page16"/>
    <w:bookmarkEnd w:id="15"/>
    <w:p>
      <w:pPr>
        <w:spacing w:after="0"/>
        <w:rPr>
          <w:sz w:val="20"/>
          <w:szCs w:val="20"/>
          <w:color w:val="auto"/>
        </w:rPr>
      </w:pPr>
      <w:r>
        <w:rPr>
          <w:rFonts w:ascii="Arial" w:cs="Arial" w:eastAsia="Arial" w:hAnsi="Arial"/>
          <w:sz w:val="25"/>
          <w:szCs w:val="25"/>
          <w:b w:val="1"/>
          <w:bCs w:val="1"/>
          <w:color w:val="828282"/>
        </w:rPr>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-149225</wp:posOffset>
            </wp:positionV>
            <wp:extent cx="1028700" cy="4032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0" cy="403225"/>
                    </a:xfrm>
                    <a:prstGeom prst="rect">
                      <a:avLst/>
                    </a:prstGeom>
                    <a:noFill/>
                  </pic:spPr>
                </pic:pic>
              </a:graphicData>
            </a:graphic>
          </wp:anchor>
        </w:drawing>
      </w:r>
    </w:p>
    <w:p>
      <w:pPr>
        <w:spacing w:after="0" w:line="184" w:lineRule="exact"/>
        <w:rPr>
          <w:sz w:val="20"/>
          <w:szCs w:val="20"/>
          <w:color w:val="auto"/>
        </w:rPr>
      </w:pPr>
    </w:p>
    <w:p>
      <w:pPr>
        <w:ind w:right="2420"/>
        <w:spacing w:after="0" w:line="249" w:lineRule="auto"/>
        <w:rPr>
          <w:sz w:val="20"/>
          <w:szCs w:val="20"/>
          <w:color w:val="auto"/>
        </w:rPr>
      </w:pPr>
      <w:r>
        <w:rPr>
          <w:rFonts w:ascii="Arial" w:cs="Arial" w:eastAsia="Arial" w:hAnsi="Arial"/>
          <w:sz w:val="18"/>
          <w:szCs w:val="18"/>
          <w:b w:val="1"/>
          <w:bCs w:val="1"/>
          <w:color w:val="828282"/>
        </w:rPr>
        <w:t>Reconciliation from Net Income Attributable to Comcast Corporation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63436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94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 March</w:t>
            </w:r>
          </w:p>
        </w:tc>
      </w:tr>
      <w:tr>
        <w:trPr>
          <w:trHeight w:val="189"/>
        </w:trPr>
        <w:tc>
          <w:tcPr>
            <w:tcW w:w="8040" w:type="dxa"/>
            <w:vAlign w:val="bottom"/>
          </w:tcPr>
          <w:p>
            <w:pPr>
              <w:spacing w:after="0"/>
              <w:rPr>
                <w:sz w:val="16"/>
                <w:szCs w:val="16"/>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31,</w:t>
            </w:r>
          </w:p>
        </w:tc>
        <w:tc>
          <w:tcPr>
            <w:tcW w:w="740" w:type="dxa"/>
            <w:vAlign w:val="bottom"/>
          </w:tcPr>
          <w:p>
            <w:pPr>
              <w:spacing w:after="0"/>
              <w:rPr>
                <w:sz w:val="16"/>
                <w:szCs w:val="16"/>
                <w:color w:val="auto"/>
              </w:rPr>
            </w:pPr>
          </w:p>
        </w:tc>
      </w:tr>
      <w:tr>
        <w:trPr>
          <w:trHeight w:val="196"/>
        </w:trPr>
        <w:tc>
          <w:tcPr>
            <w:tcW w:w="8040" w:type="dxa"/>
            <w:vAlign w:val="bottom"/>
          </w:tcPr>
          <w:p>
            <w:pPr>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2024</w:t>
            </w:r>
          </w:p>
        </w:tc>
      </w:tr>
      <w:tr>
        <w:trPr>
          <w:trHeight w:val="196"/>
        </w:trPr>
        <w:tc>
          <w:tcPr>
            <w:tcW w:w="804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$3,375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$3,857</w:t>
            </w:r>
          </w:p>
        </w:tc>
      </w:tr>
      <w:tr>
        <w:trPr>
          <w:trHeight w:val="203"/>
        </w:trPr>
        <w:tc>
          <w:tcPr>
            <w:tcW w:w="8040" w:type="dxa"/>
            <w:vAlign w:val="bottom"/>
          </w:tcPr>
          <w:p>
            <w:pPr>
              <w:spacing w:after="0"/>
              <w:rPr>
                <w:sz w:val="20"/>
                <w:szCs w:val="20"/>
                <w:color w:val="auto"/>
              </w:rPr>
            </w:pPr>
            <w:r>
              <w:rPr>
                <w:rFonts w:ascii="Arial" w:cs="Arial" w:eastAsia="Arial" w:hAnsi="Arial"/>
                <w:sz w:val="14"/>
                <w:szCs w:val="14"/>
                <w:color w:val="auto"/>
              </w:rPr>
              <w:t>Net income (loss) attributable to noncontrolling interests</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(79)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203"/>
        </w:trPr>
        <w:tc>
          <w:tcPr>
            <w:tcW w:w="8040" w:type="dxa"/>
            <w:vAlign w:val="bottom"/>
          </w:tcPr>
          <w:p>
            <w:pPr>
              <w:spacing w:after="0"/>
              <w:rPr>
                <w:sz w:val="20"/>
                <w:szCs w:val="20"/>
                <w:color w:val="auto"/>
              </w:rPr>
            </w:pPr>
            <w:r>
              <w:rPr>
                <w:rFonts w:ascii="Arial" w:cs="Arial" w:eastAsia="Arial" w:hAnsi="Arial"/>
                <w:sz w:val="14"/>
                <w:szCs w:val="14"/>
                <w:color w:val="auto"/>
              </w:rPr>
              <w:t>Income tax expense</w:t>
            </w: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1,196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1,328</w:t>
            </w:r>
          </w:p>
        </w:tc>
      </w:tr>
      <w:tr>
        <w:trPr>
          <w:trHeight w:val="203"/>
        </w:trPr>
        <w:tc>
          <w:tcPr>
            <w:tcW w:w="8040" w:type="dxa"/>
            <w:vAlign w:val="bottom"/>
          </w:tcPr>
          <w:p>
            <w:pPr>
              <w:spacing w:after="0"/>
              <w:rPr>
                <w:sz w:val="20"/>
                <w:szCs w:val="20"/>
                <w:color w:val="auto"/>
              </w:rPr>
            </w:pPr>
            <w:r>
              <w:rPr>
                <w:rFonts w:ascii="Arial" w:cs="Arial" w:eastAsia="Arial" w:hAnsi="Arial"/>
                <w:sz w:val="14"/>
                <w:szCs w:val="14"/>
                <w:color w:val="auto"/>
              </w:rPr>
              <w:t>Interest expense</w:t>
            </w: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1,050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1,002</w:t>
            </w:r>
          </w:p>
        </w:tc>
      </w:tr>
      <w:tr>
        <w:trPr>
          <w:trHeight w:val="203"/>
        </w:trPr>
        <w:tc>
          <w:tcPr>
            <w:tcW w:w="8040" w:type="dxa"/>
            <w:vAlign w:val="bottom"/>
          </w:tcPr>
          <w:p>
            <w:pPr>
              <w:spacing w:after="0"/>
              <w:rPr>
                <w:sz w:val="20"/>
                <w:szCs w:val="20"/>
                <w:color w:val="auto"/>
              </w:rPr>
            </w:pPr>
            <w:r>
              <w:rPr>
                <w:rFonts w:ascii="Arial" w:cs="Arial" w:eastAsia="Arial" w:hAnsi="Arial"/>
                <w:sz w:val="14"/>
                <w:szCs w:val="14"/>
                <w:color w:val="auto"/>
              </w:rPr>
              <w:t>Investment and other (income) loss, net</w:t>
            </w: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116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(298)</w:t>
            </w:r>
          </w:p>
        </w:tc>
      </w:tr>
      <w:tr>
        <w:trPr>
          <w:trHeight w:val="203"/>
        </w:trPr>
        <w:tc>
          <w:tcPr>
            <w:tcW w:w="8040" w:type="dxa"/>
            <w:vAlign w:val="bottom"/>
          </w:tcPr>
          <w:p>
            <w:pPr>
              <w:spacing w:after="0"/>
              <w:rPr>
                <w:sz w:val="20"/>
                <w:szCs w:val="20"/>
                <w:color w:val="auto"/>
              </w:rPr>
            </w:pPr>
            <w:r>
              <w:rPr>
                <w:rFonts w:ascii="Arial" w:cs="Arial" w:eastAsia="Arial" w:hAnsi="Arial"/>
                <w:sz w:val="14"/>
                <w:szCs w:val="14"/>
                <w:color w:val="auto"/>
              </w:rPr>
              <w:t>Depreciation</w:t>
            </w: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2,231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2,175</w:t>
            </w:r>
          </w:p>
        </w:tc>
      </w:tr>
      <w:tr>
        <w:trPr>
          <w:trHeight w:val="203"/>
        </w:trPr>
        <w:tc>
          <w:tcPr>
            <w:tcW w:w="8040" w:type="dxa"/>
            <w:vAlign w:val="bottom"/>
          </w:tcPr>
          <w:p>
            <w:pPr>
              <w:spacing w:after="0"/>
              <w:rPr>
                <w:sz w:val="20"/>
                <w:szCs w:val="20"/>
                <w:color w:val="auto"/>
              </w:rPr>
            </w:pPr>
            <w:r>
              <w:rPr>
                <w:rFonts w:ascii="Arial" w:cs="Arial" w:eastAsia="Arial" w:hAnsi="Arial"/>
                <w:sz w:val="14"/>
                <w:szCs w:val="14"/>
                <w:color w:val="auto"/>
              </w:rPr>
              <w:t>Amortization</w:t>
            </w: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1,618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1,376</w:t>
            </w:r>
          </w:p>
        </w:tc>
      </w:tr>
      <w:tr>
        <w:trPr>
          <w:trHeight w:val="205"/>
        </w:trPr>
        <w:tc>
          <w:tcPr>
            <w:tcW w:w="8040" w:type="dxa"/>
            <w:vAlign w:val="bottom"/>
          </w:tcPr>
          <w:p>
            <w:pPr>
              <w:spacing w:after="0" w:line="205"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18"/>
                <w:szCs w:val="18"/>
                <w:color w:val="auto"/>
                <w:vertAlign w:val="superscript"/>
              </w:rPr>
              <w:t>(1)</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196"/>
        </w:trPr>
        <w:tc>
          <w:tcPr>
            <w:tcW w:w="804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$9,532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$9,355</w:t>
            </w:r>
          </w:p>
        </w:tc>
      </w:tr>
      <w:tr>
        <w:trPr>
          <w:trHeight w:val="21"/>
        </w:trPr>
        <w:tc>
          <w:tcPr>
            <w:tcW w:w="8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28282"/>
        </w:rPr>
        <w:t>Reconciliation from Net Cash Provided by Operating Activities to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17780</wp:posOffset>
            </wp:positionV>
            <wp:extent cx="63265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26505" cy="8255"/>
                    </a:xfrm>
                    <a:prstGeom prst="rect">
                      <a:avLst/>
                    </a:prstGeom>
                    <a:noFill/>
                  </pic:spPr>
                </pic:pic>
              </a:graphicData>
            </a:graphic>
          </wp:anchor>
        </w:drawing>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r>
      <w:tr>
        <w:trPr>
          <w:trHeight w:val="193"/>
        </w:trPr>
        <w:tc>
          <w:tcPr>
            <w:tcW w:w="8020" w:type="dxa"/>
            <w:vAlign w:val="bottom"/>
          </w:tcPr>
          <w:p>
            <w:pPr>
              <w:spacing w:after="0"/>
              <w:rPr>
                <w:sz w:val="16"/>
                <w:szCs w:val="16"/>
                <w:color w:val="auto"/>
              </w:rPr>
            </w:pPr>
          </w:p>
        </w:tc>
        <w:tc>
          <w:tcPr>
            <w:tcW w:w="1300" w:type="dxa"/>
            <w:vAlign w:val="bottom"/>
            <w:gridSpan w:val="3"/>
          </w:tcPr>
          <w:p>
            <w:pPr>
              <w:jc w:val="center"/>
              <w:ind w:left="568"/>
              <w:spacing w:after="0"/>
              <w:rPr>
                <w:sz w:val="20"/>
                <w:szCs w:val="20"/>
                <w:color w:val="auto"/>
              </w:rPr>
            </w:pPr>
            <w:r>
              <w:rPr>
                <w:rFonts w:ascii="Arial" w:cs="Arial" w:eastAsia="Arial" w:hAnsi="Arial"/>
                <w:sz w:val="14"/>
                <w:szCs w:val="14"/>
                <w:b w:val="1"/>
                <w:bCs w:val="1"/>
                <w:color w:val="auto"/>
              </w:rPr>
              <w:t>March 31,</w:t>
            </w:r>
          </w:p>
        </w:tc>
        <w:tc>
          <w:tcPr>
            <w:tcW w:w="620" w:type="dxa"/>
            <w:vAlign w:val="bottom"/>
          </w:tcPr>
          <w:p>
            <w:pPr>
              <w:spacing w:after="0"/>
              <w:rPr>
                <w:sz w:val="16"/>
                <w:szCs w:val="16"/>
                <w:color w:val="auto"/>
              </w:rPr>
            </w:pPr>
          </w:p>
        </w:tc>
      </w:tr>
      <w:tr>
        <w:trPr>
          <w:trHeight w:val="196"/>
        </w:trPr>
        <w:tc>
          <w:tcPr>
            <w:tcW w:w="8020" w:type="dxa"/>
            <w:vAlign w:val="bottom"/>
          </w:tcPr>
          <w:p>
            <w:pPr>
              <w:spacing w:after="0"/>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2024</w:t>
            </w:r>
          </w:p>
        </w:tc>
      </w:tr>
      <w:tr>
        <w:trPr>
          <w:trHeight w:val="196"/>
        </w:trPr>
        <w:tc>
          <w:tcPr>
            <w:tcW w:w="802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$8,294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$7,848</w:t>
            </w:r>
          </w:p>
        </w:tc>
      </w:tr>
      <w:tr>
        <w:trPr>
          <w:trHeight w:val="203"/>
        </w:trPr>
        <w:tc>
          <w:tcPr>
            <w:tcW w:w="8020" w:type="dxa"/>
            <w:vAlign w:val="bottom"/>
          </w:tcPr>
          <w:p>
            <w:pPr>
              <w:spacing w:after="0"/>
              <w:rPr>
                <w:sz w:val="20"/>
                <w:szCs w:val="20"/>
                <w:color w:val="auto"/>
              </w:rPr>
            </w:pPr>
            <w:r>
              <w:rPr>
                <w:rFonts w:ascii="Arial" w:cs="Arial" w:eastAsia="Arial" w:hAnsi="Arial"/>
                <w:sz w:val="14"/>
                <w:szCs w:val="14"/>
                <w:color w:val="auto"/>
              </w:rPr>
              <w:t>Capital expenditures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(2,252)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(2,630)</w:t>
            </w:r>
          </w:p>
        </w:tc>
      </w:tr>
      <w:tr>
        <w:trPr>
          <w:trHeight w:val="203"/>
        </w:trPr>
        <w:tc>
          <w:tcPr>
            <w:tcW w:w="802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(622)</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(679)</w:t>
            </w:r>
          </w:p>
        </w:tc>
      </w:tr>
      <w:tr>
        <w:trPr>
          <w:trHeight w:val="197"/>
        </w:trPr>
        <w:tc>
          <w:tcPr>
            <w:tcW w:w="8020" w:type="dxa"/>
            <w:vAlign w:val="bottom"/>
          </w:tcPr>
          <w:p>
            <w:pPr>
              <w:spacing w:after="0"/>
              <w:rPr>
                <w:sz w:val="20"/>
                <w:szCs w:val="20"/>
                <w:color w:val="auto"/>
              </w:rPr>
            </w:pPr>
            <w:r>
              <w:rPr>
                <w:rFonts w:ascii="Arial" w:cs="Arial" w:eastAsia="Arial" w:hAnsi="Arial"/>
                <w:sz w:val="14"/>
                <w:szCs w:val="14"/>
                <w:b w:val="1"/>
                <w:bCs w:val="1"/>
                <w:color w:val="auto"/>
              </w:rPr>
              <w:t>Free Cash Flow</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$5,421</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$4,538</w:t>
            </w:r>
          </w:p>
        </w:tc>
      </w:tr>
      <w:tr>
        <w:trPr>
          <w:trHeight w:val="21"/>
        </w:trPr>
        <w:tc>
          <w:tcPr>
            <w:tcW w:w="8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28282"/>
        </w:rPr>
        <w:t>Alternate Presentation of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17780</wp:posOffset>
            </wp:positionV>
            <wp:extent cx="63265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26505" cy="8890"/>
                    </a:xfrm>
                    <a:prstGeom prst="rect">
                      <a:avLst/>
                    </a:prstGeom>
                    <a:noFill/>
                  </pic:spPr>
                </pic:pic>
              </a:graphicData>
            </a:graphic>
          </wp:anchor>
        </w:drawing>
      </w:r>
    </w:p>
    <w:p>
      <w:pPr>
        <w:spacing w:after="0" w:line="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r>
      <w:tr>
        <w:trPr>
          <w:trHeight w:val="193"/>
        </w:trPr>
        <w:tc>
          <w:tcPr>
            <w:tcW w:w="8020" w:type="dxa"/>
            <w:vAlign w:val="bottom"/>
          </w:tcPr>
          <w:p>
            <w:pPr>
              <w:spacing w:after="0"/>
              <w:rPr>
                <w:sz w:val="16"/>
                <w:szCs w:val="16"/>
                <w:color w:val="auto"/>
              </w:rPr>
            </w:pPr>
          </w:p>
        </w:tc>
        <w:tc>
          <w:tcPr>
            <w:tcW w:w="1300" w:type="dxa"/>
            <w:vAlign w:val="bottom"/>
            <w:gridSpan w:val="3"/>
          </w:tcPr>
          <w:p>
            <w:pPr>
              <w:jc w:val="center"/>
              <w:ind w:left="568"/>
              <w:spacing w:after="0"/>
              <w:rPr>
                <w:sz w:val="20"/>
                <w:szCs w:val="20"/>
                <w:color w:val="auto"/>
              </w:rPr>
            </w:pPr>
            <w:r>
              <w:rPr>
                <w:rFonts w:ascii="Arial" w:cs="Arial" w:eastAsia="Arial" w:hAnsi="Arial"/>
                <w:sz w:val="14"/>
                <w:szCs w:val="14"/>
                <w:b w:val="1"/>
                <w:bCs w:val="1"/>
                <w:color w:val="auto"/>
              </w:rPr>
              <w:t>March 31,</w:t>
            </w:r>
          </w:p>
        </w:tc>
        <w:tc>
          <w:tcPr>
            <w:tcW w:w="620" w:type="dxa"/>
            <w:vAlign w:val="bottom"/>
          </w:tcPr>
          <w:p>
            <w:pPr>
              <w:spacing w:after="0"/>
              <w:rPr>
                <w:sz w:val="16"/>
                <w:szCs w:val="16"/>
                <w:color w:val="auto"/>
              </w:rPr>
            </w:pPr>
          </w:p>
        </w:tc>
      </w:tr>
      <w:tr>
        <w:trPr>
          <w:trHeight w:val="196"/>
        </w:trPr>
        <w:tc>
          <w:tcPr>
            <w:tcW w:w="8020" w:type="dxa"/>
            <w:vAlign w:val="bottom"/>
          </w:tcPr>
          <w:p>
            <w:pPr>
              <w:spacing w:after="0"/>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2024</w:t>
            </w:r>
          </w:p>
        </w:tc>
      </w:tr>
      <w:tr>
        <w:trPr>
          <w:trHeight w:val="196"/>
        </w:trPr>
        <w:tc>
          <w:tcPr>
            <w:tcW w:w="802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$9,532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$9,355</w:t>
            </w:r>
          </w:p>
        </w:tc>
      </w:tr>
      <w:tr>
        <w:trPr>
          <w:trHeight w:val="203"/>
        </w:trPr>
        <w:tc>
          <w:tcPr>
            <w:tcW w:w="8020" w:type="dxa"/>
            <w:vAlign w:val="bottom"/>
          </w:tcPr>
          <w:p>
            <w:pPr>
              <w:spacing w:after="0"/>
              <w:rPr>
                <w:sz w:val="20"/>
                <w:szCs w:val="20"/>
                <w:color w:val="auto"/>
              </w:rPr>
            </w:pPr>
            <w:r>
              <w:rPr>
                <w:rFonts w:ascii="Arial" w:cs="Arial" w:eastAsia="Arial" w:hAnsi="Arial"/>
                <w:sz w:val="14"/>
                <w:szCs w:val="14"/>
                <w:color w:val="auto"/>
              </w:rPr>
              <w:t>Capital expenditures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(2,252)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(2,630)</w:t>
            </w:r>
          </w:p>
        </w:tc>
      </w:tr>
      <w:tr>
        <w:trPr>
          <w:trHeight w:val="203"/>
        </w:trPr>
        <w:tc>
          <w:tcPr>
            <w:tcW w:w="802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(622)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(679)</w:t>
            </w:r>
          </w:p>
        </w:tc>
      </w:tr>
      <w:tr>
        <w:trPr>
          <w:trHeight w:val="203"/>
        </w:trPr>
        <w:tc>
          <w:tcPr>
            <w:tcW w:w="8020" w:type="dxa"/>
            <w:vAlign w:val="bottom"/>
          </w:tcPr>
          <w:p>
            <w:pPr>
              <w:spacing w:after="0"/>
              <w:rPr>
                <w:sz w:val="20"/>
                <w:szCs w:val="20"/>
                <w:color w:val="auto"/>
              </w:rPr>
            </w:pPr>
            <w:r>
              <w:rPr>
                <w:rFonts w:ascii="Arial" w:cs="Arial" w:eastAsia="Arial" w:hAnsi="Arial"/>
                <w:sz w:val="14"/>
                <w:szCs w:val="14"/>
                <w:color w:val="auto"/>
              </w:rPr>
              <w:t>Cash interest expense</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(674)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(731)</w:t>
            </w:r>
          </w:p>
        </w:tc>
      </w:tr>
      <w:tr>
        <w:trPr>
          <w:trHeight w:val="203"/>
        </w:trPr>
        <w:tc>
          <w:tcPr>
            <w:tcW w:w="8020" w:type="dxa"/>
            <w:vAlign w:val="bottom"/>
          </w:tcPr>
          <w:p>
            <w:pPr>
              <w:spacing w:after="0"/>
              <w:rPr>
                <w:sz w:val="20"/>
                <w:szCs w:val="20"/>
                <w:color w:val="auto"/>
              </w:rPr>
            </w:pPr>
            <w:r>
              <w:rPr>
                <w:rFonts w:ascii="Arial" w:cs="Arial" w:eastAsia="Arial" w:hAnsi="Arial"/>
                <w:sz w:val="14"/>
                <w:szCs w:val="14"/>
                <w:color w:val="auto"/>
              </w:rPr>
              <w:t>Cash taxes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(400)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(349)</w:t>
            </w:r>
          </w:p>
        </w:tc>
      </w:tr>
      <w:tr>
        <w:trPr>
          <w:trHeight w:val="203"/>
        </w:trPr>
        <w:tc>
          <w:tcPr>
            <w:tcW w:w="802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(636)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(940)</w:t>
            </w:r>
          </w:p>
        </w:tc>
      </w:tr>
      <w:tr>
        <w:trPr>
          <w:trHeight w:val="203"/>
        </w:trPr>
        <w:tc>
          <w:tcPr>
            <w:tcW w:w="8020" w:type="dxa"/>
            <w:vAlign w:val="bottom"/>
          </w:tcPr>
          <w:p>
            <w:pPr>
              <w:spacing w:after="0"/>
              <w:rPr>
                <w:sz w:val="20"/>
                <w:szCs w:val="20"/>
                <w:color w:val="auto"/>
              </w:rPr>
            </w:pPr>
            <w:r>
              <w:rPr>
                <w:rFonts w:ascii="Arial" w:cs="Arial" w:eastAsia="Arial" w:hAnsi="Arial"/>
                <w:sz w:val="14"/>
                <w:szCs w:val="14"/>
                <w:color w:val="auto"/>
              </w:rPr>
              <w:t>Noncash share-based compensation</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382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373</w:t>
            </w:r>
          </w:p>
        </w:tc>
      </w:tr>
      <w:tr>
        <w:trPr>
          <w:trHeight w:val="204"/>
        </w:trPr>
        <w:tc>
          <w:tcPr>
            <w:tcW w:w="8020" w:type="dxa"/>
            <w:vAlign w:val="bottom"/>
          </w:tcPr>
          <w:p>
            <w:pPr>
              <w:spacing w:after="0" w:line="205"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r>
      <w:tr>
        <w:trPr>
          <w:trHeight w:val="196"/>
        </w:trPr>
        <w:tc>
          <w:tcPr>
            <w:tcW w:w="8020" w:type="dxa"/>
            <w:vAlign w:val="bottom"/>
          </w:tcPr>
          <w:p>
            <w:pPr>
              <w:spacing w:after="0"/>
              <w:rPr>
                <w:sz w:val="20"/>
                <w:szCs w:val="20"/>
                <w:color w:val="auto"/>
              </w:rPr>
            </w:pPr>
            <w:r>
              <w:rPr>
                <w:rFonts w:ascii="Arial" w:cs="Arial" w:eastAsia="Arial" w:hAnsi="Arial"/>
                <w:sz w:val="14"/>
                <w:szCs w:val="14"/>
                <w:b w:val="1"/>
                <w:bCs w:val="1"/>
                <w:color w:val="auto"/>
              </w:rPr>
              <w:t>Free Cash Flow</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$5,421</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$4,538</w:t>
            </w:r>
          </w:p>
        </w:tc>
      </w:tr>
      <w:tr>
        <w:trPr>
          <w:trHeight w:val="20"/>
        </w:trPr>
        <w:tc>
          <w:tcPr>
            <w:tcW w:w="8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jc w:val="both"/>
        <w:ind w:left="480" w:right="20" w:hanging="360"/>
        <w:spacing w:after="0" w:line="197" w:lineRule="auto"/>
        <w:tabs>
          <w:tab w:leader="none" w:pos="48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1st quarter 2025 Adjusted EBITDA excludes $22 million of other operating and administrative expenses associated with the proposed spin-off of businesses within our Media segment, and $3 million of other operating and administrative expenses related to our investment portfolio. 1st quarter 2024 Adjusted EBITDA excludes $(6) million of other operating and administrative expenses related to our investment portfolio.</w:t>
      </w:r>
    </w:p>
    <w:p>
      <w:pPr>
        <w:spacing w:after="0" w:line="176" w:lineRule="exact"/>
        <w:rPr>
          <w:rFonts w:ascii="Arial" w:cs="Arial" w:eastAsia="Arial" w:hAnsi="Arial"/>
          <w:sz w:val="22"/>
          <w:szCs w:val="22"/>
          <w:color w:val="auto"/>
          <w:vertAlign w:val="superscript"/>
        </w:rPr>
      </w:pPr>
    </w:p>
    <w:p>
      <w:pPr>
        <w:ind w:left="480" w:right="320" w:hanging="360"/>
        <w:spacing w:after="0" w:line="202" w:lineRule="auto"/>
        <w:tabs>
          <w:tab w:leader="none" w:pos="48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1st quarter 2025 includes adjustments of $22 million of other operating and administrative expenses associated with the proposed spin-off of businesses within our Media segment and $3 million of other operating and administrative expenses related to our investment portfolio, as these amounts are excluded from Adjusted EBITDA. 1st quarter 2024 includes adjustments of $(6) million of costs related to our investment portfolio, as these amounts are excluded from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0060"/>
          </w:cols>
          <w:pgMar w:left="860" w:top="898" w:right="979" w:bottom="1440" w:gutter="0" w:footer="0" w:header="0"/>
        </w:sectPr>
      </w:pPr>
    </w:p>
    <w:bookmarkStart w:id="16" w:name="page17"/>
    <w:bookmarkEnd w:id="16"/>
    <w:p>
      <w:pPr>
        <w:ind w:left="212"/>
        <w:spacing w:after="0"/>
        <w:rPr>
          <w:sz w:val="20"/>
          <w:szCs w:val="20"/>
          <w:color w:val="auto"/>
        </w:rPr>
      </w:pPr>
      <w:r>
        <w:rPr>
          <w:rFonts w:ascii="Arial" w:cs="Arial" w:eastAsia="Arial" w:hAnsi="Arial"/>
          <w:sz w:val="25"/>
          <w:szCs w:val="25"/>
          <w:b w:val="1"/>
          <w:bCs w:val="1"/>
          <w:color w:val="828282"/>
        </w:rPr>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5974715</wp:posOffset>
            </wp:positionH>
            <wp:positionV relativeFrom="paragraph">
              <wp:posOffset>-174625</wp:posOffset>
            </wp:positionV>
            <wp:extent cx="1028700" cy="411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8700" cy="411480"/>
                    </a:xfrm>
                    <a:prstGeom prst="rect">
                      <a:avLst/>
                    </a:prstGeom>
                    <a:noFill/>
                  </pic:spPr>
                </pic:pic>
              </a:graphicData>
            </a:graphic>
          </wp:anchor>
        </w:drawing>
      </w:r>
    </w:p>
    <w:p>
      <w:pPr>
        <w:spacing w:after="0" w:line="265" w:lineRule="exact"/>
        <w:rPr>
          <w:sz w:val="20"/>
          <w:szCs w:val="20"/>
          <w:color w:val="auto"/>
        </w:rPr>
      </w:pPr>
    </w:p>
    <w:p>
      <w:pPr>
        <w:ind w:left="212"/>
        <w:spacing w:after="0"/>
        <w:rPr>
          <w:sz w:val="20"/>
          <w:szCs w:val="20"/>
          <w:color w:val="auto"/>
        </w:rPr>
      </w:pPr>
      <w:r>
        <w:rPr>
          <w:rFonts w:ascii="Arial" w:cs="Arial" w:eastAsia="Arial" w:hAnsi="Arial"/>
          <w:sz w:val="18"/>
          <w:szCs w:val="18"/>
          <w:b w:val="1"/>
          <w:bCs w:val="1"/>
          <w:color w:val="828282"/>
        </w:rPr>
        <w:t>Reconciliations of Adjusted Net Income and Adjusted EPS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17780</wp:posOffset>
            </wp:positionV>
            <wp:extent cx="68922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p>
      <w:pPr>
        <w:spacing w:after="0" w:line="81" w:lineRule="exact"/>
        <w:rPr>
          <w:sz w:val="20"/>
          <w:szCs w:val="20"/>
          <w:color w:val="auto"/>
        </w:rPr>
      </w:pPr>
    </w:p>
    <w:tbl>
      <w:tblPr>
        <w:tblLayout w:type="fixed"/>
        <w:tblInd w:w="212"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00" w:type="dxa"/>
            <w:vAlign w:val="bottom"/>
          </w:tcPr>
          <w:p>
            <w:pPr>
              <w:spacing w:after="0"/>
              <w:rPr>
                <w:sz w:val="17"/>
                <w:szCs w:val="17"/>
                <w:color w:val="auto"/>
              </w:rPr>
            </w:pPr>
          </w:p>
        </w:tc>
        <w:tc>
          <w:tcPr>
            <w:tcW w:w="1220" w:type="dxa"/>
            <w:vAlign w:val="bottom"/>
            <w:gridSpan w:val="3"/>
            <w:vMerge w:val="restart"/>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1020" w:type="dxa"/>
            <w:vAlign w:val="bottom"/>
            <w:gridSpan w:val="3"/>
          </w:tcPr>
          <w:p>
            <w:pPr>
              <w:jc w:val="center"/>
              <w:ind w:left="88"/>
              <w:spacing w:after="0"/>
              <w:rPr>
                <w:sz w:val="20"/>
                <w:szCs w:val="20"/>
                <w:color w:val="auto"/>
              </w:rPr>
            </w:pPr>
            <w:r>
              <w:rPr>
                <w:rFonts w:ascii="Arial" w:cs="Arial" w:eastAsia="Arial" w:hAnsi="Arial"/>
                <w:sz w:val="14"/>
                <w:szCs w:val="14"/>
                <w:b w:val="1"/>
                <w:bCs w:val="1"/>
                <w:color w:val="auto"/>
              </w:rPr>
              <w:t>March 31,</w:t>
            </w:r>
          </w:p>
        </w:tc>
        <w:tc>
          <w:tcPr>
            <w:tcW w:w="82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2024</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200" w:type="dxa"/>
            <w:vAlign w:val="bottom"/>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20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9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EPS</w:t>
            </w:r>
          </w:p>
        </w:tc>
        <w:tc>
          <w:tcPr>
            <w:tcW w:w="54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vMerge w:val="restart"/>
          </w:tcPr>
          <w:p>
            <w:pPr>
              <w:jc w:val="right"/>
              <w:ind w:right="168"/>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208"/>
        </w:trPr>
        <w:tc>
          <w:tcPr>
            <w:tcW w:w="7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20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 and diluted earnings per share attributable to Comcast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$3,375</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$0.89</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$3,857</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$0.97</w:t>
            </w:r>
          </w:p>
        </w:tc>
        <w:tc>
          <w:tcPr>
            <w:tcW w:w="0" w:type="dxa"/>
            <w:vAlign w:val="bottom"/>
          </w:tcPr>
          <w:p>
            <w:pPr>
              <w:spacing w:after="0"/>
              <w:rPr>
                <w:sz w:val="1"/>
                <w:szCs w:val="1"/>
                <w:color w:val="auto"/>
              </w:rPr>
            </w:pPr>
          </w:p>
        </w:tc>
      </w:tr>
      <w:tr>
        <w:trPr>
          <w:trHeight w:val="191"/>
        </w:trPr>
        <w:tc>
          <w:tcPr>
            <w:tcW w:w="7200" w:type="dxa"/>
            <w:vAlign w:val="bottom"/>
          </w:tcPr>
          <w:p>
            <w:pPr>
              <w:ind w:left="160"/>
              <w:spacing w:after="0"/>
              <w:rPr>
                <w:sz w:val="20"/>
                <w:szCs w:val="20"/>
                <w:color w:val="auto"/>
              </w:rPr>
            </w:pPr>
            <w:r>
              <w:rPr>
                <w:rFonts w:ascii="Arial" w:cs="Arial" w:eastAsia="Arial" w:hAnsi="Arial"/>
                <w:sz w:val="14"/>
                <w:szCs w:val="14"/>
                <w:b w:val="1"/>
                <w:bCs w:val="1"/>
                <w:color w:val="auto"/>
              </w:rPr>
              <w:t>Corporation shareholders</w:t>
            </w: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20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(12.5 %)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(7.7 %)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7200" w:type="dxa"/>
            <w:vAlign w:val="bottom"/>
          </w:tcPr>
          <w:p>
            <w:pPr>
              <w:spacing w:after="0"/>
              <w:rPr>
                <w:sz w:val="20"/>
                <w:szCs w:val="20"/>
                <w:color w:val="auto"/>
              </w:rPr>
            </w:pPr>
            <w:r>
              <w:rPr>
                <w:rFonts w:ascii="Arial" w:cs="Arial" w:eastAsia="Arial" w:hAnsi="Arial"/>
                <w:sz w:val="14"/>
                <w:szCs w:val="14"/>
                <w:color w:val="auto"/>
              </w:rPr>
              <w:t xml:space="preserve">Amortization of acquisition-related intangible assets </w:t>
            </w:r>
            <w:r>
              <w:rPr>
                <w:rFonts w:ascii="Arial" w:cs="Arial" w:eastAsia="Arial" w:hAnsi="Arial"/>
                <w:sz w:val="18"/>
                <w:szCs w:val="18"/>
                <w:color w:val="auto"/>
                <w:vertAlign w:val="superscript"/>
              </w:rPr>
              <w:t>(1)</w:t>
            </w:r>
          </w:p>
        </w:tc>
        <w:tc>
          <w:tcPr>
            <w:tcW w:w="900" w:type="dxa"/>
            <w:vAlign w:val="bottom"/>
          </w:tcPr>
          <w:p>
            <w:pPr>
              <w:jc w:val="right"/>
              <w:spacing w:after="0"/>
              <w:rPr>
                <w:sz w:val="20"/>
                <w:szCs w:val="20"/>
                <w:color w:val="auto"/>
              </w:rPr>
            </w:pPr>
            <w:r>
              <w:rPr>
                <w:rFonts w:ascii="Arial" w:cs="Arial" w:eastAsia="Arial" w:hAnsi="Arial"/>
                <w:sz w:val="14"/>
                <w:szCs w:val="14"/>
                <w:color w:val="auto"/>
              </w:rPr>
              <w:t>606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0.16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205"/>
        </w:trPr>
        <w:tc>
          <w:tcPr>
            <w:tcW w:w="7200" w:type="dxa"/>
            <w:vAlign w:val="bottom"/>
          </w:tcPr>
          <w:p>
            <w:pPr>
              <w:spacing w:after="0" w:line="205" w:lineRule="exact"/>
              <w:rPr>
                <w:sz w:val="20"/>
                <w:szCs w:val="20"/>
                <w:color w:val="auto"/>
              </w:rPr>
            </w:pPr>
            <w:r>
              <w:rPr>
                <w:rFonts w:ascii="Arial" w:cs="Arial" w:eastAsia="Arial" w:hAnsi="Arial"/>
                <w:sz w:val="14"/>
                <w:szCs w:val="14"/>
                <w:color w:val="auto"/>
              </w:rPr>
              <w:t xml:space="preserve">Investments </w:t>
            </w:r>
            <w:r>
              <w:rPr>
                <w:rFonts w:ascii="Arial" w:cs="Arial" w:eastAsia="Arial" w:hAnsi="Arial"/>
                <w:sz w:val="18"/>
                <w:szCs w:val="18"/>
                <w:color w:val="auto"/>
                <w:vertAlign w:val="superscript"/>
              </w:rPr>
              <w:t>(2)</w:t>
            </w:r>
          </w:p>
        </w:tc>
        <w:tc>
          <w:tcPr>
            <w:tcW w:w="900" w:type="dxa"/>
            <w:vAlign w:val="bottom"/>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90"/>
        </w:trPr>
        <w:tc>
          <w:tcPr>
            <w:tcW w:w="7200" w:type="dxa"/>
            <w:vAlign w:val="bottom"/>
          </w:tcPr>
          <w:p>
            <w:pPr>
              <w:spacing w:after="0"/>
              <w:rPr>
                <w:sz w:val="20"/>
                <w:szCs w:val="20"/>
                <w:color w:val="auto"/>
              </w:rPr>
            </w:pPr>
            <w:r>
              <w:rPr>
                <w:rFonts w:ascii="Arial" w:cs="Arial" w:eastAsia="Arial" w:hAnsi="Arial"/>
                <w:sz w:val="14"/>
                <w:szCs w:val="14"/>
                <w:color w:val="auto"/>
              </w:rPr>
              <w:t>Items affecting period-over-period comparability:</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7200" w:type="dxa"/>
            <w:vAlign w:val="bottom"/>
          </w:tcPr>
          <w:p>
            <w:pPr>
              <w:ind w:left="120"/>
              <w:spacing w:after="0"/>
              <w:rPr>
                <w:sz w:val="20"/>
                <w:szCs w:val="20"/>
                <w:color w:val="auto"/>
              </w:rPr>
            </w:pPr>
            <w:r>
              <w:rPr>
                <w:rFonts w:ascii="Arial" w:cs="Arial" w:eastAsia="Arial" w:hAnsi="Arial"/>
                <w:sz w:val="14"/>
                <w:szCs w:val="14"/>
                <w:color w:val="auto"/>
              </w:rPr>
              <w:t xml:space="preserve">Costs related to proposed spin-off </w:t>
            </w:r>
            <w:r>
              <w:rPr>
                <w:rFonts w:ascii="Arial" w:cs="Arial" w:eastAsia="Arial" w:hAnsi="Arial"/>
                <w:sz w:val="18"/>
                <w:szCs w:val="18"/>
                <w:color w:val="auto"/>
                <w:vertAlign w:val="superscript"/>
              </w:rPr>
              <w:t>(3)</w:t>
            </w:r>
          </w:p>
        </w:tc>
        <w:tc>
          <w:tcPr>
            <w:tcW w:w="90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7200" w:type="dxa"/>
            <w:vAlign w:val="bottom"/>
          </w:tcPr>
          <w:p>
            <w:pPr>
              <w:spacing w:after="0"/>
              <w:rPr>
                <w:sz w:val="20"/>
                <w:szCs w:val="20"/>
                <w:color w:val="auto"/>
              </w:rPr>
            </w:pPr>
            <w:r>
              <w:rPr>
                <w:rFonts w:ascii="Arial" w:cs="Arial" w:eastAsia="Arial" w:hAnsi="Arial"/>
                <w:sz w:val="14"/>
                <w:szCs w:val="14"/>
                <w:b w:val="1"/>
                <w:bCs w:val="1"/>
                <w:color w:val="auto"/>
              </w:rPr>
              <w:t>Adjusted Net income and Adjusted EPS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$4,132</w:t>
            </w:r>
          </w:p>
        </w:tc>
        <w:tc>
          <w:tcPr>
            <w:tcW w:w="1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$4,171</w:t>
            </w:r>
          </w:p>
        </w:tc>
        <w:tc>
          <w:tcPr>
            <w:tcW w:w="10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4"/>
                <w:szCs w:val="14"/>
                <w:i w:val="1"/>
                <w:iCs w:val="1"/>
                <w:color w:val="auto"/>
              </w:rPr>
              <w:t>Change</w:t>
            </w: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7200" w:type="dxa"/>
            <w:vAlign w:val="bottom"/>
            <w:vMerge w:val="continue"/>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(0.9 %)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4.5 %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252" w:hanging="252"/>
        <w:spacing w:after="0" w:line="251" w:lineRule="auto"/>
        <w:tabs>
          <w:tab w:leader="none" w:pos="244"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Acquisition-related intangible assets are recognized as a result of the application of Accounting Standards Codification Topic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w:t>
      </w:r>
    </w:p>
    <w:p>
      <w:pPr>
        <w:spacing w:after="0" w:line="149" w:lineRule="exact"/>
        <w:rPr>
          <w:sz w:val="20"/>
          <w:szCs w:val="20"/>
          <w:color w:val="auto"/>
        </w:rPr>
      </w:pPr>
    </w:p>
    <w:p>
      <w:pPr>
        <w:jc w:val="center"/>
        <w:ind w:left="8840"/>
        <w:spacing w:after="0"/>
        <w:rPr>
          <w:sz w:val="20"/>
          <w:szCs w:val="20"/>
          <w:color w:val="auto"/>
        </w:rPr>
      </w:pPr>
      <w:r>
        <w:rPr>
          <w:rFonts w:ascii="Arial" w:cs="Arial" w:eastAsia="Arial" w:hAnsi="Arial"/>
          <w:sz w:val="13"/>
          <w:szCs w:val="13"/>
          <w:color w:val="auto"/>
        </w:rPr>
        <w:t>Three Months Ended</w:t>
      </w:r>
    </w:p>
    <w:p>
      <w:pPr>
        <w:jc w:val="center"/>
        <w:ind w:left="8840"/>
        <w:spacing w:after="0"/>
        <w:rPr>
          <w:sz w:val="20"/>
          <w:szCs w:val="20"/>
          <w:color w:val="auto"/>
        </w:rPr>
      </w:pPr>
      <w:r>
        <w:rPr>
          <w:rFonts w:ascii="Arial" w:cs="Arial" w:eastAsia="Arial" w:hAnsi="Arial"/>
          <w:sz w:val="13"/>
          <w:szCs w:val="13"/>
          <w:color w:val="auto"/>
        </w:rPr>
        <w:t>March 31,</w:t>
      </w:r>
    </w:p>
    <w:p>
      <w:pPr>
        <w:spacing w:after="0" w:line="28" w:lineRule="exact"/>
        <w:rPr>
          <w:sz w:val="20"/>
          <w:szCs w:val="20"/>
          <w:color w:val="auto"/>
        </w:rPr>
      </w:pPr>
    </w:p>
    <w:tbl>
      <w:tblPr>
        <w:tblLayout w:type="fixed"/>
        <w:tblInd w:w="392" w:type="dxa"/>
        <w:tblCellMar>
          <w:top w:w="0" w:type="dxa"/>
          <w:left w:w="0" w:type="dxa"/>
          <w:bottom w:w="0" w:type="dxa"/>
          <w:right w:w="0" w:type="dxa"/>
        </w:tblCellMar>
      </w:tblPr>
      <w:tr>
        <w:trPr>
          <w:trHeight w:val="173"/>
        </w:trPr>
        <w:tc>
          <w:tcPr>
            <w:tcW w:w="8740" w:type="dxa"/>
            <w:vAlign w:val="bottom"/>
          </w:tcPr>
          <w:p>
            <w:pPr>
              <w:spacing w:after="0"/>
              <w:rPr>
                <w:sz w:val="15"/>
                <w:szCs w:val="15"/>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2025</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2024</w:t>
            </w:r>
          </w:p>
        </w:tc>
      </w:tr>
      <w:tr>
        <w:trPr>
          <w:trHeight w:val="171"/>
        </w:trPr>
        <w:tc>
          <w:tcPr>
            <w:tcW w:w="874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before income taxes</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$789</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$569</w:t>
            </w:r>
          </w:p>
        </w:tc>
      </w:tr>
      <w:tr>
        <w:trPr>
          <w:trHeight w:val="174"/>
        </w:trPr>
        <w:tc>
          <w:tcPr>
            <w:tcW w:w="874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net of tax</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$606</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$437</w:t>
            </w:r>
          </w:p>
        </w:tc>
      </w:tr>
      <w:tr>
        <w:trPr>
          <w:trHeight w:val="21"/>
        </w:trPr>
        <w:tc>
          <w:tcPr>
            <w:tcW w:w="87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252" w:right="180" w:hanging="252"/>
        <w:spacing w:after="0" w:line="264" w:lineRule="auto"/>
        <w:tabs>
          <w:tab w:leader="none" w:pos="244" w:val="left"/>
        </w:tabs>
        <w:numPr>
          <w:ilvl w:val="0"/>
          <w:numId w:val="5"/>
        </w:numPr>
        <w:rPr>
          <w:rFonts w:ascii="Arial" w:cs="Arial" w:eastAsia="Arial" w:hAnsi="Arial"/>
          <w:sz w:val="13"/>
          <w:szCs w:val="13"/>
          <w:color w:val="auto"/>
        </w:rPr>
      </w:pPr>
      <w:r>
        <w:rPr>
          <w:rFonts w:ascii="Arial" w:cs="Arial" w:eastAsia="Arial" w:hAnsi="Arial"/>
          <w:sz w:val="13"/>
          <w:szCs w:val="13"/>
          <w:color w:val="auto"/>
        </w:rPr>
        <w:t>Adjustments for investments include realized and unrealized (gains) losses on equity securities, net (as stated in Table 1), as well as the equity in net (income) losses of investees, net, for certain equity method investments, including Atairos and Hulu and costs related to our investment portfolio.</w:t>
      </w:r>
    </w:p>
    <w:p>
      <w:pPr>
        <w:spacing w:after="0" w:line="236" w:lineRule="exact"/>
        <w:rPr>
          <w:sz w:val="20"/>
          <w:szCs w:val="20"/>
          <w:color w:val="auto"/>
        </w:rPr>
      </w:pPr>
    </w:p>
    <w:p>
      <w:pPr>
        <w:jc w:val="center"/>
        <w:ind w:left="8840"/>
        <w:spacing w:after="0"/>
        <w:rPr>
          <w:sz w:val="20"/>
          <w:szCs w:val="20"/>
          <w:color w:val="auto"/>
        </w:rPr>
      </w:pPr>
      <w:r>
        <w:rPr>
          <w:rFonts w:ascii="Arial" w:cs="Arial" w:eastAsia="Arial" w:hAnsi="Arial"/>
          <w:sz w:val="13"/>
          <w:szCs w:val="13"/>
          <w:color w:val="auto"/>
        </w:rPr>
        <w:t>Three Months Ended</w:t>
      </w:r>
    </w:p>
    <w:p>
      <w:pPr>
        <w:jc w:val="center"/>
        <w:ind w:left="8840"/>
        <w:spacing w:after="0"/>
        <w:rPr>
          <w:sz w:val="20"/>
          <w:szCs w:val="20"/>
          <w:color w:val="auto"/>
        </w:rPr>
      </w:pPr>
      <w:r>
        <w:rPr>
          <w:rFonts w:ascii="Arial" w:cs="Arial" w:eastAsia="Arial" w:hAnsi="Arial"/>
          <w:sz w:val="13"/>
          <w:szCs w:val="13"/>
          <w:color w:val="auto"/>
        </w:rPr>
        <w:t>March 31,</w:t>
      </w:r>
    </w:p>
    <w:p>
      <w:pPr>
        <w:spacing w:after="0" w:line="28" w:lineRule="exact"/>
        <w:rPr>
          <w:sz w:val="20"/>
          <w:szCs w:val="20"/>
          <w:color w:val="auto"/>
        </w:rPr>
      </w:pPr>
    </w:p>
    <w:tbl>
      <w:tblPr>
        <w:tblLayout w:type="fixed"/>
        <w:tblInd w:w="392" w:type="dxa"/>
        <w:tblCellMar>
          <w:top w:w="0" w:type="dxa"/>
          <w:left w:w="0" w:type="dxa"/>
          <w:bottom w:w="0" w:type="dxa"/>
          <w:right w:w="0" w:type="dxa"/>
        </w:tblCellMar>
      </w:tblPr>
      <w:tr>
        <w:trPr>
          <w:trHeight w:val="173"/>
        </w:trPr>
        <w:tc>
          <w:tcPr>
            <w:tcW w:w="8740" w:type="dxa"/>
            <w:vAlign w:val="bottom"/>
          </w:tcPr>
          <w:p>
            <w:pPr>
              <w:spacing w:after="0"/>
              <w:rPr>
                <w:sz w:val="15"/>
                <w:szCs w:val="15"/>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2025</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2024</w:t>
            </w:r>
          </w:p>
        </w:tc>
      </w:tr>
      <w:tr>
        <w:trPr>
          <w:trHeight w:val="166"/>
        </w:trPr>
        <w:tc>
          <w:tcPr>
            <w:tcW w:w="8740" w:type="dxa"/>
            <w:vAlign w:val="bottom"/>
          </w:tcPr>
          <w:p>
            <w:pPr>
              <w:spacing w:after="0"/>
              <w:rPr>
                <w:sz w:val="20"/>
                <w:szCs w:val="20"/>
                <w:color w:val="auto"/>
              </w:rPr>
            </w:pPr>
            <w:r>
              <w:rPr>
                <w:rFonts w:ascii="Arial" w:cs="Arial" w:eastAsia="Arial" w:hAnsi="Arial"/>
                <w:sz w:val="13"/>
                <w:szCs w:val="13"/>
                <w:color w:val="auto"/>
              </w:rPr>
              <w:t>Realized and unrealized (gains) losses on equity securities, net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$24</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179"/>
        </w:trPr>
        <w:tc>
          <w:tcPr>
            <w:tcW w:w="8740" w:type="dxa"/>
            <w:vAlign w:val="bottom"/>
          </w:tcPr>
          <w:p>
            <w:pPr>
              <w:spacing w:after="0"/>
              <w:rPr>
                <w:sz w:val="20"/>
                <w:szCs w:val="20"/>
                <w:color w:val="auto"/>
              </w:rPr>
            </w:pPr>
            <w:r>
              <w:rPr>
                <w:rFonts w:ascii="Arial" w:cs="Arial" w:eastAsia="Arial" w:hAnsi="Arial"/>
                <w:sz w:val="13"/>
                <w:szCs w:val="13"/>
                <w:color w:val="auto"/>
              </w:rPr>
              <w:t>Equity in net (income) losses of investees, net and other</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148</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w:t>
            </w:r>
          </w:p>
        </w:tc>
      </w:tr>
      <w:tr>
        <w:trPr>
          <w:trHeight w:val="166"/>
        </w:trPr>
        <w:tc>
          <w:tcPr>
            <w:tcW w:w="8740" w:type="dxa"/>
            <w:vAlign w:val="bottom"/>
          </w:tcPr>
          <w:p>
            <w:pPr>
              <w:spacing w:after="0"/>
              <w:rPr>
                <w:sz w:val="20"/>
                <w:szCs w:val="20"/>
                <w:color w:val="auto"/>
              </w:rPr>
            </w:pPr>
            <w:r>
              <w:rPr>
                <w:rFonts w:ascii="Arial" w:cs="Arial" w:eastAsia="Arial" w:hAnsi="Arial"/>
                <w:sz w:val="13"/>
                <w:szCs w:val="13"/>
                <w:color w:val="auto"/>
              </w:rPr>
              <w:t>Investments before income taxes</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172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(164)</w:t>
            </w:r>
          </w:p>
        </w:tc>
      </w:tr>
      <w:tr>
        <w:trPr>
          <w:trHeight w:val="185"/>
        </w:trPr>
        <w:tc>
          <w:tcPr>
            <w:tcW w:w="8740" w:type="dxa"/>
            <w:vAlign w:val="bottom"/>
          </w:tcPr>
          <w:p>
            <w:pPr>
              <w:spacing w:after="0"/>
              <w:rPr>
                <w:sz w:val="20"/>
                <w:szCs w:val="20"/>
                <w:color w:val="auto"/>
              </w:rPr>
            </w:pPr>
            <w:r>
              <w:rPr>
                <w:rFonts w:ascii="Arial" w:cs="Arial" w:eastAsia="Arial" w:hAnsi="Arial"/>
                <w:sz w:val="13"/>
                <w:szCs w:val="13"/>
                <w:color w:val="auto"/>
              </w:rPr>
              <w:t>Investments, net of tax</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$132</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w:t>
            </w:r>
          </w:p>
        </w:tc>
      </w:tr>
      <w:tr>
        <w:trPr>
          <w:trHeight w:val="20"/>
        </w:trPr>
        <w:tc>
          <w:tcPr>
            <w:tcW w:w="87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ind w:left="252" w:right="400" w:hanging="252"/>
        <w:spacing w:after="0" w:line="264" w:lineRule="auto"/>
        <w:tabs>
          <w:tab w:leader="none" w:pos="244" w:val="left"/>
        </w:tabs>
        <w:numPr>
          <w:ilvl w:val="0"/>
          <w:numId w:val="6"/>
        </w:numPr>
        <w:rPr>
          <w:rFonts w:ascii="Arial" w:cs="Arial" w:eastAsia="Arial" w:hAnsi="Arial"/>
          <w:sz w:val="13"/>
          <w:szCs w:val="13"/>
          <w:color w:val="auto"/>
        </w:rPr>
      </w:pPr>
      <w:r>
        <w:rPr>
          <w:rFonts w:ascii="Arial" w:cs="Arial" w:eastAsia="Arial" w:hAnsi="Arial"/>
          <w:sz w:val="13"/>
          <w:szCs w:val="13"/>
          <w:color w:val="auto"/>
        </w:rPr>
        <w:t>1st quarter 2025 net income attributable to Comcast Corporation includes $22 million of other operating and administrative expenses, $19 million net of tax, related to the proposed spin-off of businesses within our Media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1"/>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192"/>
          </w:cols>
          <w:pgMar w:left="328" w:top="858" w:right="379" w:bottom="1440" w:gutter="0" w:footer="0" w:header="0"/>
        </w:sectPr>
      </w:pPr>
    </w:p>
    <w:bookmarkStart w:id="17" w:name="page18"/>
    <w:bookmarkEnd w:id="17"/>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6089015</wp:posOffset>
            </wp:positionH>
            <wp:positionV relativeFrom="page">
              <wp:posOffset>560705</wp:posOffset>
            </wp:positionV>
            <wp:extent cx="1217295" cy="4800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80060"/>
                    </a:xfrm>
                    <a:prstGeom prst="rect">
                      <a:avLst/>
                    </a:prstGeom>
                    <a:noFill/>
                  </pic:spPr>
                </pic:pic>
              </a:graphicData>
            </a:graphic>
          </wp:anchor>
        </w:drawing>
        <w:t>TABLE 6</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828282"/>
        </w:rPr>
        <w:t>Reconciliation of Constant Currency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0891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78"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7480" w:type="dxa"/>
            <w:vAlign w:val="bottom"/>
          </w:tcPr>
          <w:p>
            <w:pPr>
              <w:spacing w:after="0"/>
              <w:rPr>
                <w:sz w:val="16"/>
                <w:szCs w:val="16"/>
                <w:color w:val="auto"/>
              </w:rPr>
            </w:pPr>
          </w:p>
        </w:tc>
        <w:tc>
          <w:tcPr>
            <w:tcW w:w="3300" w:type="dxa"/>
            <w:vAlign w:val="bottom"/>
            <w:gridSpan w:val="6"/>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5"/>
        </w:trPr>
        <w:tc>
          <w:tcPr>
            <w:tcW w:w="7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March 31, 2024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260"/>
              <w:spacing w:after="0" w:line="163" w:lineRule="exact"/>
              <w:rPr>
                <w:sz w:val="20"/>
                <w:szCs w:val="20"/>
                <w:color w:val="auto"/>
              </w:rPr>
            </w:pPr>
            <w:r>
              <w:rPr>
                <w:rFonts w:ascii="Arial" w:cs="Arial" w:eastAsia="Arial" w:hAnsi="Arial"/>
                <w:sz w:val="16"/>
                <w:szCs w:val="16"/>
                <w:color w:val="auto"/>
                <w:w w:val="98"/>
              </w:rPr>
              <w:t>Effects of</w:t>
            </w:r>
          </w:p>
        </w:tc>
        <w:tc>
          <w:tcPr>
            <w:tcW w:w="980" w:type="dxa"/>
            <w:vAlign w:val="bottom"/>
          </w:tcPr>
          <w:p>
            <w:pPr>
              <w:jc w:val="right"/>
              <w:ind w:right="159"/>
              <w:spacing w:after="0" w:line="163" w:lineRule="exact"/>
              <w:rPr>
                <w:sz w:val="20"/>
                <w:szCs w:val="20"/>
                <w:color w:val="auto"/>
              </w:rPr>
            </w:pPr>
            <w:r>
              <w:rPr>
                <w:rFonts w:ascii="Arial" w:cs="Arial" w:eastAsia="Arial" w:hAnsi="Arial"/>
                <w:sz w:val="16"/>
                <w:szCs w:val="16"/>
                <w:color w:val="auto"/>
              </w:rPr>
              <w:t>Constant</w:t>
            </w:r>
          </w:p>
        </w:tc>
        <w:tc>
          <w:tcPr>
            <w:tcW w:w="0" w:type="dxa"/>
            <w:vAlign w:val="bottom"/>
          </w:tcPr>
          <w:p>
            <w:pPr>
              <w:spacing w:after="0"/>
              <w:rPr>
                <w:sz w:val="1"/>
                <w:szCs w:val="1"/>
                <w:color w:val="auto"/>
              </w:rPr>
            </w:pPr>
          </w:p>
        </w:tc>
      </w:tr>
      <w:tr>
        <w:trPr>
          <w:trHeight w:val="162"/>
        </w:trPr>
        <w:tc>
          <w:tcPr>
            <w:tcW w:w="748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As Reported</w:t>
            </w:r>
          </w:p>
        </w:tc>
        <w:tc>
          <w:tcPr>
            <w:tcW w:w="120" w:type="dxa"/>
            <w:vAlign w:val="bottom"/>
          </w:tcPr>
          <w:p>
            <w:pPr>
              <w:spacing w:after="0"/>
              <w:rPr>
                <w:sz w:val="14"/>
                <w:szCs w:val="14"/>
                <w:color w:val="auto"/>
              </w:rPr>
            </w:pPr>
          </w:p>
        </w:tc>
        <w:tc>
          <w:tcPr>
            <w:tcW w:w="1160" w:type="dxa"/>
            <w:vAlign w:val="bottom"/>
            <w:gridSpan w:val="3"/>
          </w:tcPr>
          <w:p>
            <w:pPr>
              <w:jc w:val="center"/>
              <w:ind w:right="260"/>
              <w:spacing w:after="0" w:line="162" w:lineRule="exact"/>
              <w:rPr>
                <w:sz w:val="20"/>
                <w:szCs w:val="20"/>
                <w:color w:val="auto"/>
              </w:rPr>
            </w:pPr>
            <w:r>
              <w:rPr>
                <w:rFonts w:ascii="Arial" w:cs="Arial" w:eastAsia="Arial" w:hAnsi="Arial"/>
                <w:sz w:val="16"/>
                <w:szCs w:val="16"/>
                <w:color w:val="auto"/>
                <w:w w:val="99"/>
              </w:rPr>
              <w:t>Foreign</w:t>
            </w:r>
          </w:p>
        </w:tc>
        <w:tc>
          <w:tcPr>
            <w:tcW w:w="980" w:type="dxa"/>
            <w:vAlign w:val="bottom"/>
          </w:tcPr>
          <w:p>
            <w:pPr>
              <w:jc w:val="right"/>
              <w:ind w:right="159"/>
              <w:spacing w:after="0" w:line="162" w:lineRule="exact"/>
              <w:rPr>
                <w:sz w:val="20"/>
                <w:szCs w:val="20"/>
                <w:color w:val="auto"/>
              </w:rPr>
            </w:pPr>
            <w:r>
              <w:rPr>
                <w:rFonts w:ascii="Arial" w:cs="Arial" w:eastAsia="Arial" w:hAnsi="Arial"/>
                <w:sz w:val="16"/>
                <w:szCs w:val="16"/>
                <w:color w:val="auto"/>
              </w:rPr>
              <w:t>Currency</w:t>
            </w:r>
          </w:p>
        </w:tc>
        <w:tc>
          <w:tcPr>
            <w:tcW w:w="0" w:type="dxa"/>
            <w:vAlign w:val="bottom"/>
          </w:tcPr>
          <w:p>
            <w:pPr>
              <w:spacing w:after="0"/>
              <w:rPr>
                <w:sz w:val="1"/>
                <w:szCs w:val="1"/>
                <w:color w:val="auto"/>
              </w:rPr>
            </w:pPr>
          </w:p>
        </w:tc>
      </w:tr>
      <w:tr>
        <w:trPr>
          <w:trHeight w:val="215"/>
        </w:trPr>
        <w:tc>
          <w:tcPr>
            <w:tcW w:w="748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6"/>
                <w:szCs w:val="16"/>
                <w:color w:val="auto"/>
              </w:rPr>
              <w:t>Currency</w:t>
            </w:r>
          </w:p>
        </w:tc>
        <w:tc>
          <w:tcPr>
            <w:tcW w:w="980" w:type="dxa"/>
            <w:vAlign w:val="bottom"/>
          </w:tcPr>
          <w:p>
            <w:pPr>
              <w:jc w:val="right"/>
              <w:ind w:right="159"/>
              <w:spacing w:after="0"/>
              <w:rPr>
                <w:sz w:val="20"/>
                <w:szCs w:val="20"/>
                <w:color w:val="auto"/>
              </w:rPr>
            </w:pPr>
            <w:r>
              <w:rPr>
                <w:rFonts w:ascii="Arial" w:cs="Arial" w:eastAsia="Arial" w:hAnsi="Arial"/>
                <w:sz w:val="16"/>
                <w:szCs w:val="16"/>
                <w:color w:val="auto"/>
              </w:rPr>
              <w:t>Amounts</w:t>
            </w:r>
          </w:p>
        </w:tc>
        <w:tc>
          <w:tcPr>
            <w:tcW w:w="0" w:type="dxa"/>
            <w:vAlign w:val="bottom"/>
          </w:tcPr>
          <w:p>
            <w:pPr>
              <w:spacing w:after="0"/>
              <w:rPr>
                <w:sz w:val="1"/>
                <w:szCs w:val="1"/>
                <w:color w:val="auto"/>
              </w:rPr>
            </w:pPr>
          </w:p>
        </w:tc>
      </w:tr>
      <w:tr>
        <w:trPr>
          <w:trHeight w:val="203"/>
        </w:trPr>
        <w:tc>
          <w:tcPr>
            <w:tcW w:w="7480" w:type="dxa"/>
            <w:vAlign w:val="bottom"/>
          </w:tcPr>
          <w:p>
            <w:pPr>
              <w:spacing w:after="0"/>
              <w:rPr>
                <w:sz w:val="20"/>
                <w:szCs w:val="20"/>
                <w:color w:val="auto"/>
              </w:rPr>
            </w:pPr>
            <w:r>
              <w:rPr>
                <w:rFonts w:ascii="Arial" w:cs="Arial" w:eastAsia="Arial" w:hAnsi="Arial"/>
                <w:sz w:val="16"/>
                <w:szCs w:val="16"/>
                <w:b w:val="1"/>
                <w:bCs w:val="1"/>
                <w:color w:val="auto"/>
              </w:rPr>
              <w:t>Reconciliation of Connectivity &amp; Platforms Constant Currency</w:t>
            </w: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7480" w:type="dxa"/>
            <w:vAlign w:val="bottom"/>
          </w:tcPr>
          <w:p>
            <w:pPr>
              <w:spacing w:after="0"/>
              <w:rPr>
                <w:sz w:val="20"/>
                <w:szCs w:val="20"/>
                <w:color w:val="auto"/>
              </w:rPr>
            </w:pPr>
            <w:r>
              <w:rPr>
                <w:rFonts w:ascii="Arial" w:cs="Arial" w:eastAsia="Arial" w:hAnsi="Arial"/>
                <w:sz w:val="16"/>
                <w:szCs w:val="16"/>
                <w:b w:val="1"/>
                <w:bCs w:val="1"/>
                <w:color w:val="auto"/>
              </w:rPr>
              <w:t>Connectivity &amp; Platforms Revenue</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48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1040" w:type="dxa"/>
            <w:vAlign w:val="bottom"/>
          </w:tcPr>
          <w:p>
            <w:pPr>
              <w:jc w:val="right"/>
              <w:spacing w:after="0"/>
              <w:rPr>
                <w:sz w:val="20"/>
                <w:szCs w:val="20"/>
                <w:color w:val="auto"/>
              </w:rPr>
            </w:pPr>
            <w:r>
              <w:rPr>
                <w:rFonts w:ascii="Arial" w:cs="Arial" w:eastAsia="Arial" w:hAnsi="Arial"/>
                <w:sz w:val="16"/>
                <w:szCs w:val="16"/>
                <w:color w:val="auto"/>
              </w:rPr>
              <w:t>$17,868</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$17,826</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1040" w:type="dxa"/>
            <w:vAlign w:val="bottom"/>
          </w:tcPr>
          <w:p>
            <w:pPr>
              <w:jc w:val="right"/>
              <w:spacing w:after="0"/>
              <w:rPr>
                <w:sz w:val="20"/>
                <w:szCs w:val="20"/>
                <w:color w:val="auto"/>
              </w:rPr>
            </w:pPr>
            <w:r>
              <w:rPr>
                <w:rFonts w:ascii="Arial" w:cs="Arial" w:eastAsia="Arial" w:hAnsi="Arial"/>
                <w:sz w:val="16"/>
                <w:szCs w:val="16"/>
                <w:color w:val="auto"/>
              </w:rPr>
              <w:t>2,407</w:t>
            </w:r>
          </w:p>
        </w:tc>
        <w:tc>
          <w:tcPr>
            <w:tcW w:w="12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2,407</w:t>
            </w:r>
          </w:p>
        </w:tc>
        <w:tc>
          <w:tcPr>
            <w:tcW w:w="0" w:type="dxa"/>
            <w:vAlign w:val="bottom"/>
          </w:tcPr>
          <w:p>
            <w:pPr>
              <w:spacing w:after="0"/>
              <w:rPr>
                <w:sz w:val="1"/>
                <w:szCs w:val="1"/>
                <w:color w:val="auto"/>
              </w:rPr>
            </w:pPr>
          </w:p>
        </w:tc>
      </w:tr>
      <w:tr>
        <w:trPr>
          <w:trHeight w:val="218"/>
        </w:trPr>
        <w:tc>
          <w:tcPr>
            <w:tcW w:w="7480" w:type="dxa"/>
            <w:vAlign w:val="bottom"/>
          </w:tcPr>
          <w:p>
            <w:pPr>
              <w:spacing w:after="0"/>
              <w:rPr>
                <w:sz w:val="20"/>
                <w:szCs w:val="20"/>
                <w:color w:val="auto"/>
              </w:rPr>
            </w:pPr>
            <w:r>
              <w:rPr>
                <w:rFonts w:ascii="Arial" w:cs="Arial" w:eastAsia="Arial" w:hAnsi="Arial"/>
                <w:sz w:val="16"/>
                <w:szCs w:val="16"/>
                <w:b w:val="1"/>
                <w:bCs w:val="1"/>
                <w:color w:val="auto"/>
              </w:rPr>
              <w:t>Total Connectivity &amp; Platforms Revenue</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$20,275</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$20,233</w:t>
            </w:r>
          </w:p>
        </w:tc>
        <w:tc>
          <w:tcPr>
            <w:tcW w:w="0" w:type="dxa"/>
            <w:vAlign w:val="bottom"/>
          </w:tcPr>
          <w:p>
            <w:pPr>
              <w:spacing w:after="0"/>
              <w:rPr>
                <w:sz w:val="1"/>
                <w:szCs w:val="1"/>
                <w:color w:val="auto"/>
              </w:rPr>
            </w:pPr>
          </w:p>
        </w:tc>
      </w:tr>
      <w:tr>
        <w:trPr>
          <w:trHeight w:val="357"/>
        </w:trPr>
        <w:tc>
          <w:tcPr>
            <w:tcW w:w="7480" w:type="dxa"/>
            <w:vAlign w:val="bottom"/>
          </w:tcPr>
          <w:p>
            <w:pPr>
              <w:spacing w:after="0"/>
              <w:rPr>
                <w:sz w:val="20"/>
                <w:szCs w:val="20"/>
                <w:color w:val="auto"/>
              </w:rPr>
            </w:pPr>
            <w:r>
              <w:rPr>
                <w:rFonts w:ascii="Arial" w:cs="Arial" w:eastAsia="Arial" w:hAnsi="Arial"/>
                <w:sz w:val="16"/>
                <w:szCs w:val="16"/>
                <w:b w:val="1"/>
                <w:bCs w:val="1"/>
                <w:color w:val="auto"/>
              </w:rPr>
              <w:t>Connectivity and Platforms Adjusted EBITDA</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48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1040" w:type="dxa"/>
            <w:vAlign w:val="bottom"/>
          </w:tcPr>
          <w:p>
            <w:pPr>
              <w:jc w:val="right"/>
              <w:spacing w:after="0"/>
              <w:rPr>
                <w:sz w:val="20"/>
                <w:szCs w:val="20"/>
                <w:color w:val="auto"/>
              </w:rPr>
            </w:pPr>
            <w:r>
              <w:rPr>
                <w:rFonts w:ascii="Arial" w:cs="Arial" w:eastAsia="Arial" w:hAnsi="Arial"/>
                <w:sz w:val="16"/>
                <w:szCs w:val="16"/>
                <w:color w:val="auto"/>
              </w:rPr>
              <w:t>$6,852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$6,850</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1040" w:type="dxa"/>
            <w:vAlign w:val="bottom"/>
          </w:tcPr>
          <w:p>
            <w:pPr>
              <w:jc w:val="right"/>
              <w:spacing w:after="0"/>
              <w:rPr>
                <w:sz w:val="20"/>
                <w:szCs w:val="20"/>
                <w:color w:val="auto"/>
              </w:rPr>
            </w:pPr>
            <w:r>
              <w:rPr>
                <w:rFonts w:ascii="Arial" w:cs="Arial" w:eastAsia="Arial" w:hAnsi="Arial"/>
                <w:sz w:val="16"/>
                <w:szCs w:val="16"/>
                <w:color w:val="auto"/>
              </w:rPr>
              <w:t>1,366</w:t>
            </w:r>
          </w:p>
        </w:tc>
        <w:tc>
          <w:tcPr>
            <w:tcW w:w="12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1,366</w:t>
            </w:r>
          </w:p>
        </w:tc>
        <w:tc>
          <w:tcPr>
            <w:tcW w:w="0" w:type="dxa"/>
            <w:vAlign w:val="bottom"/>
          </w:tcPr>
          <w:p>
            <w:pPr>
              <w:spacing w:after="0"/>
              <w:rPr>
                <w:sz w:val="1"/>
                <w:szCs w:val="1"/>
                <w:color w:val="auto"/>
              </w:rPr>
            </w:pPr>
          </w:p>
        </w:tc>
      </w:tr>
      <w:tr>
        <w:trPr>
          <w:trHeight w:val="218"/>
        </w:trPr>
        <w:tc>
          <w:tcPr>
            <w:tcW w:w="7480" w:type="dxa"/>
            <w:vAlign w:val="bottom"/>
          </w:tcPr>
          <w:p>
            <w:pPr>
              <w:spacing w:after="0"/>
              <w:rPr>
                <w:sz w:val="20"/>
                <w:szCs w:val="20"/>
                <w:color w:val="auto"/>
              </w:rPr>
            </w:pPr>
            <w:r>
              <w:rPr>
                <w:rFonts w:ascii="Arial" w:cs="Arial" w:eastAsia="Arial" w:hAnsi="Arial"/>
                <w:sz w:val="16"/>
                <w:szCs w:val="16"/>
                <w:b w:val="1"/>
                <w:bCs w:val="1"/>
                <w:color w:val="auto"/>
              </w:rPr>
              <w:t>Total Connectivity &amp; Platforms Adjusted EBITDA</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$8,218</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$8,216</w:t>
            </w:r>
          </w:p>
        </w:tc>
        <w:tc>
          <w:tcPr>
            <w:tcW w:w="0" w:type="dxa"/>
            <w:vAlign w:val="bottom"/>
          </w:tcPr>
          <w:p>
            <w:pPr>
              <w:spacing w:after="0"/>
              <w:rPr>
                <w:sz w:val="1"/>
                <w:szCs w:val="1"/>
                <w:color w:val="auto"/>
              </w:rPr>
            </w:pPr>
          </w:p>
        </w:tc>
      </w:tr>
      <w:tr>
        <w:trPr>
          <w:trHeight w:val="357"/>
        </w:trPr>
        <w:tc>
          <w:tcPr>
            <w:tcW w:w="7480" w:type="dxa"/>
            <w:vAlign w:val="bottom"/>
          </w:tcPr>
          <w:p>
            <w:pPr>
              <w:spacing w:after="0"/>
              <w:rPr>
                <w:sz w:val="20"/>
                <w:szCs w:val="20"/>
                <w:color w:val="auto"/>
              </w:rPr>
            </w:pPr>
            <w:r>
              <w:rPr>
                <w:rFonts w:ascii="Arial" w:cs="Arial" w:eastAsia="Arial" w:hAnsi="Arial"/>
                <w:sz w:val="16"/>
                <w:szCs w:val="16"/>
                <w:b w:val="1"/>
                <w:bCs w:val="1"/>
                <w:color w:val="auto"/>
              </w:rPr>
              <w:t>Connectivity &amp; Platforms Adjusted EBITDA Margin</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48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1040" w:type="dxa"/>
            <w:vAlign w:val="bottom"/>
          </w:tcPr>
          <w:p>
            <w:pPr>
              <w:jc w:val="right"/>
              <w:spacing w:after="0"/>
              <w:rPr>
                <w:sz w:val="20"/>
                <w:szCs w:val="20"/>
                <w:color w:val="auto"/>
              </w:rPr>
            </w:pPr>
            <w:r>
              <w:rPr>
                <w:rFonts w:ascii="Arial" w:cs="Arial" w:eastAsia="Arial" w:hAnsi="Arial"/>
                <w:sz w:val="16"/>
                <w:szCs w:val="16"/>
                <w:color w:val="auto"/>
              </w:rPr>
              <w:t>38.3 %</w:t>
            </w:r>
          </w:p>
        </w:tc>
        <w:tc>
          <w:tcPr>
            <w:tcW w:w="12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6"/>
                <w:szCs w:val="16"/>
                <w:color w:val="auto"/>
              </w:rPr>
              <w:t>10 bps</w:t>
            </w:r>
          </w:p>
        </w:tc>
        <w:tc>
          <w:tcPr>
            <w:tcW w:w="980" w:type="dxa"/>
            <w:vAlign w:val="bottom"/>
          </w:tcPr>
          <w:p>
            <w:pPr>
              <w:jc w:val="right"/>
              <w:spacing w:after="0"/>
              <w:rPr>
                <w:sz w:val="20"/>
                <w:szCs w:val="20"/>
                <w:color w:val="auto"/>
              </w:rPr>
            </w:pPr>
            <w:r>
              <w:rPr>
                <w:rFonts w:ascii="Arial" w:cs="Arial" w:eastAsia="Arial" w:hAnsi="Arial"/>
                <w:sz w:val="16"/>
                <w:szCs w:val="16"/>
                <w:color w:val="auto"/>
              </w:rPr>
              <w:t>38.4 %</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1040" w:type="dxa"/>
            <w:vAlign w:val="bottom"/>
          </w:tcPr>
          <w:p>
            <w:pPr>
              <w:jc w:val="right"/>
              <w:spacing w:after="0"/>
              <w:rPr>
                <w:sz w:val="20"/>
                <w:szCs w:val="20"/>
                <w:color w:val="auto"/>
              </w:rPr>
            </w:pPr>
            <w:r>
              <w:rPr>
                <w:rFonts w:ascii="Arial" w:cs="Arial" w:eastAsia="Arial" w:hAnsi="Arial"/>
                <w:sz w:val="16"/>
                <w:szCs w:val="16"/>
                <w:color w:val="auto"/>
              </w:rPr>
              <w:t>56.7 %</w:t>
            </w:r>
          </w:p>
        </w:tc>
        <w:tc>
          <w:tcPr>
            <w:tcW w:w="12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6"/>
                <w:szCs w:val="16"/>
                <w:color w:val="auto"/>
              </w:rPr>
              <w:t>- bps</w:t>
            </w:r>
          </w:p>
        </w:tc>
        <w:tc>
          <w:tcPr>
            <w:tcW w:w="980" w:type="dxa"/>
            <w:vAlign w:val="bottom"/>
          </w:tcPr>
          <w:p>
            <w:pPr>
              <w:jc w:val="right"/>
              <w:spacing w:after="0"/>
              <w:rPr>
                <w:sz w:val="20"/>
                <w:szCs w:val="20"/>
                <w:color w:val="auto"/>
              </w:rPr>
            </w:pPr>
            <w:r>
              <w:rPr>
                <w:rFonts w:ascii="Arial" w:cs="Arial" w:eastAsia="Arial" w:hAnsi="Arial"/>
                <w:sz w:val="16"/>
                <w:szCs w:val="16"/>
                <w:color w:val="auto"/>
              </w:rPr>
              <w:t>56.7 %</w:t>
            </w:r>
          </w:p>
        </w:tc>
        <w:tc>
          <w:tcPr>
            <w:tcW w:w="0" w:type="dxa"/>
            <w:vAlign w:val="bottom"/>
          </w:tcPr>
          <w:p>
            <w:pPr>
              <w:spacing w:after="0"/>
              <w:rPr>
                <w:sz w:val="1"/>
                <w:szCs w:val="1"/>
                <w:color w:val="auto"/>
              </w:rPr>
            </w:pPr>
          </w:p>
        </w:tc>
      </w:tr>
      <w:tr>
        <w:trPr>
          <w:trHeight w:val="218"/>
        </w:trPr>
        <w:tc>
          <w:tcPr>
            <w:tcW w:w="7480" w:type="dxa"/>
            <w:vAlign w:val="bottom"/>
          </w:tcPr>
          <w:p>
            <w:pPr>
              <w:spacing w:after="0"/>
              <w:rPr>
                <w:sz w:val="20"/>
                <w:szCs w:val="20"/>
                <w:color w:val="auto"/>
              </w:rPr>
            </w:pPr>
            <w:r>
              <w:rPr>
                <w:rFonts w:ascii="Arial" w:cs="Arial" w:eastAsia="Arial" w:hAnsi="Arial"/>
                <w:sz w:val="16"/>
                <w:szCs w:val="16"/>
                <w:b w:val="1"/>
                <w:bCs w:val="1"/>
                <w:color w:val="auto"/>
              </w:rPr>
              <w:t>Total Connectivity &amp; Platforms Adjusted EBITDA Margin</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40.5 %</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 bps</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40.6 %</w:t>
            </w:r>
          </w:p>
        </w:tc>
        <w:tc>
          <w:tcPr>
            <w:tcW w:w="0" w:type="dxa"/>
            <w:vAlign w:val="bottom"/>
          </w:tcPr>
          <w:p>
            <w:pPr>
              <w:spacing w:after="0"/>
              <w:rPr>
                <w:sz w:val="1"/>
                <w:szCs w:val="1"/>
                <w:color w:val="auto"/>
              </w:rPr>
            </w:pPr>
          </w:p>
        </w:tc>
      </w:tr>
      <w:tr>
        <w:trPr>
          <w:trHeight w:val="439"/>
        </w:trPr>
        <w:tc>
          <w:tcPr>
            <w:tcW w:w="7480" w:type="dxa"/>
            <w:vAlign w:val="bottom"/>
          </w:tcPr>
          <w:p>
            <w:pPr>
              <w:spacing w:after="0"/>
              <w:rPr>
                <w:sz w:val="24"/>
                <w:szCs w:val="24"/>
                <w:color w:val="auto"/>
              </w:rPr>
            </w:pPr>
          </w:p>
        </w:tc>
        <w:tc>
          <w:tcPr>
            <w:tcW w:w="3300" w:type="dxa"/>
            <w:vAlign w:val="bottom"/>
            <w:gridSpan w:val="6"/>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5"/>
        </w:trPr>
        <w:tc>
          <w:tcPr>
            <w:tcW w:w="7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March 31, 2024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260"/>
              <w:spacing w:after="0" w:line="163" w:lineRule="exact"/>
              <w:rPr>
                <w:sz w:val="20"/>
                <w:szCs w:val="20"/>
                <w:color w:val="auto"/>
              </w:rPr>
            </w:pPr>
            <w:r>
              <w:rPr>
                <w:rFonts w:ascii="Arial" w:cs="Arial" w:eastAsia="Arial" w:hAnsi="Arial"/>
                <w:sz w:val="16"/>
                <w:szCs w:val="16"/>
                <w:color w:val="auto"/>
                <w:w w:val="98"/>
              </w:rPr>
              <w:t>Effects of</w:t>
            </w:r>
          </w:p>
        </w:tc>
        <w:tc>
          <w:tcPr>
            <w:tcW w:w="980" w:type="dxa"/>
            <w:vAlign w:val="bottom"/>
          </w:tcPr>
          <w:p>
            <w:pPr>
              <w:jc w:val="right"/>
              <w:ind w:right="159"/>
              <w:spacing w:after="0" w:line="163" w:lineRule="exact"/>
              <w:rPr>
                <w:sz w:val="20"/>
                <w:szCs w:val="20"/>
                <w:color w:val="auto"/>
              </w:rPr>
            </w:pPr>
            <w:r>
              <w:rPr>
                <w:rFonts w:ascii="Arial" w:cs="Arial" w:eastAsia="Arial" w:hAnsi="Arial"/>
                <w:sz w:val="16"/>
                <w:szCs w:val="16"/>
                <w:color w:val="auto"/>
              </w:rPr>
              <w:t>Constant</w:t>
            </w:r>
          </w:p>
        </w:tc>
        <w:tc>
          <w:tcPr>
            <w:tcW w:w="0" w:type="dxa"/>
            <w:vAlign w:val="bottom"/>
          </w:tcPr>
          <w:p>
            <w:pPr>
              <w:spacing w:after="0"/>
              <w:rPr>
                <w:sz w:val="1"/>
                <w:szCs w:val="1"/>
                <w:color w:val="auto"/>
              </w:rPr>
            </w:pPr>
          </w:p>
        </w:tc>
      </w:tr>
      <w:tr>
        <w:trPr>
          <w:trHeight w:val="162"/>
        </w:trPr>
        <w:tc>
          <w:tcPr>
            <w:tcW w:w="748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As Reported</w:t>
            </w:r>
          </w:p>
        </w:tc>
        <w:tc>
          <w:tcPr>
            <w:tcW w:w="120" w:type="dxa"/>
            <w:vAlign w:val="bottom"/>
          </w:tcPr>
          <w:p>
            <w:pPr>
              <w:spacing w:after="0"/>
              <w:rPr>
                <w:sz w:val="14"/>
                <w:szCs w:val="14"/>
                <w:color w:val="auto"/>
              </w:rPr>
            </w:pPr>
          </w:p>
        </w:tc>
        <w:tc>
          <w:tcPr>
            <w:tcW w:w="1160" w:type="dxa"/>
            <w:vAlign w:val="bottom"/>
            <w:gridSpan w:val="3"/>
          </w:tcPr>
          <w:p>
            <w:pPr>
              <w:jc w:val="center"/>
              <w:ind w:right="260"/>
              <w:spacing w:after="0" w:line="162" w:lineRule="exact"/>
              <w:rPr>
                <w:sz w:val="20"/>
                <w:szCs w:val="20"/>
                <w:color w:val="auto"/>
              </w:rPr>
            </w:pPr>
            <w:r>
              <w:rPr>
                <w:rFonts w:ascii="Arial" w:cs="Arial" w:eastAsia="Arial" w:hAnsi="Arial"/>
                <w:sz w:val="16"/>
                <w:szCs w:val="16"/>
                <w:color w:val="auto"/>
                <w:w w:val="99"/>
              </w:rPr>
              <w:t>Foreign</w:t>
            </w:r>
          </w:p>
        </w:tc>
        <w:tc>
          <w:tcPr>
            <w:tcW w:w="980" w:type="dxa"/>
            <w:vAlign w:val="bottom"/>
          </w:tcPr>
          <w:p>
            <w:pPr>
              <w:jc w:val="right"/>
              <w:ind w:right="159"/>
              <w:spacing w:after="0" w:line="162" w:lineRule="exact"/>
              <w:rPr>
                <w:sz w:val="20"/>
                <w:szCs w:val="20"/>
                <w:color w:val="auto"/>
              </w:rPr>
            </w:pPr>
            <w:r>
              <w:rPr>
                <w:rFonts w:ascii="Arial" w:cs="Arial" w:eastAsia="Arial" w:hAnsi="Arial"/>
                <w:sz w:val="16"/>
                <w:szCs w:val="16"/>
                <w:color w:val="auto"/>
              </w:rPr>
              <w:t>Currency</w:t>
            </w:r>
          </w:p>
        </w:tc>
        <w:tc>
          <w:tcPr>
            <w:tcW w:w="0" w:type="dxa"/>
            <w:vAlign w:val="bottom"/>
          </w:tcPr>
          <w:p>
            <w:pPr>
              <w:spacing w:after="0"/>
              <w:rPr>
                <w:sz w:val="1"/>
                <w:szCs w:val="1"/>
                <w:color w:val="auto"/>
              </w:rPr>
            </w:pPr>
          </w:p>
        </w:tc>
      </w:tr>
      <w:tr>
        <w:trPr>
          <w:trHeight w:val="215"/>
        </w:trPr>
        <w:tc>
          <w:tcPr>
            <w:tcW w:w="748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6"/>
                <w:szCs w:val="16"/>
                <w:color w:val="auto"/>
              </w:rPr>
              <w:t>Currency</w:t>
            </w:r>
          </w:p>
        </w:tc>
        <w:tc>
          <w:tcPr>
            <w:tcW w:w="980" w:type="dxa"/>
            <w:vAlign w:val="bottom"/>
          </w:tcPr>
          <w:p>
            <w:pPr>
              <w:jc w:val="right"/>
              <w:ind w:right="159"/>
              <w:spacing w:after="0"/>
              <w:rPr>
                <w:sz w:val="20"/>
                <w:szCs w:val="20"/>
                <w:color w:val="auto"/>
              </w:rPr>
            </w:pPr>
            <w:r>
              <w:rPr>
                <w:rFonts w:ascii="Arial" w:cs="Arial" w:eastAsia="Arial" w:hAnsi="Arial"/>
                <w:sz w:val="16"/>
                <w:szCs w:val="16"/>
                <w:color w:val="auto"/>
              </w:rPr>
              <w:t>Amounts</w:t>
            </w:r>
          </w:p>
        </w:tc>
        <w:tc>
          <w:tcPr>
            <w:tcW w:w="0" w:type="dxa"/>
            <w:vAlign w:val="bottom"/>
          </w:tcPr>
          <w:p>
            <w:pPr>
              <w:spacing w:after="0"/>
              <w:rPr>
                <w:sz w:val="1"/>
                <w:szCs w:val="1"/>
                <w:color w:val="auto"/>
              </w:rPr>
            </w:pPr>
          </w:p>
        </w:tc>
      </w:tr>
      <w:tr>
        <w:trPr>
          <w:trHeight w:val="203"/>
        </w:trPr>
        <w:tc>
          <w:tcPr>
            <w:tcW w:w="7480" w:type="dxa"/>
            <w:vAlign w:val="bottom"/>
          </w:tcPr>
          <w:p>
            <w:pPr>
              <w:spacing w:after="0"/>
              <w:rPr>
                <w:sz w:val="20"/>
                <w:szCs w:val="20"/>
                <w:color w:val="auto"/>
              </w:rPr>
            </w:pPr>
            <w:r>
              <w:rPr>
                <w:rFonts w:ascii="Arial" w:cs="Arial" w:eastAsia="Arial" w:hAnsi="Arial"/>
                <w:sz w:val="16"/>
                <w:szCs w:val="16"/>
                <w:b w:val="1"/>
                <w:bCs w:val="1"/>
                <w:color w:val="auto"/>
              </w:rPr>
              <w:t>Reconciliation of Residential Connectivity &amp; Platforms Constant Currency</w:t>
            </w: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748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480" w:type="dxa"/>
            <w:vAlign w:val="bottom"/>
          </w:tcPr>
          <w:p>
            <w:pPr>
              <w:ind w:left="340"/>
              <w:spacing w:after="0"/>
              <w:rPr>
                <w:sz w:val="20"/>
                <w:szCs w:val="20"/>
                <w:color w:val="auto"/>
              </w:rPr>
            </w:pPr>
            <w:r>
              <w:rPr>
                <w:rFonts w:ascii="Arial" w:cs="Arial" w:eastAsia="Arial" w:hAnsi="Arial"/>
                <w:sz w:val="16"/>
                <w:szCs w:val="16"/>
                <w:color w:val="auto"/>
              </w:rPr>
              <w:t>Domestic broadband</w:t>
            </w:r>
          </w:p>
        </w:tc>
        <w:tc>
          <w:tcPr>
            <w:tcW w:w="1040" w:type="dxa"/>
            <w:vAlign w:val="bottom"/>
          </w:tcPr>
          <w:p>
            <w:pPr>
              <w:jc w:val="right"/>
              <w:spacing w:after="0"/>
              <w:rPr>
                <w:sz w:val="20"/>
                <w:szCs w:val="20"/>
                <w:color w:val="auto"/>
              </w:rPr>
            </w:pPr>
            <w:r>
              <w:rPr>
                <w:rFonts w:ascii="Arial" w:cs="Arial" w:eastAsia="Arial" w:hAnsi="Arial"/>
                <w:sz w:val="16"/>
                <w:szCs w:val="16"/>
                <w:color w:val="auto"/>
              </w:rPr>
              <w:t>$6,446</w:t>
            </w:r>
          </w:p>
        </w:tc>
        <w:tc>
          <w:tcPr>
            <w:tcW w:w="12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$6,446</w:t>
            </w:r>
          </w:p>
        </w:tc>
        <w:tc>
          <w:tcPr>
            <w:tcW w:w="0" w:type="dxa"/>
            <w:vAlign w:val="bottom"/>
          </w:tcPr>
          <w:p>
            <w:pPr>
              <w:spacing w:after="0"/>
              <w:rPr>
                <w:sz w:val="1"/>
                <w:szCs w:val="1"/>
                <w:color w:val="auto"/>
              </w:rPr>
            </w:pPr>
          </w:p>
        </w:tc>
      </w:tr>
      <w:tr>
        <w:trPr>
          <w:trHeight w:val="216"/>
        </w:trPr>
        <w:tc>
          <w:tcPr>
            <w:tcW w:w="7480" w:type="dxa"/>
            <w:vAlign w:val="bottom"/>
          </w:tcPr>
          <w:p>
            <w:pPr>
              <w:ind w:left="340"/>
              <w:spacing w:after="0"/>
              <w:rPr>
                <w:sz w:val="20"/>
                <w:szCs w:val="20"/>
                <w:color w:val="auto"/>
              </w:rPr>
            </w:pPr>
            <w:r>
              <w:rPr>
                <w:rFonts w:ascii="Arial" w:cs="Arial" w:eastAsia="Arial" w:hAnsi="Arial"/>
                <w:sz w:val="16"/>
                <w:szCs w:val="16"/>
                <w:color w:val="auto"/>
              </w:rPr>
              <w:t>Domestic wireless</w:t>
            </w:r>
          </w:p>
        </w:tc>
        <w:tc>
          <w:tcPr>
            <w:tcW w:w="1040" w:type="dxa"/>
            <w:vAlign w:val="bottom"/>
          </w:tcPr>
          <w:p>
            <w:pPr>
              <w:jc w:val="right"/>
              <w:spacing w:after="0"/>
              <w:rPr>
                <w:sz w:val="20"/>
                <w:szCs w:val="20"/>
                <w:color w:val="auto"/>
              </w:rPr>
            </w:pPr>
            <w:r>
              <w:rPr>
                <w:rFonts w:ascii="Arial" w:cs="Arial" w:eastAsia="Arial" w:hAnsi="Arial"/>
                <w:sz w:val="16"/>
                <w:szCs w:val="16"/>
                <w:color w:val="auto"/>
              </w:rPr>
              <w:t>972</w:t>
            </w:r>
          </w:p>
        </w:tc>
        <w:tc>
          <w:tcPr>
            <w:tcW w:w="12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972</w:t>
            </w:r>
          </w:p>
        </w:tc>
        <w:tc>
          <w:tcPr>
            <w:tcW w:w="0" w:type="dxa"/>
            <w:vAlign w:val="bottom"/>
          </w:tcPr>
          <w:p>
            <w:pPr>
              <w:spacing w:after="0"/>
              <w:rPr>
                <w:sz w:val="1"/>
                <w:szCs w:val="1"/>
                <w:color w:val="auto"/>
              </w:rPr>
            </w:pPr>
          </w:p>
        </w:tc>
      </w:tr>
      <w:tr>
        <w:trPr>
          <w:trHeight w:val="216"/>
        </w:trPr>
        <w:tc>
          <w:tcPr>
            <w:tcW w:w="7480" w:type="dxa"/>
            <w:vAlign w:val="bottom"/>
          </w:tcPr>
          <w:p>
            <w:pPr>
              <w:ind w:left="340"/>
              <w:spacing w:after="0"/>
              <w:rPr>
                <w:sz w:val="20"/>
                <w:szCs w:val="20"/>
                <w:color w:val="auto"/>
              </w:rPr>
            </w:pPr>
            <w:r>
              <w:rPr>
                <w:rFonts w:ascii="Arial" w:cs="Arial" w:eastAsia="Arial" w:hAnsi="Arial"/>
                <w:sz w:val="16"/>
                <w:szCs w:val="16"/>
                <w:color w:val="auto"/>
              </w:rPr>
              <w:t>International connectivity</w:t>
            </w:r>
          </w:p>
        </w:tc>
        <w:tc>
          <w:tcPr>
            <w:tcW w:w="1040" w:type="dxa"/>
            <w:vAlign w:val="bottom"/>
          </w:tcPr>
          <w:p>
            <w:pPr>
              <w:jc w:val="right"/>
              <w:spacing w:after="0"/>
              <w:rPr>
                <w:sz w:val="20"/>
                <w:szCs w:val="20"/>
                <w:color w:val="auto"/>
              </w:rPr>
            </w:pPr>
            <w:r>
              <w:rPr>
                <w:rFonts w:ascii="Arial" w:cs="Arial" w:eastAsia="Arial" w:hAnsi="Arial"/>
                <w:sz w:val="16"/>
                <w:szCs w:val="16"/>
                <w:color w:val="auto"/>
              </w:rPr>
              <w:t>1,033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1,024</w:t>
            </w:r>
          </w:p>
        </w:tc>
        <w:tc>
          <w:tcPr>
            <w:tcW w:w="0" w:type="dxa"/>
            <w:vAlign w:val="bottom"/>
          </w:tcPr>
          <w:p>
            <w:pPr>
              <w:spacing w:after="0"/>
              <w:rPr>
                <w:sz w:val="1"/>
                <w:szCs w:val="1"/>
                <w:color w:val="auto"/>
              </w:rPr>
            </w:pPr>
          </w:p>
        </w:tc>
      </w:tr>
      <w:tr>
        <w:trPr>
          <w:trHeight w:val="211"/>
        </w:trPr>
        <w:tc>
          <w:tcPr>
            <w:tcW w:w="7480" w:type="dxa"/>
            <w:vAlign w:val="bottom"/>
          </w:tcPr>
          <w:p>
            <w:pPr>
              <w:ind w:left="220"/>
              <w:spacing w:after="0"/>
              <w:rPr>
                <w:sz w:val="20"/>
                <w:szCs w:val="20"/>
                <w:color w:val="auto"/>
              </w:rPr>
            </w:pPr>
            <w:r>
              <w:rPr>
                <w:rFonts w:ascii="Arial" w:cs="Arial" w:eastAsia="Arial" w:hAnsi="Arial"/>
                <w:sz w:val="16"/>
                <w:szCs w:val="16"/>
                <w:color w:val="auto"/>
              </w:rPr>
              <w:t>Total residential connectivity</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$8,451</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$8,442</w:t>
            </w:r>
          </w:p>
        </w:tc>
        <w:tc>
          <w:tcPr>
            <w:tcW w:w="0" w:type="dxa"/>
            <w:vAlign w:val="bottom"/>
          </w:tcPr>
          <w:p>
            <w:pPr>
              <w:spacing w:after="0"/>
              <w:rPr>
                <w:sz w:val="1"/>
                <w:szCs w:val="1"/>
                <w:color w:val="auto"/>
              </w:rPr>
            </w:pPr>
          </w:p>
        </w:tc>
      </w:tr>
      <w:tr>
        <w:trPr>
          <w:trHeight w:val="215"/>
        </w:trPr>
        <w:tc>
          <w:tcPr>
            <w:tcW w:w="7480" w:type="dxa"/>
            <w:vAlign w:val="bottom"/>
          </w:tcPr>
          <w:p>
            <w:pPr>
              <w:ind w:left="220"/>
              <w:spacing w:after="0"/>
              <w:rPr>
                <w:sz w:val="20"/>
                <w:szCs w:val="20"/>
                <w:color w:val="auto"/>
              </w:rPr>
            </w:pPr>
            <w:r>
              <w:rPr>
                <w:rFonts w:ascii="Arial" w:cs="Arial" w:eastAsia="Arial" w:hAnsi="Arial"/>
                <w:sz w:val="16"/>
                <w:szCs w:val="16"/>
                <w:color w:val="auto"/>
              </w:rPr>
              <w:t>Video</w:t>
            </w:r>
          </w:p>
        </w:tc>
        <w:tc>
          <w:tcPr>
            <w:tcW w:w="1040" w:type="dxa"/>
            <w:vAlign w:val="bottom"/>
          </w:tcPr>
          <w:p>
            <w:pPr>
              <w:jc w:val="right"/>
              <w:spacing w:after="0"/>
              <w:rPr>
                <w:sz w:val="20"/>
                <w:szCs w:val="20"/>
                <w:color w:val="auto"/>
              </w:rPr>
            </w:pPr>
            <w:r>
              <w:rPr>
                <w:rFonts w:ascii="Arial" w:cs="Arial" w:eastAsia="Arial" w:hAnsi="Arial"/>
                <w:sz w:val="16"/>
                <w:szCs w:val="16"/>
                <w:color w:val="auto"/>
              </w:rPr>
              <w:t>7,104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7,078</w:t>
            </w:r>
          </w:p>
        </w:tc>
        <w:tc>
          <w:tcPr>
            <w:tcW w:w="0" w:type="dxa"/>
            <w:vAlign w:val="bottom"/>
          </w:tcPr>
          <w:p>
            <w:pPr>
              <w:spacing w:after="0"/>
              <w:rPr>
                <w:sz w:val="1"/>
                <w:szCs w:val="1"/>
                <w:color w:val="auto"/>
              </w:rPr>
            </w:pPr>
          </w:p>
        </w:tc>
      </w:tr>
      <w:tr>
        <w:trPr>
          <w:trHeight w:val="216"/>
        </w:trPr>
        <w:tc>
          <w:tcPr>
            <w:tcW w:w="7480" w:type="dxa"/>
            <w:vAlign w:val="bottom"/>
          </w:tcPr>
          <w:p>
            <w:pPr>
              <w:ind w:left="220"/>
              <w:spacing w:after="0"/>
              <w:rPr>
                <w:sz w:val="20"/>
                <w:szCs w:val="20"/>
                <w:color w:val="auto"/>
              </w:rPr>
            </w:pPr>
            <w:r>
              <w:rPr>
                <w:rFonts w:ascii="Arial" w:cs="Arial" w:eastAsia="Arial" w:hAnsi="Arial"/>
                <w:sz w:val="16"/>
                <w:szCs w:val="16"/>
                <w:color w:val="auto"/>
              </w:rPr>
              <w:t>Advertising</w:t>
            </w:r>
          </w:p>
        </w:tc>
        <w:tc>
          <w:tcPr>
            <w:tcW w:w="1040" w:type="dxa"/>
            <w:vAlign w:val="bottom"/>
          </w:tcPr>
          <w:p>
            <w:pPr>
              <w:jc w:val="right"/>
              <w:spacing w:after="0"/>
              <w:rPr>
                <w:sz w:val="20"/>
                <w:szCs w:val="20"/>
                <w:color w:val="auto"/>
              </w:rPr>
            </w:pPr>
            <w:r>
              <w:rPr>
                <w:rFonts w:ascii="Arial" w:cs="Arial" w:eastAsia="Arial" w:hAnsi="Arial"/>
                <w:sz w:val="16"/>
                <w:szCs w:val="16"/>
                <w:color w:val="auto"/>
              </w:rPr>
              <w:t>951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947</w:t>
            </w:r>
          </w:p>
        </w:tc>
        <w:tc>
          <w:tcPr>
            <w:tcW w:w="0" w:type="dxa"/>
            <w:vAlign w:val="bottom"/>
          </w:tcPr>
          <w:p>
            <w:pPr>
              <w:spacing w:after="0"/>
              <w:rPr>
                <w:sz w:val="1"/>
                <w:szCs w:val="1"/>
                <w:color w:val="auto"/>
              </w:rPr>
            </w:pPr>
          </w:p>
        </w:tc>
      </w:tr>
      <w:tr>
        <w:trPr>
          <w:trHeight w:val="216"/>
        </w:trPr>
        <w:tc>
          <w:tcPr>
            <w:tcW w:w="7480" w:type="dxa"/>
            <w:vAlign w:val="bottom"/>
          </w:tcPr>
          <w:p>
            <w:pPr>
              <w:ind w:left="220"/>
              <w:spacing w:after="0"/>
              <w:rPr>
                <w:sz w:val="20"/>
                <w:szCs w:val="20"/>
                <w:color w:val="auto"/>
              </w:rPr>
            </w:pPr>
            <w:r>
              <w:rPr>
                <w:rFonts w:ascii="Arial" w:cs="Arial" w:eastAsia="Arial" w:hAnsi="Arial"/>
                <w:sz w:val="16"/>
                <w:szCs w:val="16"/>
                <w:color w:val="auto"/>
              </w:rPr>
              <w:t>Other</w:t>
            </w:r>
          </w:p>
        </w:tc>
        <w:tc>
          <w:tcPr>
            <w:tcW w:w="1040" w:type="dxa"/>
            <w:vAlign w:val="bottom"/>
          </w:tcPr>
          <w:p>
            <w:pPr>
              <w:jc w:val="right"/>
              <w:spacing w:after="0"/>
              <w:rPr>
                <w:sz w:val="20"/>
                <w:szCs w:val="20"/>
                <w:color w:val="auto"/>
              </w:rPr>
            </w:pPr>
            <w:r>
              <w:rPr>
                <w:rFonts w:ascii="Arial" w:cs="Arial" w:eastAsia="Arial" w:hAnsi="Arial"/>
                <w:sz w:val="16"/>
                <w:szCs w:val="16"/>
                <w:color w:val="auto"/>
              </w:rPr>
              <w:t>1,362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1,359</w:t>
            </w:r>
          </w:p>
        </w:tc>
        <w:tc>
          <w:tcPr>
            <w:tcW w:w="0" w:type="dxa"/>
            <w:vAlign w:val="bottom"/>
          </w:tcPr>
          <w:p>
            <w:pPr>
              <w:spacing w:after="0"/>
              <w:rPr>
                <w:sz w:val="1"/>
                <w:szCs w:val="1"/>
                <w:color w:val="auto"/>
              </w:rPr>
            </w:pPr>
          </w:p>
        </w:tc>
      </w:tr>
      <w:tr>
        <w:trPr>
          <w:trHeight w:val="218"/>
        </w:trPr>
        <w:tc>
          <w:tcPr>
            <w:tcW w:w="7480" w:type="dxa"/>
            <w:vAlign w:val="bottom"/>
          </w:tcPr>
          <w:p>
            <w:pPr>
              <w:spacing w:after="0"/>
              <w:rPr>
                <w:sz w:val="20"/>
                <w:szCs w:val="20"/>
                <w:color w:val="auto"/>
              </w:rPr>
            </w:pPr>
            <w:r>
              <w:rPr>
                <w:rFonts w:ascii="Arial" w:cs="Arial" w:eastAsia="Arial" w:hAnsi="Arial"/>
                <w:sz w:val="16"/>
                <w:szCs w:val="16"/>
                <w:b w:val="1"/>
                <w:bCs w:val="1"/>
                <w:color w:val="auto"/>
              </w:rPr>
              <w:t>Total Revenue</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$17,868</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$17,826</w:t>
            </w:r>
          </w:p>
        </w:tc>
        <w:tc>
          <w:tcPr>
            <w:tcW w:w="0" w:type="dxa"/>
            <w:vAlign w:val="bottom"/>
          </w:tcPr>
          <w:p>
            <w:pPr>
              <w:spacing w:after="0"/>
              <w:rPr>
                <w:sz w:val="1"/>
                <w:szCs w:val="1"/>
                <w:color w:val="auto"/>
              </w:rPr>
            </w:pPr>
          </w:p>
        </w:tc>
      </w:tr>
      <w:tr>
        <w:trPr>
          <w:trHeight w:val="357"/>
        </w:trPr>
        <w:tc>
          <w:tcPr>
            <w:tcW w:w="748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480" w:type="dxa"/>
            <w:vAlign w:val="bottom"/>
          </w:tcPr>
          <w:p>
            <w:pPr>
              <w:ind w:left="220"/>
              <w:spacing w:after="0"/>
              <w:rPr>
                <w:sz w:val="20"/>
                <w:szCs w:val="20"/>
                <w:color w:val="auto"/>
              </w:rPr>
            </w:pPr>
            <w:r>
              <w:rPr>
                <w:rFonts w:ascii="Arial" w:cs="Arial" w:eastAsia="Arial" w:hAnsi="Arial"/>
                <w:sz w:val="16"/>
                <w:szCs w:val="16"/>
                <w:color w:val="auto"/>
              </w:rPr>
              <w:t>Programming</w:t>
            </w:r>
          </w:p>
        </w:tc>
        <w:tc>
          <w:tcPr>
            <w:tcW w:w="1040" w:type="dxa"/>
            <w:vAlign w:val="bottom"/>
          </w:tcPr>
          <w:p>
            <w:pPr>
              <w:jc w:val="right"/>
              <w:spacing w:after="0"/>
              <w:rPr>
                <w:sz w:val="20"/>
                <w:szCs w:val="20"/>
                <w:color w:val="auto"/>
              </w:rPr>
            </w:pPr>
            <w:r>
              <w:rPr>
                <w:rFonts w:ascii="Arial" w:cs="Arial" w:eastAsia="Arial" w:hAnsi="Arial"/>
                <w:sz w:val="16"/>
                <w:szCs w:val="16"/>
                <w:color w:val="auto"/>
              </w:rPr>
              <w:t>$4,405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$4,389</w:t>
            </w:r>
          </w:p>
        </w:tc>
        <w:tc>
          <w:tcPr>
            <w:tcW w:w="0" w:type="dxa"/>
            <w:vAlign w:val="bottom"/>
          </w:tcPr>
          <w:p>
            <w:pPr>
              <w:spacing w:after="0"/>
              <w:rPr>
                <w:sz w:val="1"/>
                <w:szCs w:val="1"/>
                <w:color w:val="auto"/>
              </w:rPr>
            </w:pPr>
          </w:p>
        </w:tc>
      </w:tr>
      <w:tr>
        <w:trPr>
          <w:trHeight w:val="216"/>
        </w:trPr>
        <w:tc>
          <w:tcPr>
            <w:tcW w:w="7480" w:type="dxa"/>
            <w:vAlign w:val="bottom"/>
          </w:tcPr>
          <w:p>
            <w:pPr>
              <w:ind w:left="220"/>
              <w:spacing w:after="0"/>
              <w:rPr>
                <w:sz w:val="20"/>
                <w:szCs w:val="20"/>
                <w:color w:val="auto"/>
              </w:rPr>
            </w:pPr>
            <w:r>
              <w:rPr>
                <w:rFonts w:ascii="Arial" w:cs="Arial" w:eastAsia="Arial" w:hAnsi="Arial"/>
                <w:sz w:val="16"/>
                <w:szCs w:val="16"/>
                <w:color w:val="auto"/>
              </w:rPr>
              <w:t>Non-Programming</w:t>
            </w:r>
          </w:p>
        </w:tc>
        <w:tc>
          <w:tcPr>
            <w:tcW w:w="1040" w:type="dxa"/>
            <w:vAlign w:val="bottom"/>
          </w:tcPr>
          <w:p>
            <w:pPr>
              <w:jc w:val="right"/>
              <w:spacing w:after="0"/>
              <w:rPr>
                <w:sz w:val="20"/>
                <w:szCs w:val="20"/>
                <w:color w:val="auto"/>
              </w:rPr>
            </w:pPr>
            <w:r>
              <w:rPr>
                <w:rFonts w:ascii="Arial" w:cs="Arial" w:eastAsia="Arial" w:hAnsi="Arial"/>
                <w:sz w:val="16"/>
                <w:szCs w:val="16"/>
                <w:color w:val="auto"/>
              </w:rPr>
              <w:t>6,611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6,587</w:t>
            </w:r>
          </w:p>
        </w:tc>
        <w:tc>
          <w:tcPr>
            <w:tcW w:w="0" w:type="dxa"/>
            <w:vAlign w:val="bottom"/>
          </w:tcPr>
          <w:p>
            <w:pPr>
              <w:spacing w:after="0"/>
              <w:rPr>
                <w:sz w:val="1"/>
                <w:szCs w:val="1"/>
                <w:color w:val="auto"/>
              </w:rPr>
            </w:pPr>
          </w:p>
        </w:tc>
      </w:tr>
      <w:tr>
        <w:trPr>
          <w:trHeight w:val="218"/>
        </w:trPr>
        <w:tc>
          <w:tcPr>
            <w:tcW w:w="7480" w:type="dxa"/>
            <w:vAlign w:val="bottom"/>
          </w:tcPr>
          <w:p>
            <w:pPr>
              <w:spacing w:after="0"/>
              <w:rPr>
                <w:sz w:val="20"/>
                <w:szCs w:val="20"/>
                <w:color w:val="auto"/>
              </w:rPr>
            </w:pPr>
            <w:r>
              <w:rPr>
                <w:rFonts w:ascii="Arial" w:cs="Arial" w:eastAsia="Arial" w:hAnsi="Arial"/>
                <w:sz w:val="16"/>
                <w:szCs w:val="16"/>
                <w:b w:val="1"/>
                <w:bCs w:val="1"/>
                <w:color w:val="auto"/>
              </w:rPr>
              <w:t>Total Operating Expenses</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$11,016</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$10,975</w:t>
            </w:r>
          </w:p>
        </w:tc>
        <w:tc>
          <w:tcPr>
            <w:tcW w:w="0" w:type="dxa"/>
            <w:vAlign w:val="bottom"/>
          </w:tcPr>
          <w:p>
            <w:pPr>
              <w:spacing w:after="0"/>
              <w:rPr>
                <w:sz w:val="1"/>
                <w:szCs w:val="1"/>
                <w:color w:val="auto"/>
              </w:rPr>
            </w:pPr>
          </w:p>
        </w:tc>
      </w:tr>
      <w:tr>
        <w:trPr>
          <w:trHeight w:val="357"/>
        </w:trPr>
        <w:tc>
          <w:tcPr>
            <w:tcW w:w="748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$6,852</w:t>
            </w: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$6,850</w:t>
            </w:r>
          </w:p>
        </w:tc>
        <w:tc>
          <w:tcPr>
            <w:tcW w:w="0" w:type="dxa"/>
            <w:vAlign w:val="bottom"/>
          </w:tcPr>
          <w:p>
            <w:pPr>
              <w:spacing w:after="0"/>
              <w:rPr>
                <w:sz w:val="1"/>
                <w:szCs w:val="1"/>
                <w:color w:val="auto"/>
              </w:rPr>
            </w:pPr>
          </w:p>
        </w:tc>
      </w:tr>
      <w:tr>
        <w:trPr>
          <w:trHeight w:val="223"/>
        </w:trPr>
        <w:tc>
          <w:tcPr>
            <w:tcW w:w="7480" w:type="dxa"/>
            <w:vAlign w:val="bottom"/>
          </w:tcPr>
          <w:p>
            <w:pPr>
              <w:ind w:left="220"/>
              <w:spacing w:after="0"/>
              <w:rPr>
                <w:sz w:val="20"/>
                <w:szCs w:val="20"/>
                <w:color w:val="auto"/>
              </w:rPr>
            </w:pPr>
            <w:r>
              <w:rPr>
                <w:rFonts w:ascii="Arial" w:cs="Arial" w:eastAsia="Arial" w:hAnsi="Arial"/>
                <w:sz w:val="16"/>
                <w:szCs w:val="16"/>
                <w:i w:val="1"/>
                <w:iCs w:val="1"/>
                <w:color w:val="auto"/>
              </w:rPr>
              <w:t>Adjusted EBITDA Margin</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38.3 %</w:t>
            </w:r>
          </w:p>
        </w:tc>
        <w:tc>
          <w:tcPr>
            <w:tcW w:w="120" w:type="dxa"/>
            <w:vAlign w:val="bottom"/>
          </w:tcPr>
          <w:p>
            <w:pPr>
              <w:spacing w:after="0"/>
              <w:rPr>
                <w:sz w:val="19"/>
                <w:szCs w:val="19"/>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10 bps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38.4 %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0960"/>
          </w:cols>
          <w:pgMar w:left="380" w:top="1006" w:right="559" w:bottom="1440" w:gutter="0" w:footer="0" w:header="0"/>
        </w:sectPr>
      </w:pPr>
    </w:p>
    <w:bookmarkStart w:id="18" w:name="page19"/>
    <w:bookmarkEnd w:id="18"/>
    <w:p>
      <w:pPr>
        <w:jc w:val="right"/>
        <w:spacing w:after="0"/>
        <w:rPr>
          <w:sz w:val="20"/>
          <w:szCs w:val="20"/>
          <w:color w:val="auto"/>
        </w:rPr>
      </w:pPr>
      <w:r>
        <w:rPr>
          <w:rFonts w:ascii="Arial" w:cs="Arial" w:eastAsia="Arial" w:hAnsi="Arial"/>
          <w:sz w:val="16"/>
          <w:szCs w:val="16"/>
          <w:b w:val="1"/>
          <w:bCs w:val="1"/>
          <w:color w:val="auto"/>
        </w:rPr>
        <w:t>Exhibit 99.2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w:t>
      </w:r>
    </w:p>
    <w:p>
      <w:pPr>
        <w:spacing w:after="0" w:line="20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results of operations and financial condition. To the extent material, this Exhibit also discloses the additional purposes, if any, for which our management uses these non-GAAP financial measures. Reconciliations between these non-GAAP financial measures and their most directly comparable GAAP financial measures are included in the earnings press release itself. Non-GAAP financial information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EBITDA</w:t>
      </w:r>
    </w:p>
    <w:p>
      <w:pPr>
        <w:spacing w:after="0" w:line="302"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204"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199"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We also use Adjusted EBITDA as the measure of profit or loss for our segments. Our measure of Adjusted EBITDA for our segments is not a non-GAAP financial measure under rules promulgated by the Securities and Exchange Commission.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Net Income and Adjusted EPS</w:t>
      </w:r>
    </w:p>
    <w:p>
      <w:pPr>
        <w:spacing w:after="0" w:line="30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 xml:space="preserve">Adjusted Net Income and Adjusted EPS are non-GAAP financial measures presenting the earnings generated by our ongoing operations that we believe is useful to investors in making meaningful comparisons to other companies, although these measures may not be directly comparable to similar measures used by other companies, and period-over-period comparisons. Adjusted Net Income and Adjusted EPS are defined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Acquisition-related intangible assets are recognized as a result of the application of Accounting Standards Codification Topic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 Investments that investors may want to evaluate separately include all equity securities accounted for under ASC Topic 321, </w:t>
      </w:r>
      <w:r>
        <w:rPr>
          <w:rFonts w:ascii="Arial" w:cs="Arial" w:eastAsia="Arial" w:hAnsi="Arial"/>
          <w:sz w:val="16"/>
          <w:szCs w:val="16"/>
          <w:i w:val="1"/>
          <w:iCs w:val="1"/>
          <w:color w:val="auto"/>
        </w:rPr>
        <w:t>Investments-Equity Securities</w:t>
      </w:r>
      <w:r>
        <w:rPr>
          <w:rFonts w:ascii="Arial" w:cs="Arial" w:eastAsia="Arial" w:hAnsi="Arial"/>
          <w:sz w:val="16"/>
          <w:szCs w:val="16"/>
          <w:color w:val="auto"/>
        </w:rPr>
        <w:t xml:space="preserve">, as well as certain investments accounted for under ASC 323, </w:t>
      </w:r>
      <w:r>
        <w:rPr>
          <w:rFonts w:ascii="Arial" w:cs="Arial" w:eastAsia="Arial" w:hAnsi="Arial"/>
          <w:sz w:val="16"/>
          <w:szCs w:val="16"/>
          <w:i w:val="1"/>
          <w:iCs w:val="1"/>
          <w:color w:val="auto"/>
        </w:rPr>
        <w:t>Investments-Equity Method and Joint</w:t>
      </w:r>
      <w:r>
        <w:rPr>
          <w:rFonts w:ascii="Arial" w:cs="Arial" w:eastAsia="Arial" w:hAnsi="Arial"/>
          <w:sz w:val="16"/>
          <w:szCs w:val="16"/>
          <w:color w:val="auto"/>
        </w:rPr>
        <w:t xml:space="preserve"> Ventures.</w:t>
      </w:r>
    </w:p>
    <w:p>
      <w:pPr>
        <w:sectPr>
          <w:pgSz w:w="11900" w:h="16838" w:orient="portrait"/>
          <w:cols w:equalWidth="0" w:num="1">
            <w:col w:w="11240"/>
          </w:cols>
          <w:pgMar w:left="320" w:top="93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Exhibit 99.2 - Explanation of Non-GAAP and Other Financial Measures, cont’d</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Free Cash Flow</w:t>
      </w:r>
    </w:p>
    <w:p>
      <w:pPr>
        <w:spacing w:after="0" w:line="30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203"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Free Cash Flow is defined as net cash provided by operating activities (as stated in our Consolidated Statements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Statements of Cash Flows and are therefore excluded from capital expenditures and cash paid for intangible assets for Free Cash Flow.</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Constant Currency</w:t>
      </w:r>
    </w:p>
    <w:p>
      <w:pPr>
        <w:spacing w:after="0" w:line="24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Connectivity &amp; Platforms, have operations outside the United States that are conducted in local currencies. As a result, the comparability of the financial results reported in U.S. dollars is affected by changes in foreign currency exchange rates. In our Connectivity &amp; Platforms business, we use constant currency and constant currency growth rates to evaluate the underlying performance of the businesses, and we believe they are helpful for investors because such measures present operating results on a comparable basis year over year to allow the evaluation of their underlying performance.</w:t>
      </w:r>
    </w:p>
    <w:p>
      <w:pPr>
        <w:spacing w:after="0" w:line="203"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Constant currency and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Adjustments</w:t>
      </w:r>
    </w:p>
    <w:p>
      <w:pPr>
        <w:spacing w:after="0" w:line="262" w:lineRule="exact"/>
        <w:rPr>
          <w:sz w:val="20"/>
          <w:szCs w:val="20"/>
          <w:color w:val="auto"/>
        </w:rPr>
      </w:pPr>
    </w:p>
    <w:p>
      <w:pPr>
        <w:jc w:val="both"/>
        <w:ind w:right="420"/>
        <w:spacing w:after="0" w:line="266" w:lineRule="auto"/>
        <w:rPr>
          <w:sz w:val="20"/>
          <w:szCs w:val="20"/>
          <w:color w:val="auto"/>
        </w:rPr>
      </w:pPr>
      <w:r>
        <w:rPr>
          <w:rFonts w:ascii="Arial" w:cs="Arial" w:eastAsia="Arial" w:hAnsi="Arial"/>
          <w:sz w:val="16"/>
          <w:szCs w:val="16"/>
          <w:color w:val="auto"/>
        </w:rPr>
        <w:t>We also present adjusted information (e.g., Adjusted Revenues),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 Forma Information</w:t>
      </w:r>
    </w:p>
    <w:p>
      <w:pPr>
        <w:spacing w:after="0" w:line="30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Pro forma information is used by management to evaluate performance when certain acquisitions or dispositions occur. Historical information reflects results of acquired businesses only after the acquisition dates while pro forma information enhances comparability of financial information between periods by adjusting the information as if the acquisitions or dispositions occurred at the beginning of a preceding year. Our pro forma information is adjusted for the timing of acquisitions or dispositions, the effects of acquisition accounting and the elimination of costs and expenses directly related to the transaction, but does not include adjustments for costs related to integration activities, cost savings or synergies that have been or may be achieved by the combined businesses. Pro forma information is not a non-GAAP financial measure under Securities and Exchange Commission rules. Our pro forma information is not necessarily indicative of future results or what our results would have been had the acquired businesses been operated by us during the pro forma period.</w:t>
      </w:r>
    </w:p>
    <w:sectPr>
      <w:pgSz w:w="11900" w:h="16838" w:orient="portrait"/>
      <w:cols w:equalWidth="0" w:num="1">
        <w:col w:w="11180"/>
      </w:cols>
      <w:pgMar w:left="320" w:top="142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2025-04-24T06:14:44Z</dcterms:created>
  <dcterms:modified xsi:type="dcterms:W3CDTF">2025-04-24T06:14:44Z</dcterms:modified>
</cp:coreProperties>
</file>