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64" w:lineRule="exact"/>
        <w:rPr>
          <w:sz w:val="24"/>
          <w:szCs w:val="24"/>
          <w:color w:val="auto"/>
        </w:rPr>
      </w:pPr>
    </w:p>
    <w:p>
      <w:pPr>
        <w:ind w:left="5000"/>
        <w:spacing w:after="0"/>
        <w:rPr>
          <w:sz w:val="20"/>
          <w:szCs w:val="20"/>
          <w:color w:val="auto"/>
        </w:rPr>
      </w:pPr>
      <w:r>
        <w:rPr>
          <w:rFonts w:ascii="Arial" w:cs="Arial" w:eastAsia="Arial" w:hAnsi="Arial"/>
          <w:sz w:val="29"/>
          <w:szCs w:val="29"/>
          <w:b w:val="1"/>
          <w:bCs w:val="1"/>
          <w:color w:val="auto"/>
        </w:rPr>
        <w:t>FORM 8-K</w:t>
      </w:r>
    </w:p>
    <w:p>
      <w:pPr>
        <w:spacing w:after="0" w:line="288" w:lineRule="exact"/>
        <w:rPr>
          <w:sz w:val="24"/>
          <w:szCs w:val="24"/>
          <w:color w:val="auto"/>
        </w:rPr>
      </w:pPr>
    </w:p>
    <w:p>
      <w:pPr>
        <w:ind w:left="4380"/>
        <w:spacing w:after="0"/>
        <w:rPr>
          <w:sz w:val="20"/>
          <w:szCs w:val="20"/>
          <w:color w:val="auto"/>
        </w:rPr>
      </w:pPr>
      <w:r>
        <w:rPr>
          <w:rFonts w:ascii="Arial" w:cs="Arial" w:eastAsia="Arial" w:hAnsi="Arial"/>
          <w:sz w:val="29"/>
          <w:szCs w:val="29"/>
          <w:b w:val="1"/>
          <w:bCs w:val="1"/>
          <w:color w:val="auto"/>
        </w:rPr>
        <w:t>CURRENT REPORT</w:t>
      </w:r>
    </w:p>
    <w:p>
      <w:pPr>
        <w:spacing w:after="0" w:line="4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Pursuant To Section 13 or 15(d) of the</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Exchange Act of 1934</w:t>
      </w:r>
    </w:p>
    <w:p>
      <w:pPr>
        <w:spacing w:after="0" w:line="268"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Date of report (Date of earliest event reported): March 27, 2013</w:t>
      </w:r>
    </w:p>
    <w:p>
      <w:pPr>
        <w:spacing w:after="0" w:line="22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NBCUniversal Media, LLC</w:t>
      </w:r>
    </w:p>
    <w:p>
      <w:pPr>
        <w:spacing w:after="0" w:line="38"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2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Delaware</w:t>
            </w:r>
          </w:p>
        </w:tc>
        <w:tc>
          <w:tcPr>
            <w:tcW w:w="54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333-174175</w:t>
            </w:r>
          </w:p>
        </w:tc>
        <w:tc>
          <w:tcPr>
            <w:tcW w:w="166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14-1682529</w:t>
            </w:r>
          </w:p>
        </w:tc>
      </w:tr>
      <w:tr>
        <w:trPr>
          <w:trHeight w:val="216"/>
        </w:trPr>
        <w:tc>
          <w:tcPr>
            <w:tcW w:w="2160" w:type="dxa"/>
            <w:vAlign w:val="bottom"/>
          </w:tcPr>
          <w:p>
            <w:pPr>
              <w:jc w:val="center"/>
              <w:ind w:right="110"/>
              <w:spacing w:after="0"/>
              <w:rPr>
                <w:sz w:val="20"/>
                <w:szCs w:val="20"/>
                <w:color w:val="auto"/>
              </w:rPr>
            </w:pPr>
            <w:r>
              <w:rPr>
                <w:rFonts w:ascii="Arial" w:cs="Arial" w:eastAsia="Arial" w:hAnsi="Arial"/>
                <w:sz w:val="18"/>
                <w:szCs w:val="18"/>
                <w:color w:val="auto"/>
                <w:w w:val="91"/>
              </w:rPr>
              <w:t>(State or Other Jurisdiction</w:t>
            </w:r>
          </w:p>
        </w:tc>
        <w:tc>
          <w:tcPr>
            <w:tcW w:w="5480" w:type="dxa"/>
            <w:vAlign w:val="bottom"/>
          </w:tcPr>
          <w:p>
            <w:pPr>
              <w:jc w:val="center"/>
              <w:ind w:right="170"/>
              <w:spacing w:after="0"/>
              <w:rPr>
                <w:sz w:val="20"/>
                <w:szCs w:val="20"/>
                <w:color w:val="auto"/>
              </w:rPr>
            </w:pPr>
            <w:r>
              <w:rPr>
                <w:rFonts w:ascii="Arial" w:cs="Arial" w:eastAsia="Arial" w:hAnsi="Arial"/>
                <w:sz w:val="18"/>
                <w:szCs w:val="18"/>
                <w:color w:val="auto"/>
                <w:w w:val="93"/>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60" w:type="dxa"/>
            <w:vAlign w:val="bottom"/>
          </w:tcPr>
          <w:p>
            <w:pPr>
              <w:jc w:val="center"/>
              <w:ind w:right="50"/>
              <w:spacing w:after="0"/>
              <w:rPr>
                <w:sz w:val="20"/>
                <w:szCs w:val="20"/>
                <w:color w:val="auto"/>
              </w:rPr>
            </w:pPr>
            <w:r>
              <w:rPr>
                <w:rFonts w:ascii="Arial" w:cs="Arial" w:eastAsia="Arial" w:hAnsi="Arial"/>
                <w:sz w:val="18"/>
                <w:szCs w:val="18"/>
                <w:color w:val="auto"/>
                <w:w w:val="93"/>
              </w:rPr>
              <w:t>of Incorporation)</w:t>
            </w:r>
          </w:p>
        </w:tc>
        <w:tc>
          <w:tcPr>
            <w:tcW w:w="5480" w:type="dxa"/>
            <w:vAlign w:val="bottom"/>
          </w:tcPr>
          <w:p>
            <w:pPr>
              <w:jc w:val="center"/>
              <w:ind w:right="1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2160" w:type="dxa"/>
            <w:vAlign w:val="bottom"/>
          </w:tcPr>
          <w:p>
            <w:pPr>
              <w:spacing w:after="0"/>
              <w:rPr>
                <w:sz w:val="24"/>
                <w:szCs w:val="24"/>
                <w:color w:val="auto"/>
              </w:rPr>
            </w:pPr>
          </w:p>
        </w:tc>
        <w:tc>
          <w:tcPr>
            <w:tcW w:w="54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30 Rockefeller Plaza, New York, New York</w:t>
            </w:r>
          </w:p>
        </w:tc>
        <w:tc>
          <w:tcPr>
            <w:tcW w:w="1660" w:type="dxa"/>
            <w:vAlign w:val="bottom"/>
          </w:tcPr>
          <w:p>
            <w:pPr>
              <w:spacing w:after="0"/>
              <w:rPr>
                <w:sz w:val="24"/>
                <w:szCs w:val="24"/>
                <w:color w:val="auto"/>
              </w:rPr>
            </w:pPr>
          </w:p>
        </w:tc>
      </w:tr>
      <w:tr>
        <w:trPr>
          <w:trHeight w:val="230"/>
        </w:trPr>
        <w:tc>
          <w:tcPr>
            <w:tcW w:w="216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480" w:type="dxa"/>
            <w:vAlign w:val="bottom"/>
          </w:tcPr>
          <w:p>
            <w:pPr>
              <w:jc w:val="center"/>
              <w:ind w:right="30"/>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(212) 664-4444</w:t>
            </w:r>
          </w:p>
        </w:tc>
        <w:tc>
          <w:tcPr>
            <w:tcW w:w="1660" w:type="dxa"/>
            <w:vAlign w:val="bottom"/>
          </w:tcPr>
          <w:p>
            <w:pPr>
              <w:spacing w:after="0"/>
              <w:rPr>
                <w:sz w:val="24"/>
                <w:szCs w:val="24"/>
                <w:color w:val="auto"/>
              </w:rPr>
            </w:pPr>
          </w:p>
        </w:tc>
      </w:tr>
      <w:tr>
        <w:trPr>
          <w:trHeight w:val="418"/>
        </w:trPr>
        <w:tc>
          <w:tcPr>
            <w:tcW w:w="2160" w:type="dxa"/>
            <w:vAlign w:val="bottom"/>
          </w:tcPr>
          <w:p>
            <w:pPr>
              <w:spacing w:after="0"/>
              <w:rPr>
                <w:sz w:val="24"/>
                <w:szCs w:val="24"/>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N/A</w:t>
            </w:r>
          </w:p>
        </w:tc>
        <w:tc>
          <w:tcPr>
            <w:tcW w:w="1660" w:type="dxa"/>
            <w:vAlign w:val="bottom"/>
          </w:tcPr>
          <w:p>
            <w:pPr>
              <w:spacing w:after="0"/>
              <w:rPr>
                <w:sz w:val="24"/>
                <w:szCs w:val="24"/>
                <w:color w:val="auto"/>
              </w:rPr>
            </w:pPr>
          </w:p>
        </w:tc>
      </w:tr>
      <w:tr>
        <w:trPr>
          <w:trHeight w:val="230"/>
        </w:trPr>
        <w:tc>
          <w:tcPr>
            <w:tcW w:w="216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66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24"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784860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580" w:right="7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79"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On March 27, 2013, Comcast Corporation (“</w:t>
      </w:r>
      <w:r>
        <w:rPr>
          <w:rFonts w:ascii="Arial" w:cs="Arial" w:eastAsia="Arial" w:hAnsi="Arial"/>
          <w:sz w:val="16"/>
          <w:szCs w:val="16"/>
          <w:b w:val="1"/>
          <w:bCs w:val="1"/>
          <w:color w:val="auto"/>
        </w:rPr>
        <w:t>Comcast</w:t>
      </w:r>
      <w:r>
        <w:rPr>
          <w:rFonts w:ascii="Arial" w:cs="Arial" w:eastAsia="Arial" w:hAnsi="Arial"/>
          <w:sz w:val="16"/>
          <w:szCs w:val="16"/>
          <w:color w:val="auto"/>
        </w:rPr>
        <w:t>”), Comcast Cable Communications, LLC, Comcast Cable Holdings, LLC, Comcast MO Group, Inc. and Comcast MO of Delaware, LLC (collectively, the “</w:t>
      </w:r>
      <w:r>
        <w:rPr>
          <w:rFonts w:ascii="Arial" w:cs="Arial" w:eastAsia="Arial" w:hAnsi="Arial"/>
          <w:sz w:val="16"/>
          <w:szCs w:val="16"/>
          <w:b w:val="1"/>
          <w:bCs w:val="1"/>
          <w:color w:val="auto"/>
        </w:rPr>
        <w:t>Cable Guarantors</w:t>
      </w:r>
      <w:r>
        <w:rPr>
          <w:rFonts w:ascii="Arial" w:cs="Arial" w:eastAsia="Arial" w:hAnsi="Arial"/>
          <w:sz w:val="16"/>
          <w:szCs w:val="16"/>
          <w:color w:val="auto"/>
        </w:rPr>
        <w:t>”) and NBCUniversal Media, LLC (“</w:t>
      </w:r>
      <w:r>
        <w:rPr>
          <w:rFonts w:ascii="Arial" w:cs="Arial" w:eastAsia="Arial" w:hAnsi="Arial"/>
          <w:sz w:val="16"/>
          <w:szCs w:val="16"/>
          <w:b w:val="1"/>
          <w:bCs w:val="1"/>
          <w:color w:val="auto"/>
        </w:rPr>
        <w:t>NBCUniversal</w:t>
      </w:r>
      <w:r>
        <w:rPr>
          <w:rFonts w:ascii="Arial" w:cs="Arial" w:eastAsia="Arial" w:hAnsi="Arial"/>
          <w:sz w:val="16"/>
          <w:szCs w:val="16"/>
          <w:color w:val="auto"/>
        </w:rPr>
        <w:t>”) entered into a series of agreements and supplemental indentures to include NBCUniversal as part of Comcast’s existing cross-guarantee structure. As members of the cross-guarantee structure, Comcast and the Cable Guarantors fully and unconditionally guarantee NBCUniversal’s public debt securities, and NBCUniversal fully and unconditionally guarantees all of Comcast’s and the Cable Guarantors’ public debt securities, as well as Comcast’s $6.25 billion revolving credit facility.</w:t>
      </w:r>
    </w:p>
    <w:p>
      <w:pPr>
        <w:spacing w:after="0" w:line="208" w:lineRule="exact"/>
        <w:rPr>
          <w:sz w:val="20"/>
          <w:szCs w:val="20"/>
          <w:color w:val="auto"/>
        </w:rPr>
      </w:pPr>
    </w:p>
    <w:p>
      <w:pPr>
        <w:ind w:right="200" w:firstLine="648"/>
        <w:spacing w:after="0" w:line="347" w:lineRule="auto"/>
        <w:rPr>
          <w:sz w:val="20"/>
          <w:szCs w:val="20"/>
          <w:color w:val="auto"/>
        </w:rPr>
      </w:pPr>
      <w:r>
        <w:rPr>
          <w:rFonts w:ascii="Arial" w:cs="Arial" w:eastAsia="Arial" w:hAnsi="Arial"/>
          <w:sz w:val="16"/>
          <w:szCs w:val="16"/>
          <w:color w:val="auto"/>
        </w:rPr>
        <w:t>The sale by Comcast of a guarantor subsidiary (a “</w:t>
      </w:r>
      <w:r>
        <w:rPr>
          <w:rFonts w:ascii="Arial" w:cs="Arial" w:eastAsia="Arial" w:hAnsi="Arial"/>
          <w:sz w:val="16"/>
          <w:szCs w:val="16"/>
          <w:b w:val="1"/>
          <w:bCs w:val="1"/>
          <w:color w:val="auto"/>
        </w:rPr>
        <w:t>Sold Guarantor</w:t>
      </w:r>
      <w:r>
        <w:rPr>
          <w:rFonts w:ascii="Arial" w:cs="Arial" w:eastAsia="Arial" w:hAnsi="Arial"/>
          <w:sz w:val="16"/>
          <w:szCs w:val="16"/>
          <w:color w:val="auto"/>
        </w:rPr>
        <w:t>”), or of all or substantially all of the Sold Guarantor’s assets, releases the Sold Guarantor’s guarantee, but such a sale does not release Comcast’s or the other guarantors’ guarantees of the Sold Guarantor’s public debt securities.</w:t>
      </w:r>
    </w:p>
    <w:p>
      <w:pPr>
        <w:spacing w:after="0" w:line="17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Including NBCUniversal in the cross-guarantee structure does not result in NBCUniversal guaranteeing the obligations of NBCUniversal Enterprise, Inc. with respect to its $4.0 billion aggregate principal amount of senior debt securities, $1.35 billion credit facility, or $724.7 million liquidation preference of Series A cumulative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7520" w:type="dxa"/>
            <w:vAlign w:val="bottom"/>
            <w:gridSpan w:val="3"/>
          </w:tcPr>
          <w:p>
            <w:pPr>
              <w:ind w:left="2060"/>
              <w:spacing w:after="0"/>
              <w:rPr>
                <w:sz w:val="20"/>
                <w:szCs w:val="20"/>
                <w:color w:val="auto"/>
              </w:rPr>
            </w:pPr>
            <w:r>
              <w:rPr>
                <w:rFonts w:ascii="Arial" w:cs="Arial" w:eastAsia="Arial" w:hAnsi="Arial"/>
                <w:sz w:val="18"/>
                <w:szCs w:val="18"/>
                <w:color w:val="auto"/>
              </w:rPr>
              <w:t>NBCUNIVERSAL MEDIA, LLC</w:t>
            </w:r>
          </w:p>
        </w:tc>
      </w:tr>
      <w:tr>
        <w:trPr>
          <w:trHeight w:val="439"/>
        </w:trPr>
        <w:tc>
          <w:tcPr>
            <w:tcW w:w="3900" w:type="dxa"/>
            <w:vAlign w:val="bottom"/>
          </w:tcPr>
          <w:p>
            <w:pPr>
              <w:spacing w:after="0"/>
              <w:rPr>
                <w:sz w:val="20"/>
                <w:szCs w:val="20"/>
                <w:color w:val="auto"/>
              </w:rPr>
            </w:pPr>
            <w:r>
              <w:rPr>
                <w:rFonts w:ascii="Arial" w:cs="Arial" w:eastAsia="Arial" w:hAnsi="Arial"/>
                <w:sz w:val="18"/>
                <w:szCs w:val="18"/>
                <w:color w:val="auto"/>
              </w:rPr>
              <w:t>Date:    March 27, 2013</w:t>
            </w:r>
          </w:p>
        </w:tc>
        <w:tc>
          <w:tcPr>
            <w:tcW w:w="7520" w:type="dxa"/>
            <w:vAlign w:val="bottom"/>
            <w:gridSpan w:val="3"/>
          </w:tcPr>
          <w:p>
            <w:pPr>
              <w:ind w:left="2060"/>
              <w:spacing w:after="0"/>
              <w:rPr>
                <w:sz w:val="20"/>
                <w:szCs w:val="20"/>
                <w:color w:val="auto"/>
              </w:rPr>
            </w:pPr>
            <w:r>
              <w:rPr>
                <w:rFonts w:ascii="Arial" w:cs="Arial" w:eastAsia="Arial" w:hAnsi="Arial"/>
                <w:sz w:val="18"/>
                <w:szCs w:val="18"/>
                <w:color w:val="auto"/>
              </w:rPr>
              <w:t>By:  /s/ Arthur R. Block</w:t>
            </w:r>
          </w:p>
        </w:tc>
      </w:tr>
      <w:tr>
        <w:trPr>
          <w:trHeight w:val="202"/>
        </w:trPr>
        <w:tc>
          <w:tcPr>
            <w:tcW w:w="39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4380" w:type="dxa"/>
            <w:vAlign w:val="bottom"/>
            <w:tcBorders>
              <w:top w:val="single" w:sz="8" w:color="auto"/>
            </w:tcBorders>
          </w:tcPr>
          <w:p>
            <w:pPr>
              <w:ind w:left="160"/>
              <w:spacing w:after="0" w:line="201" w:lineRule="exact"/>
              <w:rPr>
                <w:sz w:val="20"/>
                <w:szCs w:val="20"/>
                <w:color w:val="auto"/>
              </w:rPr>
            </w:pPr>
            <w:r>
              <w:rPr>
                <w:rFonts w:ascii="Arial" w:cs="Arial" w:eastAsia="Arial" w:hAnsi="Arial"/>
                <w:sz w:val="18"/>
                <w:szCs w:val="18"/>
                <w:color w:val="auto"/>
              </w:rPr>
              <w:t>Arthur R. Block</w:t>
            </w:r>
          </w:p>
        </w:tc>
      </w:tr>
      <w:tr>
        <w:trPr>
          <w:trHeight w:val="230"/>
        </w:trPr>
        <w:tc>
          <w:tcPr>
            <w:tcW w:w="39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8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2019-12-06T09:04:59Z</dcterms:created>
  <dcterms:modified xsi:type="dcterms:W3CDTF">2019-12-06T09:04:59Z</dcterms:modified>
</cp:coreProperties>
</file>