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25, 2019</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240" w:top="908" w:right="41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30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680"/>
          </w:cols>
          <w:pgMar w:left="240" w:top="908" w:right="4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March 31, 2019, which was filed with the Securities and Exchange Commission on April 25, 2019.</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240"/>
      </w:cols>
      <w:pgMar w:left="240" w:top="908"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2019-12-03T04:53:42Z</dcterms:created>
  <dcterms:modified xsi:type="dcterms:W3CDTF">2019-12-03T04:53:42Z</dcterms:modified>
</cp:coreProperties>
</file>