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19"/>
        <w:spacing w:after="0"/>
        <w:rPr>
          <w:sz w:val="20"/>
          <w:szCs w:val="20"/>
          <w:color w:val="auto"/>
        </w:rPr>
      </w:pPr>
      <w:r>
        <w:rPr>
          <w:rFonts w:ascii="Courier New" w:cs="Courier New" w:eastAsia="Courier New" w:hAnsi="Courier New"/>
          <w:sz w:val="18"/>
          <w:szCs w:val="18"/>
          <w:color w:val="auto"/>
        </w:rPr>
        <w:t>As filed with the Securities and Exchange Commission on</w:t>
      </w:r>
    </w:p>
    <w:p>
      <w:pPr>
        <w:jc w:val="center"/>
        <w:ind w:right="2199"/>
        <w:spacing w:after="0" w:line="238" w:lineRule="auto"/>
        <w:rPr>
          <w:sz w:val="20"/>
          <w:szCs w:val="20"/>
          <w:color w:val="auto"/>
        </w:rPr>
      </w:pPr>
      <w:r>
        <w:rPr>
          <w:rFonts w:ascii="Courier New" w:cs="Courier New" w:eastAsia="Courier New" w:hAnsi="Courier New"/>
          <w:sz w:val="18"/>
          <w:szCs w:val="18"/>
          <w:color w:val="auto"/>
        </w:rPr>
        <w:t>December 24, 1996.</w:t>
      </w:r>
    </w:p>
    <w:p>
      <w:pPr>
        <w:spacing w:after="0" w:line="20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8"/>
          <w:szCs w:val="18"/>
          <w:color w:val="auto"/>
        </w:rPr>
        <w:t>Registration Statement No. 333-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FORM S-8</w:t>
      </w:r>
    </w:p>
    <w:p>
      <w:pPr>
        <w:ind w:left="2860"/>
        <w:spacing w:after="0"/>
        <w:rPr>
          <w:sz w:val="20"/>
          <w:szCs w:val="20"/>
          <w:color w:val="auto"/>
        </w:rPr>
      </w:pPr>
      <w:r>
        <w:rPr>
          <w:rFonts w:ascii="Courier New" w:cs="Courier New" w:eastAsia="Courier New" w:hAnsi="Courier New"/>
          <w:sz w:val="18"/>
          <w:szCs w:val="18"/>
          <w:color w:val="auto"/>
        </w:rPr>
        <w:t>REGISTRATION STATEMENT</w:t>
      </w:r>
    </w:p>
    <w:p>
      <w:pPr>
        <w:ind w:left="3700"/>
        <w:spacing w:after="0" w:line="237" w:lineRule="auto"/>
        <w:rPr>
          <w:sz w:val="20"/>
          <w:szCs w:val="20"/>
          <w:color w:val="auto"/>
        </w:rPr>
      </w:pPr>
      <w:r>
        <w:rPr>
          <w:rFonts w:ascii="Courier New" w:cs="Courier New" w:eastAsia="Courier New" w:hAnsi="Courier New"/>
          <w:sz w:val="18"/>
          <w:szCs w:val="18"/>
          <w:color w:val="auto"/>
        </w:rPr>
        <w:t>UNDER</w:t>
      </w:r>
    </w:p>
    <w:p>
      <w:pPr>
        <w:ind w:left="2640"/>
        <w:spacing w:after="0" w:line="238" w:lineRule="auto"/>
        <w:rPr>
          <w:sz w:val="20"/>
          <w:szCs w:val="20"/>
          <w:color w:val="auto"/>
        </w:rPr>
      </w:pPr>
      <w:r>
        <w:rPr>
          <w:rFonts w:ascii="Courier New" w:cs="Courier New" w:eastAsia="Courier New" w:hAnsi="Courier New"/>
          <w:sz w:val="18"/>
          <w:szCs w:val="18"/>
          <w:color w:val="auto"/>
        </w:rPr>
        <w:t>THE SECURITIES ACT OF 1933</w:t>
      </w:r>
    </w:p>
    <w:p>
      <w:pPr>
        <w:ind w:left="22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issuer as specified in its charter)</w:t>
      </w:r>
    </w:p>
    <w:p>
      <w:pPr>
        <w:spacing w:after="0" w:line="202"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2940" w:type="dxa"/>
            <w:vAlign w:val="bottom"/>
          </w:tcPr>
          <w:p>
            <w:pPr>
              <w:spacing w:after="0"/>
              <w:rPr>
                <w:sz w:val="20"/>
                <w:szCs w:val="20"/>
                <w:color w:val="auto"/>
              </w:rPr>
            </w:pPr>
            <w:r>
              <w:rPr>
                <w:rFonts w:ascii="Courier New" w:cs="Courier New" w:eastAsia="Courier New" w:hAnsi="Courier New"/>
                <w:sz w:val="18"/>
                <w:szCs w:val="18"/>
                <w:color w:val="auto"/>
              </w:rPr>
              <w:t>PENNSYLVANIA</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23-1709202</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(State or other jurisdiction of (I.R.S. Employer incorporation or organization) Identification No.)</w:t>
      </w:r>
    </w:p>
    <w:p>
      <w:pPr>
        <w:spacing w:after="0" w:line="203" w:lineRule="exact"/>
        <w:rPr>
          <w:sz w:val="24"/>
          <w:szCs w:val="24"/>
          <w:color w:val="auto"/>
        </w:rPr>
      </w:pPr>
    </w:p>
    <w:p>
      <w:pPr>
        <w:ind w:left="220"/>
        <w:spacing w:after="0"/>
        <w:tabs>
          <w:tab w:leader="none" w:pos="5680" w:val="left"/>
        </w:tabs>
        <w:rPr>
          <w:sz w:val="20"/>
          <w:szCs w:val="20"/>
          <w:color w:val="auto"/>
        </w:rPr>
      </w:pPr>
      <w:r>
        <w:rPr>
          <w:rFonts w:ascii="Courier New" w:cs="Courier New" w:eastAsia="Courier New" w:hAnsi="Courier New"/>
          <w:sz w:val="18"/>
          <w:szCs w:val="18"/>
          <w:color w:val="auto"/>
        </w:rPr>
        <w:t>1500 Market Street, Philadelphia, PA</w:t>
      </w:r>
      <w:r>
        <w:rPr>
          <w:sz w:val="20"/>
          <w:szCs w:val="20"/>
          <w:color w:val="auto"/>
        </w:rPr>
        <w:tab/>
      </w:r>
      <w:r>
        <w:rPr>
          <w:rFonts w:ascii="Courier New" w:cs="Courier New" w:eastAsia="Courier New" w:hAnsi="Courier New"/>
          <w:sz w:val="16"/>
          <w:szCs w:val="16"/>
          <w:color w:val="auto"/>
        </w:rPr>
        <w:t>19102-2148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COMCAST CORPORATION 1996 DEFERRED COMPENSATION PLAN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Arthur R. Block, Esquire</w:t>
      </w:r>
    </w:p>
    <w:p>
      <w:pPr>
        <w:ind w:left="1480"/>
        <w:spacing w:after="0" w:line="238" w:lineRule="auto"/>
        <w:rPr>
          <w:sz w:val="20"/>
          <w:szCs w:val="20"/>
          <w:color w:val="auto"/>
        </w:rPr>
      </w:pPr>
      <w:r>
        <w:rPr>
          <w:rFonts w:ascii="Courier New" w:cs="Courier New" w:eastAsia="Courier New" w:hAnsi="Courier New"/>
          <w:sz w:val="18"/>
          <w:szCs w:val="18"/>
          <w:color w:val="auto"/>
        </w:rPr>
        <w:t>Vice President and Senior Deputy General Counsel</w:t>
      </w:r>
    </w:p>
    <w:p>
      <w:pPr>
        <w:ind w:left="2960"/>
        <w:spacing w:after="0"/>
        <w:rPr>
          <w:sz w:val="20"/>
          <w:szCs w:val="20"/>
          <w:color w:val="auto"/>
        </w:rPr>
      </w:pPr>
      <w:r>
        <w:rPr>
          <w:rFonts w:ascii="Courier New" w:cs="Courier New" w:eastAsia="Courier New" w:hAnsi="Courier New"/>
          <w:sz w:val="18"/>
          <w:szCs w:val="18"/>
          <w:color w:val="auto"/>
        </w:rPr>
        <w:t>Comcast Corporation</w:t>
      </w:r>
    </w:p>
    <w:p>
      <w:pPr>
        <w:ind w:left="3060"/>
        <w:spacing w:after="0" w:line="237" w:lineRule="auto"/>
        <w:rPr>
          <w:sz w:val="20"/>
          <w:szCs w:val="20"/>
          <w:color w:val="auto"/>
        </w:rPr>
      </w:pPr>
      <w:r>
        <w:rPr>
          <w:rFonts w:ascii="Courier New" w:cs="Courier New" w:eastAsia="Courier New" w:hAnsi="Courier New"/>
          <w:sz w:val="18"/>
          <w:szCs w:val="18"/>
          <w:color w:val="auto"/>
        </w:rPr>
        <w:t>1500 Market Street</w:t>
      </w:r>
    </w:p>
    <w:p>
      <w:pPr>
        <w:ind w:left="2540"/>
        <w:spacing w:after="0" w:line="238" w:lineRule="auto"/>
        <w:rPr>
          <w:sz w:val="20"/>
          <w:szCs w:val="20"/>
          <w:color w:val="auto"/>
        </w:rPr>
      </w:pPr>
      <w:r>
        <w:rPr>
          <w:rFonts w:ascii="Courier New" w:cs="Courier New" w:eastAsia="Courier New" w:hAnsi="Courier New"/>
          <w:sz w:val="18"/>
          <w:szCs w:val="18"/>
          <w:color w:val="auto"/>
        </w:rPr>
        <w:t>Philadelphia, PA 19102-2148</w:t>
      </w:r>
    </w:p>
    <w:p>
      <w:pPr>
        <w:spacing w:after="0" w:line="5"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and address of agent for service)</w:t>
      </w:r>
    </w:p>
    <w:p>
      <w:pPr>
        <w:spacing w:after="0" w:line="201" w:lineRule="exact"/>
        <w:rPr>
          <w:rFonts w:ascii="Courier New" w:cs="Courier New" w:eastAsia="Courier New" w:hAnsi="Courier New"/>
          <w:sz w:val="16"/>
          <w:szCs w:val="16"/>
          <w:color w:val="auto"/>
        </w:rPr>
      </w:pPr>
    </w:p>
    <w:p>
      <w:pPr>
        <w:ind w:left="3900" w:hanging="626"/>
        <w:spacing w:after="0"/>
        <w:tabs>
          <w:tab w:leader="none" w:pos="3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665-1700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(Telephone number, including area code, of agent for service)</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Copies to:</w:t>
      </w:r>
    </w:p>
    <w:p>
      <w:pPr>
        <w:ind w:left="2740"/>
        <w:spacing w:after="0" w:line="238" w:lineRule="auto"/>
        <w:rPr>
          <w:sz w:val="20"/>
          <w:szCs w:val="20"/>
          <w:color w:val="auto"/>
        </w:rPr>
      </w:pPr>
      <w:r>
        <w:rPr>
          <w:rFonts w:ascii="Courier New" w:cs="Courier New" w:eastAsia="Courier New" w:hAnsi="Courier New"/>
          <w:sz w:val="18"/>
          <w:szCs w:val="18"/>
          <w:color w:val="auto"/>
        </w:rPr>
        <w:t>Mark K. Kessler, Esquire</w:t>
      </w:r>
    </w:p>
    <w:p>
      <w:pPr>
        <w:jc w:val="center"/>
        <w:ind w:right="2319"/>
        <w:spacing w:after="0"/>
        <w:rPr>
          <w:sz w:val="20"/>
          <w:szCs w:val="20"/>
          <w:color w:val="auto"/>
        </w:rPr>
      </w:pPr>
      <w:r>
        <w:rPr>
          <w:rFonts w:ascii="Courier New" w:cs="Courier New" w:eastAsia="Courier New" w:hAnsi="Courier New"/>
          <w:sz w:val="18"/>
          <w:szCs w:val="18"/>
          <w:color w:val="auto"/>
        </w:rPr>
        <w:t>Wolf, Block, Schorr and Solis-Cohen</w:t>
      </w:r>
    </w:p>
    <w:p>
      <w:pPr>
        <w:jc w:val="center"/>
        <w:ind w:right="2199"/>
        <w:spacing w:after="0" w:line="237" w:lineRule="auto"/>
        <w:rPr>
          <w:sz w:val="20"/>
          <w:szCs w:val="20"/>
          <w:color w:val="auto"/>
        </w:rPr>
      </w:pPr>
      <w:r>
        <w:rPr>
          <w:rFonts w:ascii="Courier New" w:cs="Courier New" w:eastAsia="Courier New" w:hAnsi="Courier New"/>
          <w:sz w:val="18"/>
          <w:szCs w:val="18"/>
          <w:color w:val="auto"/>
        </w:rPr>
        <w:t>Twelfth Floor Packard Building</w:t>
      </w:r>
    </w:p>
    <w:p>
      <w:pPr>
        <w:jc w:val="center"/>
        <w:ind w:right="2419"/>
        <w:spacing w:after="0" w:line="238" w:lineRule="auto"/>
        <w:rPr>
          <w:sz w:val="20"/>
          <w:szCs w:val="20"/>
          <w:color w:val="auto"/>
        </w:rPr>
      </w:pPr>
      <w:r>
        <w:rPr>
          <w:rFonts w:ascii="Courier New" w:cs="Courier New" w:eastAsia="Courier New" w:hAnsi="Courier New"/>
          <w:sz w:val="18"/>
          <w:szCs w:val="18"/>
          <w:color w:val="auto"/>
        </w:rPr>
        <w:t>Philadelphia, PA 19102</w:t>
      </w:r>
    </w:p>
    <w:p>
      <w:pPr>
        <w:ind w:left="3280"/>
        <w:spacing w:after="0"/>
        <w:rPr>
          <w:sz w:val="20"/>
          <w:szCs w:val="20"/>
          <w:color w:val="auto"/>
        </w:rPr>
      </w:pPr>
      <w:r>
        <w:rPr>
          <w:rFonts w:ascii="Courier New" w:cs="Courier New" w:eastAsia="Courier New" w:hAnsi="Courier New"/>
          <w:sz w:val="18"/>
          <w:szCs w:val="18"/>
          <w:color w:val="auto"/>
        </w:rPr>
        <w:t>(215) 977-2000</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CALCULATION OF REGISTRATION FEE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447" w:right="1440" w:bottom="0" w:gutter="0" w:footer="0" w:header="0"/>
        </w:sectPr>
      </w:pPr>
    </w:p>
    <w:p>
      <w:pPr>
        <w:spacing w:after="0" w:line="224" w:lineRule="exact"/>
        <w:rPr>
          <w:sz w:val="24"/>
          <w:szCs w:val="24"/>
          <w:color w:val="auto"/>
        </w:rPr>
      </w:pPr>
    </w:p>
    <w:p>
      <w:pPr>
        <w:ind w:right="860"/>
        <w:spacing w:after="0" w:line="290" w:lineRule="auto"/>
        <w:rPr>
          <w:sz w:val="20"/>
          <w:szCs w:val="20"/>
          <w:color w:val="auto"/>
        </w:rPr>
      </w:pPr>
      <w:r>
        <w:rPr>
          <w:rFonts w:ascii="Courier New" w:cs="Courier New" w:eastAsia="Courier New" w:hAnsi="Courier New"/>
          <w:sz w:val="16"/>
          <w:szCs w:val="16"/>
          <w:color w:val="auto"/>
        </w:rPr>
        <w:t>Title of Securities to be Registered</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Amount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be Registered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Proposed</w:t>
      </w:r>
    </w:p>
    <w:p>
      <w:pPr>
        <w:spacing w:after="0" w:line="238" w:lineRule="auto"/>
        <w:rPr>
          <w:sz w:val="20"/>
          <w:szCs w:val="20"/>
          <w:color w:val="auto"/>
        </w:rPr>
      </w:pPr>
      <w:r>
        <w:rPr>
          <w:rFonts w:ascii="Courier New" w:cs="Courier New" w:eastAsia="Courier New" w:hAnsi="Courier New"/>
          <w:sz w:val="18"/>
          <w:szCs w:val="18"/>
          <w:color w:val="auto"/>
        </w:rPr>
        <w:t>Maximum</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Offering Price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 Share</w:t>
      </w:r>
    </w:p>
    <w:p>
      <w:pPr>
        <w:spacing w:after="0" w:line="200" w:lineRule="exact"/>
        <w:rPr>
          <w:sz w:val="24"/>
          <w:szCs w:val="24"/>
          <w:color w:val="auto"/>
        </w:rPr>
      </w:pPr>
    </w:p>
    <w:p>
      <w:pPr>
        <w:sectPr>
          <w:pgSz w:w="11900" w:h="16838" w:orient="portrait"/>
          <w:cols w:equalWidth="0" w:num="3">
            <w:col w:w="2860" w:space="720"/>
            <w:col w:w="2020" w:space="720"/>
            <w:col w:w="3899"/>
          </w:cols>
          <w:pgMar w:left="240" w:top="447" w:right="1440" w:bottom="0" w:gutter="0" w:footer="0" w:header="0"/>
          <w:type w:val="continuous"/>
        </w:sectPr>
      </w:pPr>
    </w:p>
    <w:p>
      <w:pPr>
        <w:spacing w:after="0" w:line="209"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Deferred</w:t>
      </w:r>
    </w:p>
    <w:tbl>
      <w:tblPr>
        <w:tblLayout w:type="fixed"/>
        <w:tblInd w:w="0" w:type="dxa"/>
        <w:tblCellMar>
          <w:top w:w="0" w:type="dxa"/>
          <w:left w:w="0" w:type="dxa"/>
          <w:bottom w:w="0" w:type="dxa"/>
          <w:right w:w="0" w:type="dxa"/>
        </w:tblCellMar>
      </w:tblPr>
      <w:tr>
        <w:trPr>
          <w:trHeight w:val="203"/>
        </w:trPr>
        <w:tc>
          <w:tcPr>
            <w:tcW w:w="2440" w:type="dxa"/>
            <w:vAlign w:val="bottom"/>
          </w:tcPr>
          <w:p>
            <w:pPr>
              <w:spacing w:after="0"/>
              <w:rPr>
                <w:sz w:val="20"/>
                <w:szCs w:val="20"/>
                <w:color w:val="auto"/>
              </w:rPr>
            </w:pPr>
            <w:r>
              <w:rPr>
                <w:rFonts w:ascii="Courier New" w:cs="Courier New" w:eastAsia="Courier New" w:hAnsi="Courier New"/>
                <w:sz w:val="18"/>
                <w:szCs w:val="18"/>
                <w:color w:val="auto"/>
              </w:rPr>
              <w:t>Compensation</w:t>
            </w:r>
          </w:p>
        </w:tc>
        <w:tc>
          <w:tcPr>
            <w:tcW w:w="316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$20,000,000</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100%</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Obligations</w:t>
            </w:r>
          </w:p>
        </w:tc>
        <w:tc>
          <w:tcPr>
            <w:tcW w:w="316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Proposed</w:t>
      </w:r>
    </w:p>
    <w:p>
      <w:pPr>
        <w:spacing w:after="0"/>
        <w:tabs>
          <w:tab w:leader="none" w:pos="3560" w:val="left"/>
        </w:tabs>
        <w:rPr>
          <w:sz w:val="20"/>
          <w:szCs w:val="20"/>
          <w:color w:val="auto"/>
        </w:rPr>
      </w:pPr>
      <w:r>
        <w:rPr>
          <w:rFonts w:ascii="Courier New" w:cs="Courier New" w:eastAsia="Courier New" w:hAnsi="Courier New"/>
          <w:sz w:val="18"/>
          <w:szCs w:val="18"/>
          <w:color w:val="auto"/>
        </w:rPr>
        <w:t>Maximum</w:t>
      </w:r>
      <w:r>
        <w:rPr>
          <w:sz w:val="20"/>
          <w:szCs w:val="20"/>
          <w:color w:val="auto"/>
        </w:rPr>
        <w:tab/>
      </w:r>
      <w:r>
        <w:rPr>
          <w:rFonts w:ascii="Courier New" w:cs="Courier New" w:eastAsia="Courier New" w:hAnsi="Courier New"/>
          <w:sz w:val="18"/>
          <w:szCs w:val="18"/>
          <w:color w:val="auto"/>
        </w:rPr>
        <w:t>Amount of</w:t>
      </w:r>
    </w:p>
    <w:p>
      <w:pPr>
        <w:spacing w:after="0" w:line="237" w:lineRule="auto"/>
        <w:tabs>
          <w:tab w:leader="none" w:pos="3560" w:val="left"/>
        </w:tabs>
        <w:rPr>
          <w:sz w:val="20"/>
          <w:szCs w:val="20"/>
          <w:color w:val="auto"/>
        </w:rPr>
      </w:pPr>
      <w:r>
        <w:rPr>
          <w:rFonts w:ascii="Courier New" w:cs="Courier New" w:eastAsia="Courier New" w:hAnsi="Courier New"/>
          <w:sz w:val="18"/>
          <w:szCs w:val="18"/>
          <w:color w:val="auto"/>
        </w:rPr>
        <w:t>Aggregate</w:t>
      </w:r>
      <w:r>
        <w:rPr>
          <w:sz w:val="20"/>
          <w:szCs w:val="20"/>
          <w:color w:val="auto"/>
        </w:rPr>
        <w:tab/>
      </w:r>
      <w:r>
        <w:rPr>
          <w:rFonts w:ascii="Courier New" w:cs="Courier New" w:eastAsia="Courier New" w:hAnsi="Courier New"/>
          <w:sz w:val="18"/>
          <w:szCs w:val="18"/>
          <w:color w:val="auto"/>
        </w:rPr>
        <w:t>Registration</w:t>
      </w:r>
    </w:p>
    <w:p>
      <w:pPr>
        <w:spacing w:after="0"/>
        <w:tabs>
          <w:tab w:leader="none" w:pos="3140" w:val="left"/>
        </w:tabs>
        <w:rPr>
          <w:sz w:val="20"/>
          <w:szCs w:val="20"/>
          <w:color w:val="auto"/>
        </w:rPr>
      </w:pPr>
      <w:r>
        <w:rPr>
          <w:rFonts w:ascii="Courier New" w:cs="Courier New" w:eastAsia="Courier New" w:hAnsi="Courier New"/>
          <w:sz w:val="18"/>
          <w:szCs w:val="18"/>
          <w:color w:val="auto"/>
        </w:rPr>
        <w:t>Offering Price</w:t>
      </w:r>
      <w:r>
        <w:rPr>
          <w:sz w:val="20"/>
          <w:szCs w:val="20"/>
          <w:color w:val="auto"/>
        </w:rPr>
        <w:tab/>
      </w:r>
      <w:r>
        <w:rPr>
          <w:rFonts w:ascii="Courier New" w:cs="Courier New" w:eastAsia="Courier New" w:hAnsi="Courier New"/>
          <w:sz w:val="16"/>
          <w:szCs w:val="16"/>
          <w:color w:val="auto"/>
        </w:rPr>
        <w:t>Fee</w:t>
      </w: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8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405"/>
        </w:trPr>
        <w:tc>
          <w:tcPr>
            <w:tcW w:w="2380" w:type="dxa"/>
            <w:vAlign w:val="bottom"/>
            <w:gridSpan w:val="2"/>
          </w:tcPr>
          <w:p>
            <w:pPr>
              <w:spacing w:after="0"/>
              <w:rPr>
                <w:sz w:val="20"/>
                <w:szCs w:val="20"/>
                <w:color w:val="auto"/>
              </w:rPr>
            </w:pPr>
            <w:r>
              <w:rPr>
                <w:rFonts w:ascii="Courier New" w:cs="Courier New" w:eastAsia="Courier New" w:hAnsi="Courier New"/>
                <w:sz w:val="18"/>
                <w:szCs w:val="18"/>
                <w:color w:val="auto"/>
              </w:rPr>
              <w:t>$20,000,000</w:t>
            </w:r>
          </w:p>
        </w:tc>
        <w:tc>
          <w:tcPr>
            <w:tcW w:w="5640" w:type="dxa"/>
            <w:vAlign w:val="bottom"/>
          </w:tcPr>
          <w:p>
            <w:pPr>
              <w:jc w:val="right"/>
              <w:ind w:right="3392"/>
              <w:spacing w:after="0"/>
              <w:rPr>
                <w:sz w:val="20"/>
                <w:szCs w:val="20"/>
                <w:color w:val="auto"/>
              </w:rPr>
            </w:pPr>
            <w:r>
              <w:rPr>
                <w:rFonts w:ascii="Courier New" w:cs="Courier New" w:eastAsia="Courier New" w:hAnsi="Courier New"/>
                <w:sz w:val="18"/>
                <w:szCs w:val="18"/>
                <w:color w:val="auto"/>
              </w:rPr>
              <w:t>$6,060.61</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8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r>
    </w:tbl>
    <w:p>
      <w:pPr>
        <w:sectPr>
          <w:pgSz w:w="11900" w:h="16838" w:orient="portrait"/>
          <w:cols w:equalWidth="0" w:num="1">
            <w:col w:w="10219"/>
          </w:cols>
          <w:pgMar w:left="240" w:top="447" w:right="1440" w:bottom="0" w:gutter="0" w:footer="0" w:header="0"/>
          <w:type w:val="continuous"/>
        </w:sectPr>
      </w:pPr>
    </w:p>
    <w:bookmarkStart w:id="1" w:name="page2"/>
    <w:bookmarkEnd w:id="1"/>
    <w:p>
      <w:pPr>
        <w:ind w:right="2419" w:firstLine="8"/>
        <w:spacing w:after="0" w:line="272" w:lineRule="auto"/>
        <w:tabs>
          <w:tab w:leader="none" w:pos="52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deferred compensation obligations to which this Registration Statement relates (the "Deferred Compensation Obligations") arise under the Comcast Corporation 1996 Deferred Compensation Plan (the "Plan") and are unsecured obligations of Comcast Corporation to pay deferred compensation in the future pursuant to compensation deferral elections made by participants in the Plan in accordance with the terms of the Plan.</w:t>
      </w:r>
    </w:p>
    <w:p>
      <w:pPr>
        <w:spacing w:after="0" w:line="388" w:lineRule="exact"/>
        <w:rPr>
          <w:rFonts w:ascii="Courier New" w:cs="Courier New" w:eastAsia="Courier New" w:hAnsi="Courier New"/>
          <w:sz w:val="16"/>
          <w:szCs w:val="16"/>
          <w:color w:val="auto"/>
        </w:rPr>
      </w:pPr>
    </w:p>
    <w:p>
      <w:pPr>
        <w:ind w:right="2519" w:firstLine="8"/>
        <w:spacing w:after="0" w:line="290" w:lineRule="auto"/>
        <w:tabs>
          <w:tab w:leader="none" w:pos="52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pursuant to Rule 457(h) under the Securities Act of 1933, as amended, solely for the purposes of calculating the registration fee.</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/TABLE</w:t>
      </w:r>
    </w:p>
    <w:p>
      <w:pPr>
        <w:sectPr>
          <w:pgSz w:w="11900" w:h="16838" w:orient="portrait"/>
          <w:cols w:equalWidth="0" w:num="1">
            <w:col w:w="10219"/>
          </w:cols>
          <w:pgMar w:left="240" w:top="547"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PART II</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INFORMATION REQUIRED IN THE REGISTRATION STATEMENT</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619" w:firstLine="948"/>
        <w:spacing w:after="0" w:line="275" w:lineRule="auto"/>
        <w:rPr>
          <w:sz w:val="20"/>
          <w:szCs w:val="20"/>
          <w:color w:val="auto"/>
        </w:rPr>
      </w:pPr>
      <w:r>
        <w:rPr>
          <w:rFonts w:ascii="Courier New" w:cs="Courier New" w:eastAsia="Courier New" w:hAnsi="Courier New"/>
          <w:sz w:val="16"/>
          <w:szCs w:val="16"/>
          <w:color w:val="auto"/>
        </w:rPr>
        <w:t>The following documents filed by Comcast Corporation (the "Registrant") with the Securities and Exchange Commission (the "Commission") pursuant to the Securities Exchange Act of 1934 (the "1934 Act") are incorporated into this registration statement by reference:</w:t>
      </w:r>
    </w:p>
    <w:p>
      <w:pPr>
        <w:spacing w:after="0" w:line="182" w:lineRule="exact"/>
        <w:rPr>
          <w:sz w:val="20"/>
          <w:szCs w:val="20"/>
          <w:color w:val="auto"/>
        </w:rPr>
      </w:pPr>
    </w:p>
    <w:p>
      <w:pPr>
        <w:ind w:right="2839" w:firstLine="956"/>
        <w:spacing w:after="0" w:line="235" w:lineRule="auto"/>
        <w:tabs>
          <w:tab w:leader="none" w:pos="147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Annual Report on Form 10-K for the year ended December 31, 1995.</w:t>
      </w:r>
    </w:p>
    <w:p>
      <w:pPr>
        <w:spacing w:after="0" w:line="208" w:lineRule="exact"/>
        <w:rPr>
          <w:rFonts w:ascii="Courier New" w:cs="Courier New" w:eastAsia="Courier New" w:hAnsi="Courier New"/>
          <w:sz w:val="18"/>
          <w:szCs w:val="18"/>
          <w:color w:val="auto"/>
        </w:rPr>
      </w:pPr>
    </w:p>
    <w:p>
      <w:pPr>
        <w:ind w:right="2939" w:firstLine="956"/>
        <w:spacing w:after="0" w:line="290" w:lineRule="auto"/>
        <w:tabs>
          <w:tab w:leader="none" w:pos="147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Quarterly Reports on Form 10-Q for the quarters ended March 31, 1996, June 30, 1996 and September 30, 1996.</w:t>
      </w:r>
    </w:p>
    <w:p>
      <w:pPr>
        <w:spacing w:after="0" w:line="169" w:lineRule="exact"/>
        <w:rPr>
          <w:rFonts w:ascii="Courier New" w:cs="Courier New" w:eastAsia="Courier New" w:hAnsi="Courier New"/>
          <w:sz w:val="16"/>
          <w:szCs w:val="16"/>
          <w:color w:val="auto"/>
        </w:rPr>
      </w:pPr>
    </w:p>
    <w:p>
      <w:pPr>
        <w:ind w:right="2419" w:firstLine="956"/>
        <w:spacing w:after="0" w:line="237" w:lineRule="auto"/>
        <w:tabs>
          <w:tab w:leader="none" w:pos="147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Current Reports on Form 8-K as filed on February 12, 1996, April 10, 1996, May 9, 1996, May 28, 1996 (amended by a Form 8-K/A filed on July 22, 1996), August 21, 1996, November 4, 1996 and November 27, 1996.</w:t>
      </w:r>
    </w:p>
    <w:p>
      <w:pPr>
        <w:spacing w:after="0" w:line="207" w:lineRule="exact"/>
        <w:rPr>
          <w:rFonts w:ascii="Courier New" w:cs="Courier New" w:eastAsia="Courier New" w:hAnsi="Courier New"/>
          <w:sz w:val="18"/>
          <w:szCs w:val="18"/>
          <w:color w:val="auto"/>
        </w:rPr>
      </w:pPr>
    </w:p>
    <w:p>
      <w:pPr>
        <w:ind w:right="2419" w:firstLine="956"/>
        <w:spacing w:after="0" w:line="237" w:lineRule="auto"/>
        <w:tabs>
          <w:tab w:leader="none" w:pos="147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Registrant's capital stock, including its Class A Special Common Stock, $1.00 par value, contained in the Registrant's Registration Statement on Form 8-A/A as filed on July 16, 1996.</w:t>
      </w:r>
    </w:p>
    <w:p>
      <w:pPr>
        <w:spacing w:after="0" w:line="207" w:lineRule="exact"/>
        <w:rPr>
          <w:sz w:val="20"/>
          <w:szCs w:val="20"/>
          <w:color w:val="auto"/>
        </w:rPr>
      </w:pPr>
    </w:p>
    <w:p>
      <w:pPr>
        <w:ind w:right="2419" w:firstLine="948"/>
        <w:spacing w:after="0" w:line="238" w:lineRule="auto"/>
        <w:rPr>
          <w:sz w:val="20"/>
          <w:szCs w:val="20"/>
          <w:color w:val="auto"/>
        </w:rPr>
      </w:pPr>
      <w:r>
        <w:rPr>
          <w:rFonts w:ascii="Courier New" w:cs="Courier New" w:eastAsia="Courier New" w:hAnsi="Courier New"/>
          <w:sz w:val="18"/>
          <w:szCs w:val="18"/>
          <w:color w:val="auto"/>
        </w:rPr>
        <w:t>All documents filed by the Registrant pursuant to Section 13(a), 13(c), 14 and 15(d) of the 1934 Act after the date of this registration statement and prior to the filing of a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such documents. Any statement contained in a document incorporated by reference herein shall be deemed to be modified or superseded for purposes hereof to the extent that a statement contained herein (or in any other subsequently filed document which also is incorporated by reference herein) modifies or supersedes such statement. Any statement so modified or superseded shall not be deemed to constitute a part hereof except as so modified or superseded.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Experts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619" w:firstLine="948"/>
        <w:spacing w:after="0" w:line="237" w:lineRule="auto"/>
        <w:rPr>
          <w:sz w:val="20"/>
          <w:szCs w:val="20"/>
          <w:color w:val="auto"/>
        </w:rPr>
      </w:pPr>
      <w:r>
        <w:rPr>
          <w:rFonts w:ascii="Courier New" w:cs="Courier New" w:eastAsia="Courier New" w:hAnsi="Courier New"/>
          <w:sz w:val="18"/>
          <w:szCs w:val="18"/>
          <w:color w:val="auto"/>
        </w:rPr>
        <w:t>The consolidated financial statements and the related financial statement schedule of Comcast Corporation and its subsidiaries as of December 31, 1995 and 1994 and for each of the three years ended December 31, 1995, incorporated in this registration statement by reference from the Registrant's Annual Report on Form 10-K for the year ended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right="2419"/>
        <w:spacing w:after="0" w:line="237" w:lineRule="auto"/>
        <w:rPr>
          <w:sz w:val="20"/>
          <w:szCs w:val="20"/>
          <w:color w:val="auto"/>
        </w:rPr>
      </w:pPr>
      <w:r>
        <w:rPr>
          <w:rFonts w:ascii="Courier New" w:cs="Courier New" w:eastAsia="Courier New" w:hAnsi="Courier New"/>
          <w:sz w:val="18"/>
          <w:szCs w:val="18"/>
          <w:color w:val="auto"/>
        </w:rPr>
        <w:t>1995, have been audited by Deloitte &amp; Touche LLP, independent auditors, as stated in their report, which is incorporated herein by reference, and have been so incorporated in reliance upon the report of such firm given upon their authority as experts in accounting and auditing.</w:t>
      </w:r>
    </w:p>
    <w:p>
      <w:pPr>
        <w:spacing w:after="0" w:line="207" w:lineRule="exact"/>
        <w:rPr>
          <w:sz w:val="20"/>
          <w:szCs w:val="20"/>
          <w:color w:val="auto"/>
        </w:rPr>
      </w:pPr>
    </w:p>
    <w:p>
      <w:pPr>
        <w:ind w:right="2419" w:firstLine="948"/>
        <w:spacing w:after="0" w:line="237" w:lineRule="auto"/>
        <w:rPr>
          <w:sz w:val="20"/>
          <w:szCs w:val="20"/>
          <w:color w:val="auto"/>
        </w:rPr>
      </w:pPr>
      <w:r>
        <w:rPr>
          <w:rFonts w:ascii="Courier New" w:cs="Courier New" w:eastAsia="Courier New" w:hAnsi="Courier New"/>
          <w:sz w:val="18"/>
          <w:szCs w:val="18"/>
          <w:color w:val="auto"/>
        </w:rPr>
        <w:t>The Registrant's consolidated financial statements include amounts for QVC, Inc. and subsidiaries ("QVC"), Comcast International Holdings, Inc. and subsidiaries ("Comcast International") and Garden State Cablevision L.P. ("Garden State"). Other auditors have audited the consolidated financial statements of QVC as of December 31, 1995 and for the eleven-month period then ended, the consolidated financial statements of Comcast International as of December 31, 1994 and for the two years then ended, and the financial statements of Garden State as of</w:t>
      </w:r>
    </w:p>
    <w:p>
      <w:pPr>
        <w:spacing w:after="0" w:line="10" w:lineRule="exact"/>
        <w:rPr>
          <w:sz w:val="20"/>
          <w:szCs w:val="20"/>
          <w:color w:val="auto"/>
        </w:rPr>
      </w:pPr>
    </w:p>
    <w:p>
      <w:pPr>
        <w:ind w:right="2419"/>
        <w:spacing w:after="0" w:line="271" w:lineRule="auto"/>
        <w:rPr>
          <w:sz w:val="20"/>
          <w:szCs w:val="20"/>
          <w:color w:val="auto"/>
        </w:rPr>
      </w:pPr>
      <w:r>
        <w:rPr>
          <w:rFonts w:ascii="Courier New" w:cs="Courier New" w:eastAsia="Courier New" w:hAnsi="Courier New"/>
          <w:sz w:val="16"/>
          <w:szCs w:val="16"/>
          <w:color w:val="auto"/>
        </w:rPr>
        <w:t>December 31, 1994 and for the two years then ended. The reports of such auditors with respect to the financial statements of QVC, Comcast International and Garden State were relied upon by Deloitte &amp; Touche LLP for the purpose of its report with respect to the consolidated financial statements of the Registrant described above, insofar as such report relates to amounts for QVC, Comcast International and Garden State for the periods specified in the Registrant's consolidated financial statements included in the Registrant's consolidated financial statements.</w:t>
      </w:r>
    </w:p>
    <w:p>
      <w:pPr>
        <w:spacing w:after="0" w:line="186" w:lineRule="exact"/>
        <w:rPr>
          <w:sz w:val="20"/>
          <w:szCs w:val="20"/>
          <w:color w:val="auto"/>
        </w:rPr>
      </w:pPr>
    </w:p>
    <w:p>
      <w:pPr>
        <w:ind w:right="2419" w:firstLine="948"/>
        <w:spacing w:after="0" w:line="271" w:lineRule="auto"/>
        <w:rPr>
          <w:sz w:val="20"/>
          <w:szCs w:val="20"/>
          <w:color w:val="auto"/>
        </w:rPr>
      </w:pPr>
      <w:r>
        <w:rPr>
          <w:rFonts w:ascii="Courier New" w:cs="Courier New" w:eastAsia="Courier New" w:hAnsi="Courier New"/>
          <w:sz w:val="16"/>
          <w:szCs w:val="16"/>
          <w:color w:val="auto"/>
        </w:rPr>
        <w:t>The combined financial statements of Scripps Cable as of December 31, 1995 and 1994 and for each of the three years in the period ended December 31, 1995 included in Amendment Number 5 dated July 18, 1996 to the Current Report on Form 8-K of The E.W. Scripps Company dated December 28, 1995 and incorporated by reference in this registration statement, have been audited by Deloitte &amp; Touche LLP, independent auditors, as stated in their report, which is incorporated herein by reference, and have been so incorporated in reliance upon the report of such firm given upon their authority as experts in accounting and auditing.</w:t>
      </w:r>
    </w:p>
    <w:p>
      <w:pPr>
        <w:spacing w:after="0" w:line="38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firstLine="948"/>
        <w:spacing w:after="0" w:line="237" w:lineRule="auto"/>
        <w:rPr>
          <w:sz w:val="20"/>
          <w:szCs w:val="20"/>
          <w:color w:val="auto"/>
        </w:rPr>
      </w:pPr>
      <w:r>
        <w:rPr>
          <w:rFonts w:ascii="Courier New" w:cs="Courier New" w:eastAsia="Courier New" w:hAnsi="Courier New"/>
          <w:sz w:val="18"/>
          <w:szCs w:val="18"/>
          <w:color w:val="auto"/>
        </w:rPr>
        <w:t>The following description of the deferred compensation obligations of the Registrant under the Comcast Corporation 1996 Deferred Compensation Plan (the "Plan") is qualified by reference to the Plan, which is included as an exhibit to this registration statement. Capitalized terms used in this Item 4 and not otherwise defined in this registration statement shall have the respective meanings attributed to such terms in the Plan.</w:t>
      </w:r>
    </w:p>
    <w:p>
      <w:pPr>
        <w:spacing w:after="0" w:line="211" w:lineRule="exact"/>
        <w:rPr>
          <w:sz w:val="20"/>
          <w:szCs w:val="20"/>
          <w:color w:val="auto"/>
        </w:rPr>
      </w:pPr>
    </w:p>
    <w:p>
      <w:pPr>
        <w:ind w:right="2419" w:firstLine="948"/>
        <w:spacing w:after="0" w:line="270" w:lineRule="auto"/>
        <w:rPr>
          <w:sz w:val="20"/>
          <w:szCs w:val="20"/>
          <w:color w:val="auto"/>
        </w:rPr>
      </w:pPr>
      <w:r>
        <w:rPr>
          <w:rFonts w:ascii="Courier New" w:cs="Courier New" w:eastAsia="Courier New" w:hAnsi="Courier New"/>
          <w:sz w:val="16"/>
          <w:szCs w:val="16"/>
          <w:color w:val="auto"/>
        </w:rPr>
        <w:t>The deferred compensation obligations incurred by the Registrant under the Plan will be unsecured general obligations of the Registrant to pay the Compensation deferred in accordance with the terms of the Plan, and will rank equally with other unsecured and unsubordinated indebtedness of the Registrant, from time to time outstanding, payable from the general assets of the Registrant. Because the Registrant has subsidiaries, the right of the Registrant, and hence the right of creditors of the Registrant (including Participants in the Plan), to participate in a distribution of the assets of a subsidiary upon its liquidation or reorganization or otherwise, necessarily is subject to the prior claims of creditors of the subsidiary, except to the extent that claims of the Registrant itself as a creditor may be recognized.</w:t>
      </w:r>
    </w:p>
    <w:p>
      <w:pPr>
        <w:spacing w:after="0" w:line="200" w:lineRule="exact"/>
        <w:rPr>
          <w:sz w:val="20"/>
          <w:szCs w:val="20"/>
          <w:color w:val="auto"/>
        </w:rPr>
      </w:pPr>
    </w:p>
    <w:p>
      <w:pPr>
        <w:spacing w:after="0" w:line="38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1440"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ind w:right="2419" w:firstLine="948"/>
        <w:spacing w:after="0" w:line="238" w:lineRule="auto"/>
        <w:rPr>
          <w:sz w:val="20"/>
          <w:szCs w:val="20"/>
          <w:color w:val="auto"/>
        </w:rPr>
      </w:pPr>
      <w:r>
        <w:rPr>
          <w:rFonts w:ascii="Courier New" w:cs="Courier New" w:eastAsia="Courier New" w:hAnsi="Courier New"/>
          <w:sz w:val="18"/>
          <w:szCs w:val="18"/>
          <w:color w:val="auto"/>
        </w:rPr>
        <w:t>Under the Plan, the Registrant will provide Eligible Employees of the Registrant and each of the Registrant's subsidiaries which is a Participating Company and members of the Registrant's Board of Directors (the "Board") who are not employees of a Participating Company (the "Outside Directors") with the opportunity to elect to defer all or a portion of the Compensation to be received from the Registrant or another Participating Company, provided that sales commissions or similar payments or awards shall not be included as Compensation for purposes of the Plan, and Severance Pay shall be included as Compensation for purposes of the Plan only to the extent permitted by the Subcommittee on Performance Based Compensation of the Compensation Committee of the Board (the "Committee"), in its sole discretion.</w:t>
      </w:r>
    </w:p>
    <w:p>
      <w:pPr>
        <w:spacing w:after="0" w:line="207" w:lineRule="exact"/>
        <w:rPr>
          <w:sz w:val="20"/>
          <w:szCs w:val="20"/>
          <w:color w:val="auto"/>
        </w:rPr>
      </w:pPr>
    </w:p>
    <w:p>
      <w:pPr>
        <w:ind w:right="2419" w:firstLine="948"/>
        <w:spacing w:after="0" w:line="269" w:lineRule="auto"/>
        <w:rPr>
          <w:sz w:val="20"/>
          <w:szCs w:val="20"/>
          <w:color w:val="auto"/>
        </w:rPr>
      </w:pPr>
      <w:r>
        <w:rPr>
          <w:rFonts w:ascii="Courier New" w:cs="Courier New" w:eastAsia="Courier New" w:hAnsi="Courier New"/>
          <w:sz w:val="16"/>
          <w:szCs w:val="16"/>
          <w:color w:val="auto"/>
        </w:rPr>
        <w:t>Effective January 1, 1997, each Participant, other than a Participant who is subject to the provisions of Section 16(b) of the Securities Exchange Act of 1934 (an "Insider"), may, as an alternative to having all of his or her Account credited with income, gains and losses as if it were invested in the Plan's Income Fund, elect to have all or any portion of his or her Account (to the extent credited through the December 31 preceding the effective date of such election) credited with income, gains and losses as if it were invested in the Plan's Common Stock Fund (the "Deferred Compensation Obligations"). An investment fund election shall continue in effect until revoked or superseded. Amounts subject to distribution in installments shall be deemed invested in the Income Fund beginning when installment distributions commence. In the absence of an effective election, the Participant shall be deemed to have elected to have his or her Account credited with income, gains and losses as if it were invested in the Income Fund. Investment fund elections under the Plan will be effective as of the first day of each Plan Year beginning on and after January 1, 1997, provided that the election is filed with the Committee on or before the close of business on December 31 of the Plan Year preceding such Plan Year. A Participant may only make an investment fund election with respect to the Participant's accumulated Account as of the December 31 preceding the effective date of the election. If a Participant who was not an Insider becomes an Insider, then, notwithstanding the foregoing, such Participant may elect to transfer to the Income Fund the portion of his Account, if any, deemed invested in the Company Stock Fund, effective as of the first day of any calendar month beginning after such Participant becomes an Insider. Each amount of Compensation deferred by a Participant in accordance with the terms of the Plan will be credited to such Participant's Account as of the date on which such amount would have been paid to the Participant but for the Participant's election to defer receipt of the amount under the Plan.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419" w:firstLine="948"/>
        <w:spacing w:after="0" w:line="238" w:lineRule="auto"/>
        <w:rPr>
          <w:sz w:val="20"/>
          <w:szCs w:val="20"/>
          <w:color w:val="auto"/>
        </w:rPr>
      </w:pPr>
      <w:r>
        <w:rPr>
          <w:rFonts w:ascii="Courier New" w:cs="Courier New" w:eastAsia="Courier New" w:hAnsi="Courier New"/>
          <w:sz w:val="18"/>
          <w:szCs w:val="18"/>
          <w:color w:val="auto"/>
        </w:rPr>
        <w:t>As defined in the Plan, the Income Fund is a hypothetical investment fund pursuant to which income, gains and losses are credited to a Participant's Account as if such Account, to the extent deemed invested in the Income Fund, were credited with interest at the Applicable Interest Rate. As defined in the Plan, the Applicable Interest Rate means 12% per annum, compounded annually as of the last day of the Plan Year (the "Standard Applicable Interest Rate"), except to the extent the Committee, in its sole discretion, designates for the period extending from the date of a Participant's termination of employment to the date of his or her Account's distribution in full an Applicable Interest Rate equal to the lesser of (i) the Standard Applicable Interest Rate and (ii) the Prime Rate plus one percent, compounded annually as of the last day of the Plan Year.</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23" w:right="1440" w:bottom="1440"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ind w:right="2419" w:firstLine="948"/>
        <w:spacing w:after="0" w:line="237" w:lineRule="auto"/>
        <w:rPr>
          <w:sz w:val="20"/>
          <w:szCs w:val="20"/>
          <w:color w:val="auto"/>
        </w:rPr>
      </w:pPr>
      <w:r>
        <w:rPr>
          <w:rFonts w:ascii="Courier New" w:cs="Courier New" w:eastAsia="Courier New" w:hAnsi="Courier New"/>
          <w:sz w:val="18"/>
          <w:szCs w:val="18"/>
          <w:color w:val="auto"/>
        </w:rPr>
        <w:t>As defined in the Plan, the Company Stock Fund is a hypothetical investment fund pursuant to which income, gains and losses are credited to a Participant's Account as if the Account, to the extent deemed invested in the Company Stock Fund, were invested in hypothetical shares of the Registrant's Class A Special Common Stock, $1.00 par value (the "Company Stock"), and all dividends and other distributions paid with respect to Company Stock were temporarily held uninvested in cash and then reinvested, as of the next suceeding December 31, in additional hypothetical shares of the Company Stock, based on the Fair Market Value of the Company Stock as of such date.</w:t>
      </w:r>
    </w:p>
    <w:p>
      <w:pPr>
        <w:spacing w:after="0" w:line="215" w:lineRule="exact"/>
        <w:rPr>
          <w:sz w:val="20"/>
          <w:szCs w:val="20"/>
          <w:color w:val="auto"/>
        </w:rPr>
      </w:pPr>
    </w:p>
    <w:p>
      <w:pPr>
        <w:ind w:right="2519" w:firstLine="948"/>
        <w:spacing w:after="0" w:line="237" w:lineRule="auto"/>
        <w:rPr>
          <w:sz w:val="20"/>
          <w:szCs w:val="20"/>
          <w:color w:val="auto"/>
        </w:rPr>
      </w:pPr>
      <w:r>
        <w:rPr>
          <w:rFonts w:ascii="Courier New" w:cs="Courier New" w:eastAsia="Courier New" w:hAnsi="Courier New"/>
          <w:sz w:val="18"/>
          <w:szCs w:val="18"/>
          <w:color w:val="auto"/>
        </w:rPr>
        <w:t>Except as otherwise provided in the case of a liquidation of the Registrant or a Change of Control, each Participant is permitted to specify by election the method of distribution of any amount credited to his or her Account. Under the terms of the Plan, a Participant may elect from among the following methods of distribution: (i) a lump sum payment; (ii) substantially equal annual installments over a period of five, ten or 15 years; and (iii) substantially equal monthly installments over a period not exceeding 15 years.</w:t>
      </w:r>
    </w:p>
    <w:p>
      <w:pPr>
        <w:spacing w:after="0" w:line="212" w:lineRule="exact"/>
        <w:rPr>
          <w:sz w:val="20"/>
          <w:szCs w:val="20"/>
          <w:color w:val="auto"/>
        </w:rPr>
      </w:pPr>
    </w:p>
    <w:p>
      <w:pPr>
        <w:ind w:right="2419" w:firstLine="948"/>
        <w:spacing w:after="0" w:line="269" w:lineRule="auto"/>
        <w:rPr>
          <w:sz w:val="20"/>
          <w:szCs w:val="20"/>
          <w:color w:val="auto"/>
        </w:rPr>
      </w:pPr>
      <w:r>
        <w:rPr>
          <w:rFonts w:ascii="Courier New" w:cs="Courier New" w:eastAsia="Courier New" w:hAnsi="Courier New"/>
          <w:sz w:val="16"/>
          <w:szCs w:val="16"/>
          <w:color w:val="auto"/>
        </w:rPr>
        <w:t>If a Participant terminates employment (or, in the case of a Participant who is an Outside Director, such Participant terminates service as an Outside Director) because of disability, or the Participant becomes disabled after termination of employment or service, the Participant may elect to change the form of distribution and/or elect to accelerate the payment of the distribution so that payment is made or commences on the January 2nd of the calendar year which begins after the date of disability. If a Participant terminates employment or service due to death, or if a Participant dies after termination of employment or service, the Participant's beneficiary or beneficiaries may change the form of distribution and/or accelerate the payment of the distribution so that a distribution is made or commences on the January 2nd of the calendar year which begins after the date of death; or defer the commencement of distribution for a minimum of one additional year from the existing benefit commencement date, provided that any deferral election to defer the benefit commencement date results in the distribution of the Participant's Account balance in full on or before the fifth anniversary of the Participant's death. Notwithstanding the terms of an election, if, upon the written application of a Participant, the Committee determines that such Participant has a financial emergency of such a substantial nature and beyond the individual's control that payment of amounts previously deferred under the Plan is warranted, the Committee, in its sole discretion, may authorize the immediate distribution to the Participant of all or a portion of his or her Account.</w:t>
      </w:r>
    </w:p>
    <w:p>
      <w:pPr>
        <w:spacing w:after="0" w:line="200" w:lineRule="exact"/>
        <w:rPr>
          <w:sz w:val="20"/>
          <w:szCs w:val="20"/>
          <w:color w:val="auto"/>
        </w:rPr>
      </w:pPr>
    </w:p>
    <w:p>
      <w:pPr>
        <w:spacing w:after="0" w:line="395" w:lineRule="exact"/>
        <w:rPr>
          <w:sz w:val="20"/>
          <w:szCs w:val="20"/>
          <w:color w:val="auto"/>
        </w:rPr>
      </w:pPr>
    </w:p>
    <w:p>
      <w:pPr>
        <w:ind w:right="2519" w:firstLine="948"/>
        <w:spacing w:after="0" w:line="237" w:lineRule="auto"/>
        <w:rPr>
          <w:sz w:val="20"/>
          <w:szCs w:val="20"/>
          <w:color w:val="auto"/>
        </w:rPr>
      </w:pPr>
      <w:r>
        <w:rPr>
          <w:rFonts w:ascii="Courier New" w:cs="Courier New" w:eastAsia="Courier New" w:hAnsi="Courier New"/>
          <w:sz w:val="18"/>
          <w:szCs w:val="18"/>
          <w:color w:val="auto"/>
        </w:rPr>
        <w:t>The Plan provides that the Registrant shall give Participants at least 30 days notice (or, if not practicable, such shorter notice as may be reasonably practicable) prior to the anticipated date of the consummation of a liquidation of the Registrant or a Change of Control (each a "Terminating Event"). The Committee may, in its discretion, provide in such notice that notwithstanding any other provision of the Plan or the terms of any election, upon the consummation of a Terminating Event, the Account balance of each Participant shall be distributed in full.</w:t>
      </w:r>
    </w:p>
    <w:p>
      <w:pPr>
        <w:spacing w:after="0" w:line="200" w:lineRule="exact"/>
        <w:rPr>
          <w:sz w:val="20"/>
          <w:szCs w:val="20"/>
          <w:color w:val="auto"/>
        </w:rPr>
      </w:pPr>
    </w:p>
    <w:p>
      <w:pPr>
        <w:spacing w:after="0" w:line="21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23" w:right="1440" w:bottom="1440" w:gutter="0" w:footer="0" w:header="0"/>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ind w:right="2419" w:firstLine="948"/>
        <w:spacing w:after="0" w:line="238" w:lineRule="auto"/>
        <w:rPr>
          <w:sz w:val="20"/>
          <w:szCs w:val="20"/>
          <w:color w:val="auto"/>
        </w:rPr>
      </w:pPr>
      <w:r>
        <w:rPr>
          <w:rFonts w:ascii="Courier New" w:cs="Courier New" w:eastAsia="Courier New" w:hAnsi="Courier New"/>
          <w:sz w:val="18"/>
          <w:szCs w:val="18"/>
          <w:color w:val="auto"/>
        </w:rPr>
        <w:t>Whether or not the Registrant is a Participant's employer, all Compensation deferred under the Plan will continue for all purposes to be a part of the general funds of the Registrant and the Participant's Account will at all times represent the general obligation of the Registrant. Each Participant will be a general creditor of the Registrant with respect to all of the Registrant's deferred compensation obligations to the Participant under the Plan, and will not have a secured or preferred position with respect to his or her Account. Nothing contained in the Plan shall be deemed to create an escrow, trust, custodial account or fiduciary relationship of any kind or to eliminate any priority or preferred position of a Participant in a bankruptcy matter with respect to claims for wages. Under the terms of the Plan, the right of a Participant in or to an Account, benefit or payment under the Plan shall not be subject in any manner to attachment or other legal process for the debts of such Participant; and no such Account, benefit or payment shall be subject to anticipation, alienation, sale, transfer, assignment or encumbrance.</w:t>
      </w:r>
    </w:p>
    <w:p>
      <w:pPr>
        <w:spacing w:after="0" w:line="209" w:lineRule="exact"/>
        <w:rPr>
          <w:sz w:val="20"/>
          <w:szCs w:val="20"/>
          <w:color w:val="auto"/>
        </w:rPr>
      </w:pPr>
    </w:p>
    <w:p>
      <w:pPr>
        <w:ind w:right="2519" w:firstLine="948"/>
        <w:spacing w:after="0" w:line="237" w:lineRule="auto"/>
        <w:rPr>
          <w:sz w:val="20"/>
          <w:szCs w:val="20"/>
          <w:color w:val="auto"/>
        </w:rPr>
      </w:pPr>
      <w:r>
        <w:rPr>
          <w:rFonts w:ascii="Courier New" w:cs="Courier New" w:eastAsia="Courier New" w:hAnsi="Courier New"/>
          <w:sz w:val="18"/>
          <w:szCs w:val="18"/>
          <w:color w:val="auto"/>
        </w:rPr>
        <w:t>The Registrant, by action of the Board or the Committee, without the consent of Participants, may amend or modify the Plan at any time, except that no such action shall change the Applicable Interest Rate with respect to the portion of a Participant's Account that is attributable to an election made with respect to Compensation earned in a Plan Year and filed with the Committee before the date of such action. The Registrant, by action of the Board, reserves the right at any time, or from time to time, to terminate the Plan.</w:t>
      </w:r>
    </w:p>
    <w:p>
      <w:pPr>
        <w:spacing w:after="0" w:line="212"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The Registrant will settle a Participant's Account and discharge all Obligations under the Plan in cash.</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739" w:firstLine="948"/>
        <w:spacing w:after="0" w:line="237" w:lineRule="auto"/>
        <w:rPr>
          <w:sz w:val="20"/>
          <w:szCs w:val="20"/>
          <w:color w:val="auto"/>
        </w:rPr>
      </w:pPr>
      <w:r>
        <w:rPr>
          <w:rFonts w:ascii="Courier New" w:cs="Courier New" w:eastAsia="Courier New" w:hAnsi="Courier New"/>
          <w:sz w:val="18"/>
          <w:szCs w:val="18"/>
          <w:color w:val="auto"/>
        </w:rPr>
        <w:t>Sections 1741 through 1750 of Subchapter D, Chapter 17, of the Pennsylvania Business Corporation Law of 1988 (the "BCL") contain provisions for mandatory and discretionary indemnification of a corporation's directors, officers and other personnel, and related matters.</w:t>
      </w:r>
    </w:p>
    <w:p>
      <w:pPr>
        <w:spacing w:after="0" w:line="209" w:lineRule="exact"/>
        <w:rPr>
          <w:sz w:val="20"/>
          <w:szCs w:val="20"/>
          <w:color w:val="auto"/>
        </w:rPr>
      </w:pPr>
    </w:p>
    <w:p>
      <w:pPr>
        <w:ind w:right="2419" w:firstLine="948"/>
        <w:spacing w:after="0" w:line="270" w:lineRule="auto"/>
        <w:rPr>
          <w:sz w:val="20"/>
          <w:szCs w:val="20"/>
          <w:color w:val="auto"/>
        </w:rPr>
      </w:pPr>
      <w:r>
        <w:rPr>
          <w:rFonts w:ascii="Courier New" w:cs="Courier New" w:eastAsia="Courier New" w:hAnsi="Courier New"/>
          <w:sz w:val="16"/>
          <w:szCs w:val="16"/>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w:t>
      </w:r>
    </w:p>
    <w:p>
      <w:pPr>
        <w:spacing w:after="0" w:line="38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723" w:right="1440" w:bottom="1440" w:gutter="0" w:footer="0" w:header="0"/>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ind w:right="2519"/>
        <w:spacing w:after="0" w:line="273" w:lineRule="auto"/>
        <w:rPr>
          <w:sz w:val="20"/>
          <w:szCs w:val="20"/>
          <w:color w:val="auto"/>
        </w:rPr>
      </w:pPr>
      <w:r>
        <w:rPr>
          <w:rFonts w:ascii="Courier New" w:cs="Courier New" w:eastAsia="Courier New" w:hAnsi="Courier New"/>
          <w:sz w:val="16"/>
          <w:szCs w:val="16"/>
          <w:color w:val="auto"/>
        </w:rPr>
        <w:t>no reasonable cause to believe his conduct was unlawful. Under Section 1743, indemnification is mandatory to the extent that the director, officer, employee or agent has been successful on the merits or otherwise in defense of any action or proceeding relating to third-party or derivative actions if the appropriate standards of conduct are met.</w:t>
      </w:r>
    </w:p>
    <w:p>
      <w:pPr>
        <w:spacing w:after="0" w:line="185" w:lineRule="exact"/>
        <w:rPr>
          <w:sz w:val="20"/>
          <w:szCs w:val="20"/>
          <w:color w:val="auto"/>
        </w:rPr>
      </w:pPr>
    </w:p>
    <w:p>
      <w:pPr>
        <w:ind w:right="2419" w:firstLine="948"/>
        <w:spacing w:after="0" w:line="237" w:lineRule="auto"/>
        <w:rPr>
          <w:sz w:val="20"/>
          <w:szCs w:val="20"/>
          <w:color w:val="auto"/>
        </w:rPr>
      </w:pPr>
      <w:r>
        <w:rPr>
          <w:rFonts w:ascii="Courier New" w:cs="Courier New" w:eastAsia="Courier New" w:hAnsi="Courier New"/>
          <w:sz w:val="18"/>
          <w:szCs w:val="18"/>
          <w:color w:val="auto"/>
        </w:rPr>
        <w:t>Section 1742 provides for indemnification in derivative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211" w:lineRule="exact"/>
        <w:rPr>
          <w:sz w:val="20"/>
          <w:szCs w:val="20"/>
          <w:color w:val="auto"/>
        </w:rPr>
      </w:pPr>
    </w:p>
    <w:p>
      <w:pPr>
        <w:ind w:right="2419" w:firstLine="948"/>
        <w:spacing w:after="0" w:line="237" w:lineRule="auto"/>
        <w:rPr>
          <w:sz w:val="20"/>
          <w:szCs w:val="20"/>
          <w:color w:val="auto"/>
        </w:rPr>
      </w:pPr>
      <w:r>
        <w:rPr>
          <w:rFonts w:ascii="Courier New" w:cs="Courier New" w:eastAsia="Courier New" w:hAnsi="Courier New"/>
          <w:sz w:val="18"/>
          <w:szCs w:val="18"/>
          <w:color w:val="auto"/>
        </w:rPr>
        <w:t>Section 1744 provides that, unless ordered by a court, any indemnification under Section 1741 or 1742 shall be made by the corporation as authorized in the specific case upon a determination that the representative met the applicable standard of conduct set forth in those sections and such determination shall be made by the board of directors by majority vote of a quorum of directors not parties to the action or proceeding; if a quorum is not obtainable or if obtainable and a majority of disinterested directors so directs, by independent legal counsel; or by the shareholders.</w:t>
      </w:r>
    </w:p>
    <w:p>
      <w:pPr>
        <w:spacing w:after="0" w:line="214" w:lineRule="exact"/>
        <w:rPr>
          <w:sz w:val="20"/>
          <w:szCs w:val="20"/>
          <w:color w:val="auto"/>
        </w:rPr>
      </w:pPr>
    </w:p>
    <w:p>
      <w:pPr>
        <w:ind w:right="2419" w:firstLine="948"/>
        <w:spacing w:after="0" w:line="272" w:lineRule="auto"/>
        <w:rPr>
          <w:sz w:val="20"/>
          <w:szCs w:val="20"/>
          <w:color w:val="auto"/>
        </w:rPr>
      </w:pPr>
      <w:r>
        <w:rPr>
          <w:rFonts w:ascii="Courier New" w:cs="Courier New" w:eastAsia="Courier New" w:hAnsi="Courier New"/>
          <w:sz w:val="16"/>
          <w:szCs w:val="16"/>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w:t>
      </w:r>
    </w:p>
    <w:p>
      <w:pPr>
        <w:spacing w:after="0" w:line="186" w:lineRule="exact"/>
        <w:rPr>
          <w:sz w:val="20"/>
          <w:szCs w:val="20"/>
          <w:color w:val="auto"/>
        </w:rPr>
      </w:pPr>
    </w:p>
    <w:p>
      <w:pPr>
        <w:ind w:right="2419" w:firstLine="948"/>
        <w:spacing w:after="0" w:line="271" w:lineRule="auto"/>
        <w:rPr>
          <w:sz w:val="20"/>
          <w:szCs w:val="20"/>
          <w:color w:val="auto"/>
        </w:rPr>
      </w:pPr>
      <w:r>
        <w:rPr>
          <w:rFonts w:ascii="Courier New" w:cs="Courier New" w:eastAsia="Courier New" w:hAnsi="Courier New"/>
          <w:sz w:val="16"/>
          <w:szCs w:val="16"/>
          <w:color w:val="auto"/>
        </w:rPr>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w:t>
      </w:r>
    </w:p>
    <w:p>
      <w:pPr>
        <w:spacing w:after="0" w:line="184" w:lineRule="exact"/>
        <w:rPr>
          <w:sz w:val="20"/>
          <w:szCs w:val="20"/>
          <w:color w:val="auto"/>
        </w:rPr>
      </w:pPr>
    </w:p>
    <w:p>
      <w:pPr>
        <w:ind w:right="2519" w:firstLine="948"/>
        <w:spacing w:after="0" w:line="237" w:lineRule="auto"/>
        <w:rPr>
          <w:sz w:val="20"/>
          <w:szCs w:val="20"/>
          <w:color w:val="auto"/>
        </w:rPr>
      </w:pPr>
      <w:r>
        <w:rPr>
          <w:rFonts w:ascii="Courier New" w:cs="Courier New" w:eastAsia="Courier New" w:hAnsi="Courier New"/>
          <w:sz w:val="18"/>
          <w:szCs w:val="18"/>
          <w:color w:val="auto"/>
        </w:rPr>
        <w:t>Section 1747 grants a corporation the power to purchase and maintain insurance on behalf of any director or officer against any liability incurred by him in his capacity as officer or director, whether or not the corporation would have the power to indemnify him against that liability under this Subchapter of the BCL.</w:t>
      </w:r>
    </w:p>
    <w:p>
      <w:pPr>
        <w:spacing w:after="0" w:line="209" w:lineRule="exact"/>
        <w:rPr>
          <w:sz w:val="20"/>
          <w:szCs w:val="20"/>
          <w:color w:val="auto"/>
        </w:rPr>
      </w:pPr>
    </w:p>
    <w:p>
      <w:pPr>
        <w:ind w:right="2419" w:firstLine="948"/>
        <w:spacing w:after="0" w:line="237" w:lineRule="auto"/>
        <w:rPr>
          <w:sz w:val="20"/>
          <w:szCs w:val="20"/>
          <w:color w:val="auto"/>
        </w:rPr>
      </w:pPr>
      <w:r>
        <w:rPr>
          <w:rFonts w:ascii="Courier New" w:cs="Courier New" w:eastAsia="Courier New" w:hAnsi="Courier New"/>
          <w:sz w:val="18"/>
          <w:szCs w:val="18"/>
          <w:color w:val="auto"/>
        </w:rPr>
        <w:t>Sections 1748 and 1749 extend the indemnification and advancement of expenses provisions contained in Sections 1741-1750 of the BCL to successor corporations in fundamental changes and to representatives serving as fiduciaries of employee benefit plans.</w:t>
      </w:r>
    </w:p>
    <w:p>
      <w:pPr>
        <w:spacing w:after="0" w:line="207" w:lineRule="exact"/>
        <w:rPr>
          <w:sz w:val="20"/>
          <w:szCs w:val="20"/>
          <w:color w:val="auto"/>
        </w:rPr>
      </w:pPr>
    </w:p>
    <w:p>
      <w:pPr>
        <w:ind w:right="2419" w:firstLine="948"/>
        <w:spacing w:after="0" w:line="236" w:lineRule="auto"/>
        <w:rPr>
          <w:sz w:val="20"/>
          <w:szCs w:val="20"/>
          <w:color w:val="auto"/>
        </w:rPr>
      </w:pPr>
      <w:r>
        <w:rPr>
          <w:rFonts w:ascii="Courier New" w:cs="Courier New" w:eastAsia="Courier New" w:hAnsi="Courier New"/>
          <w:sz w:val="18"/>
          <w:szCs w:val="18"/>
          <w:color w:val="auto"/>
        </w:rPr>
        <w:t>Section 1750 provides that the indemnification and advancement of expenses provided by, or granted pursuant to, Sections 1741-1750 of the BCL shall, unless otherwise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723" w:right="1440" w:bottom="1440" w:gutter="0" w:footer="0" w:header="0"/>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ind w:right="2419"/>
        <w:spacing w:after="0" w:line="236" w:lineRule="auto"/>
        <w:rPr>
          <w:sz w:val="20"/>
          <w:szCs w:val="20"/>
          <w:color w:val="auto"/>
        </w:rPr>
      </w:pPr>
      <w:r>
        <w:rPr>
          <w:rFonts w:ascii="Courier New" w:cs="Courier New" w:eastAsia="Courier New" w:hAnsi="Courier New"/>
          <w:sz w:val="18"/>
          <w:szCs w:val="18"/>
          <w:color w:val="auto"/>
        </w:rPr>
        <w:t>provided when authorized or ratified, continue as to a person who has ceased to be a director, officer, employee or agent and shall inure to the benefit of the heirs and personal representative of such person.</w:t>
      </w:r>
    </w:p>
    <w:p>
      <w:pPr>
        <w:spacing w:after="0" w:line="209" w:lineRule="exact"/>
        <w:rPr>
          <w:sz w:val="20"/>
          <w:szCs w:val="20"/>
          <w:color w:val="auto"/>
        </w:rPr>
      </w:pPr>
    </w:p>
    <w:p>
      <w:pPr>
        <w:ind w:right="2419" w:firstLine="948"/>
        <w:spacing w:after="0" w:line="270" w:lineRule="auto"/>
        <w:rPr>
          <w:sz w:val="20"/>
          <w:szCs w:val="20"/>
          <w:color w:val="auto"/>
        </w:rPr>
      </w:pPr>
      <w:r>
        <w:rPr>
          <w:rFonts w:ascii="Courier New" w:cs="Courier New" w:eastAsia="Courier New" w:hAnsi="Courier New"/>
          <w:sz w:val="16"/>
          <w:szCs w:val="16"/>
          <w:color w:val="auto"/>
        </w:rPr>
        <w:t>Section 7-2 of the Registrant's Bylaws provides that the Registrant will indemnify any director or officer of the Registrant to the fullest extent permitted by Pennsylvania Law against all expense, liability and loss reasonably incurred or suffered by such person in connection with any threatened pending or completed action, suit or proceeding (a "Proceeding") involving such person by reason of the fact that he or she is or was a director or officer of the Registrant or is or was serving at the request or for the benefit of the Registrant in any capacity for another corporation or other enterprise. No indemnification pursuant to Section 7-2 may be made, however, in any case where the act or failure to act giving rise to the claim for indemnification is determined by a court to have constituted willful misconduct or recklessness.</w:t>
      </w:r>
    </w:p>
    <w:p>
      <w:pPr>
        <w:spacing w:after="0" w:line="391" w:lineRule="exact"/>
        <w:rPr>
          <w:sz w:val="20"/>
          <w:szCs w:val="20"/>
          <w:color w:val="auto"/>
        </w:rPr>
      </w:pPr>
    </w:p>
    <w:p>
      <w:pPr>
        <w:ind w:right="2419" w:firstLine="948"/>
        <w:spacing w:after="0" w:line="238" w:lineRule="auto"/>
        <w:rPr>
          <w:sz w:val="20"/>
          <w:szCs w:val="20"/>
          <w:color w:val="auto"/>
        </w:rPr>
      </w:pPr>
      <w:r>
        <w:rPr>
          <w:rFonts w:ascii="Courier New" w:cs="Courier New" w:eastAsia="Courier New" w:hAnsi="Courier New"/>
          <w:sz w:val="18"/>
          <w:szCs w:val="18"/>
          <w:color w:val="auto"/>
        </w:rPr>
        <w:t>Section 7-2 further provides that the right to indemnification includes the right to have the expenses incurred by the indemnified person in defending any Proceeding paid by the Registrant in advance of the final disposition of the Proceeding to the fullest extent permitted by Pennsylvania Law. In addition, Section 7-2 provides that the Registrant may purchase and maintain insurance for the benefit of any person on behalf of whom insurance is permitted to be purchased by Pennsylvania Law against any expense, liability or loss whether or not the Registrant would have the power to indemnify such person under Pennsylvania or other law. The Registrant may also purchase and maintain insurance to insure its indemnification obligations, whether arising under the Bylaws or otherwise. In addition, Section 7-2 states that the Registrant may create a fund of any nature or otherwise may secure in any manner its indemnification obligations, whether arising under the Bylaws or otherwise.</w:t>
      </w:r>
    </w:p>
    <w:p>
      <w:pPr>
        <w:spacing w:after="0" w:line="208" w:lineRule="exact"/>
        <w:rPr>
          <w:sz w:val="20"/>
          <w:szCs w:val="20"/>
          <w:color w:val="auto"/>
        </w:rPr>
      </w:pPr>
    </w:p>
    <w:p>
      <w:pPr>
        <w:ind w:right="2419" w:firstLine="948"/>
        <w:spacing w:after="0" w:line="238" w:lineRule="auto"/>
        <w:rPr>
          <w:sz w:val="20"/>
          <w:szCs w:val="20"/>
          <w:color w:val="auto"/>
        </w:rPr>
      </w:pPr>
      <w:r>
        <w:rPr>
          <w:rFonts w:ascii="Courier New" w:cs="Courier New" w:eastAsia="Courier New" w:hAnsi="Courier New"/>
          <w:sz w:val="18"/>
          <w:szCs w:val="18"/>
          <w:color w:val="auto"/>
        </w:rPr>
        <w:t>Section 7-3 of the Registrant's Bylaws states that the provisions of the Bylaws relating to indemnification constitute a contract between the Registrant and each of its directors and officers which may be modified as to any director or officer only with that person's consent or as provided in Section 7-3. Further, any repeal or amendment of the indemnification provisions of the Bylaws adverse to any director or officer will apply only on a prospective basis. In addition, no repeal or amendment of the Bylaws may affect the indemnification provisions of the Bylaws so as to limit indemnification or the advancement of expenses in any manner unless adopted by (a) the unanimous vote of the directors of the Registrant then serving or (b) the affirmative vote of shareholders entitled to cast at least 80% of the votes that all shareholders are entitled to cast in the election of directors, provided that no such amendment will have a retroactive effect inconsistent with the preceding sentence.</w:t>
      </w:r>
    </w:p>
    <w:p>
      <w:pPr>
        <w:spacing w:after="0" w:line="208"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The Registrant has purchased directors and officers liability insurance for its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II-7</w:t>
      </w:r>
    </w:p>
    <w:p>
      <w:pPr>
        <w:sectPr>
          <w:pgSz w:w="11900" w:h="16838" w:orient="portrait"/>
          <w:cols w:equalWidth="0" w:num="1">
            <w:col w:w="10219"/>
          </w:cols>
          <w:pgMar w:left="240" w:top="723" w:right="1440" w:bottom="1440" w:gutter="0" w:footer="0" w:header="0"/>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The following Exhibits are filed or incorporated by reference as part of this registration statement:</w:t>
      </w: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5100" w:type="dxa"/>
            <w:vAlign w:val="bottom"/>
          </w:tcPr>
          <w:p>
            <w:pPr>
              <w:ind w:left="1520"/>
              <w:spacing w:after="0"/>
              <w:rPr>
                <w:sz w:val="20"/>
                <w:szCs w:val="20"/>
                <w:color w:val="auto"/>
              </w:rPr>
            </w:pPr>
            <w:r>
              <w:rPr>
                <w:rFonts w:ascii="Courier New" w:cs="Courier New" w:eastAsia="Courier New" w:hAnsi="Courier New"/>
                <w:sz w:val="18"/>
                <w:szCs w:val="18"/>
                <w:color w:val="auto"/>
              </w:rPr>
              <w:t>Description</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4.1(a)</w:t>
            </w:r>
          </w:p>
        </w:tc>
        <w:tc>
          <w:tcPr>
            <w:tcW w:w="5100" w:type="dxa"/>
            <w:vAlign w:val="bottom"/>
          </w:tcPr>
          <w:p>
            <w:pPr>
              <w:ind w:left="480"/>
              <w:spacing w:after="0"/>
              <w:rPr>
                <w:sz w:val="20"/>
                <w:szCs w:val="20"/>
                <w:color w:val="auto"/>
              </w:rPr>
            </w:pPr>
            <w:r>
              <w:rPr>
                <w:rFonts w:ascii="Courier New" w:cs="Courier New" w:eastAsia="Courier New" w:hAnsi="Courier New"/>
                <w:sz w:val="18"/>
                <w:szCs w:val="18"/>
                <w:color w:val="auto"/>
              </w:rPr>
              <w:t>Amended and Restated Bylaws of the</w:t>
            </w:r>
          </w:p>
        </w:tc>
      </w:tr>
      <w:tr>
        <w:trPr>
          <w:trHeight w:val="203"/>
        </w:trPr>
        <w:tc>
          <w:tcPr>
            <w:tcW w:w="1640" w:type="dxa"/>
            <w:vAlign w:val="bottom"/>
          </w:tcPr>
          <w:p>
            <w:pPr>
              <w:spacing w:after="0"/>
              <w:rPr>
                <w:sz w:val="17"/>
                <w:szCs w:val="17"/>
                <w:color w:val="auto"/>
              </w:rPr>
            </w:pPr>
          </w:p>
        </w:tc>
        <w:tc>
          <w:tcPr>
            <w:tcW w:w="5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Registrant (incorporated by reference to</w:t>
            </w:r>
          </w:p>
        </w:tc>
      </w:tr>
      <w:tr>
        <w:trPr>
          <w:trHeight w:val="203"/>
        </w:trPr>
        <w:tc>
          <w:tcPr>
            <w:tcW w:w="1640" w:type="dxa"/>
            <w:vAlign w:val="bottom"/>
          </w:tcPr>
          <w:p>
            <w:pPr>
              <w:spacing w:after="0"/>
              <w:rPr>
                <w:sz w:val="17"/>
                <w:szCs w:val="17"/>
                <w:color w:val="auto"/>
              </w:rPr>
            </w:pPr>
          </w:p>
        </w:tc>
        <w:tc>
          <w:tcPr>
            <w:tcW w:w="5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Exhibit 3(ii) to the Registrant's Annual</w:t>
            </w:r>
          </w:p>
        </w:tc>
      </w:tr>
      <w:tr>
        <w:trPr>
          <w:trHeight w:val="203"/>
        </w:trPr>
        <w:tc>
          <w:tcPr>
            <w:tcW w:w="1640" w:type="dxa"/>
            <w:vAlign w:val="bottom"/>
          </w:tcPr>
          <w:p>
            <w:pPr>
              <w:spacing w:after="0"/>
              <w:rPr>
                <w:sz w:val="17"/>
                <w:szCs w:val="17"/>
                <w:color w:val="auto"/>
              </w:rPr>
            </w:pPr>
          </w:p>
        </w:tc>
        <w:tc>
          <w:tcPr>
            <w:tcW w:w="5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Report on Form 10-K for the year ended</w:t>
            </w:r>
          </w:p>
        </w:tc>
      </w:tr>
      <w:tr>
        <w:trPr>
          <w:trHeight w:val="203"/>
        </w:trPr>
        <w:tc>
          <w:tcPr>
            <w:tcW w:w="1640" w:type="dxa"/>
            <w:vAlign w:val="bottom"/>
          </w:tcPr>
          <w:p>
            <w:pPr>
              <w:spacing w:after="0"/>
              <w:rPr>
                <w:sz w:val="17"/>
                <w:szCs w:val="17"/>
                <w:color w:val="auto"/>
              </w:rPr>
            </w:pPr>
          </w:p>
        </w:tc>
        <w:tc>
          <w:tcPr>
            <w:tcW w:w="5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December 31, 1993).</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4.1(b)</w:t>
            </w:r>
          </w:p>
        </w:tc>
        <w:tc>
          <w:tcPr>
            <w:tcW w:w="5100" w:type="dxa"/>
            <w:vAlign w:val="bottom"/>
          </w:tcPr>
          <w:p>
            <w:pPr>
              <w:ind w:left="480"/>
              <w:spacing w:after="0"/>
              <w:rPr>
                <w:sz w:val="20"/>
                <w:szCs w:val="20"/>
                <w:color w:val="auto"/>
              </w:rPr>
            </w:pPr>
            <w:r>
              <w:rPr>
                <w:rFonts w:ascii="Courier New" w:cs="Courier New" w:eastAsia="Courier New" w:hAnsi="Courier New"/>
                <w:sz w:val="18"/>
                <w:szCs w:val="18"/>
                <w:color w:val="auto"/>
              </w:rPr>
              <w:t>Restated Articles of Incorporation</w:t>
            </w:r>
          </w:p>
        </w:tc>
      </w:tr>
      <w:tr>
        <w:trPr>
          <w:trHeight w:val="203"/>
        </w:trPr>
        <w:tc>
          <w:tcPr>
            <w:tcW w:w="1640" w:type="dxa"/>
            <w:vAlign w:val="bottom"/>
          </w:tcPr>
          <w:p>
            <w:pPr>
              <w:spacing w:after="0"/>
              <w:rPr>
                <w:sz w:val="17"/>
                <w:szCs w:val="17"/>
                <w:color w:val="auto"/>
              </w:rPr>
            </w:pPr>
          </w:p>
        </w:tc>
        <w:tc>
          <w:tcPr>
            <w:tcW w:w="5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6"/>
              </w:rPr>
              <w:t>(incorporated by reference to Exhibit 3.1(a)</w:t>
            </w:r>
          </w:p>
        </w:tc>
      </w:tr>
      <w:tr>
        <w:trPr>
          <w:trHeight w:val="203"/>
        </w:trPr>
        <w:tc>
          <w:tcPr>
            <w:tcW w:w="1640" w:type="dxa"/>
            <w:vAlign w:val="bottom"/>
          </w:tcPr>
          <w:p>
            <w:pPr>
              <w:spacing w:after="0"/>
              <w:rPr>
                <w:sz w:val="17"/>
                <w:szCs w:val="17"/>
                <w:color w:val="auto"/>
              </w:rPr>
            </w:pPr>
          </w:p>
        </w:tc>
        <w:tc>
          <w:tcPr>
            <w:tcW w:w="5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 the Registrant's Annual Report on Form</w:t>
            </w:r>
          </w:p>
        </w:tc>
      </w:tr>
      <w:tr>
        <w:trPr>
          <w:trHeight w:val="203"/>
        </w:trPr>
        <w:tc>
          <w:tcPr>
            <w:tcW w:w="1640" w:type="dxa"/>
            <w:vAlign w:val="bottom"/>
          </w:tcPr>
          <w:p>
            <w:pPr>
              <w:spacing w:after="0"/>
              <w:rPr>
                <w:sz w:val="17"/>
                <w:szCs w:val="17"/>
                <w:color w:val="auto"/>
              </w:rPr>
            </w:pPr>
          </w:p>
        </w:tc>
        <w:tc>
          <w:tcPr>
            <w:tcW w:w="5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9"/>
              </w:rPr>
              <w:t>10-K for the year ended December 31, 1995).</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4.1(c)</w:t>
            </w:r>
          </w:p>
        </w:tc>
        <w:tc>
          <w:tcPr>
            <w:tcW w:w="5100" w:type="dxa"/>
            <w:vAlign w:val="bottom"/>
          </w:tcPr>
          <w:p>
            <w:pPr>
              <w:ind w:left="480"/>
              <w:spacing w:after="0"/>
              <w:rPr>
                <w:sz w:val="20"/>
                <w:szCs w:val="20"/>
                <w:color w:val="auto"/>
              </w:rPr>
            </w:pPr>
            <w:r>
              <w:rPr>
                <w:rFonts w:ascii="Courier New" w:cs="Courier New" w:eastAsia="Courier New" w:hAnsi="Courier New"/>
                <w:sz w:val="18"/>
                <w:szCs w:val="18"/>
                <w:color w:val="auto"/>
              </w:rPr>
              <w:t>Amendment to Restated Articles of</w:t>
            </w:r>
          </w:p>
        </w:tc>
      </w:tr>
      <w:tr>
        <w:trPr>
          <w:trHeight w:val="203"/>
        </w:trPr>
        <w:tc>
          <w:tcPr>
            <w:tcW w:w="1640" w:type="dxa"/>
            <w:vAlign w:val="bottom"/>
          </w:tcPr>
          <w:p>
            <w:pPr>
              <w:spacing w:after="0"/>
              <w:rPr>
                <w:sz w:val="17"/>
                <w:szCs w:val="17"/>
                <w:color w:val="auto"/>
              </w:rPr>
            </w:pPr>
          </w:p>
        </w:tc>
        <w:tc>
          <w:tcPr>
            <w:tcW w:w="5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9"/>
              </w:rPr>
              <w:t>Incorporation (incorporated by reference to</w:t>
            </w:r>
          </w:p>
        </w:tc>
      </w:tr>
      <w:tr>
        <w:trPr>
          <w:trHeight w:val="203"/>
        </w:trPr>
        <w:tc>
          <w:tcPr>
            <w:tcW w:w="1640" w:type="dxa"/>
            <w:vAlign w:val="bottom"/>
          </w:tcPr>
          <w:p>
            <w:pPr>
              <w:spacing w:after="0"/>
              <w:rPr>
                <w:sz w:val="17"/>
                <w:szCs w:val="17"/>
                <w:color w:val="auto"/>
              </w:rPr>
            </w:pPr>
          </w:p>
        </w:tc>
        <w:tc>
          <w:tcPr>
            <w:tcW w:w="5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Exhibit 3.1(b) of the Registrant's Annual</w:t>
            </w:r>
          </w:p>
        </w:tc>
      </w:tr>
      <w:tr>
        <w:trPr>
          <w:trHeight w:val="203"/>
        </w:trPr>
        <w:tc>
          <w:tcPr>
            <w:tcW w:w="1640" w:type="dxa"/>
            <w:vAlign w:val="bottom"/>
          </w:tcPr>
          <w:p>
            <w:pPr>
              <w:spacing w:after="0"/>
              <w:rPr>
                <w:sz w:val="17"/>
                <w:szCs w:val="17"/>
                <w:color w:val="auto"/>
              </w:rPr>
            </w:pPr>
          </w:p>
        </w:tc>
        <w:tc>
          <w:tcPr>
            <w:tcW w:w="5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Report on Form 10-K for the year ended</w:t>
            </w:r>
          </w:p>
        </w:tc>
      </w:tr>
      <w:tr>
        <w:trPr>
          <w:trHeight w:val="203"/>
        </w:trPr>
        <w:tc>
          <w:tcPr>
            <w:tcW w:w="1640" w:type="dxa"/>
            <w:vAlign w:val="bottom"/>
          </w:tcPr>
          <w:p>
            <w:pPr>
              <w:spacing w:after="0"/>
              <w:rPr>
                <w:sz w:val="17"/>
                <w:szCs w:val="17"/>
                <w:color w:val="auto"/>
              </w:rPr>
            </w:pPr>
          </w:p>
        </w:tc>
        <w:tc>
          <w:tcPr>
            <w:tcW w:w="5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December 31, 1995).</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4.1(d)</w:t>
            </w:r>
          </w:p>
        </w:tc>
        <w:tc>
          <w:tcPr>
            <w:tcW w:w="5100" w:type="dxa"/>
            <w:vAlign w:val="bottom"/>
          </w:tcPr>
          <w:p>
            <w:pPr>
              <w:ind w:left="480"/>
              <w:spacing w:after="0"/>
              <w:rPr>
                <w:sz w:val="20"/>
                <w:szCs w:val="20"/>
                <w:color w:val="auto"/>
              </w:rPr>
            </w:pPr>
            <w:r>
              <w:rPr>
                <w:rFonts w:ascii="Courier New" w:cs="Courier New" w:eastAsia="Courier New" w:hAnsi="Courier New"/>
                <w:sz w:val="18"/>
                <w:szCs w:val="18"/>
                <w:color w:val="auto"/>
              </w:rPr>
              <w:t>Amendment to Restated Articles of</w:t>
            </w:r>
          </w:p>
        </w:tc>
      </w:tr>
      <w:tr>
        <w:trPr>
          <w:trHeight w:val="203"/>
        </w:trPr>
        <w:tc>
          <w:tcPr>
            <w:tcW w:w="1640" w:type="dxa"/>
            <w:vAlign w:val="bottom"/>
          </w:tcPr>
          <w:p>
            <w:pPr>
              <w:spacing w:after="0"/>
              <w:rPr>
                <w:sz w:val="17"/>
                <w:szCs w:val="17"/>
                <w:color w:val="auto"/>
              </w:rPr>
            </w:pPr>
          </w:p>
        </w:tc>
        <w:tc>
          <w:tcPr>
            <w:tcW w:w="5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9"/>
              </w:rPr>
              <w:t>Incorporation (incorporated by reference to</w:t>
            </w:r>
          </w:p>
        </w:tc>
      </w:tr>
      <w:tr>
        <w:trPr>
          <w:trHeight w:val="203"/>
        </w:trPr>
        <w:tc>
          <w:tcPr>
            <w:tcW w:w="1640" w:type="dxa"/>
            <w:vAlign w:val="bottom"/>
          </w:tcPr>
          <w:p>
            <w:pPr>
              <w:spacing w:after="0"/>
              <w:rPr>
                <w:sz w:val="17"/>
                <w:szCs w:val="17"/>
                <w:color w:val="auto"/>
              </w:rPr>
            </w:pPr>
          </w:p>
        </w:tc>
        <w:tc>
          <w:tcPr>
            <w:tcW w:w="5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Exhibit 3.1(c) of the Registrant's Annual</w:t>
            </w:r>
          </w:p>
        </w:tc>
      </w:tr>
      <w:tr>
        <w:trPr>
          <w:trHeight w:val="203"/>
        </w:trPr>
        <w:tc>
          <w:tcPr>
            <w:tcW w:w="1640" w:type="dxa"/>
            <w:vAlign w:val="bottom"/>
          </w:tcPr>
          <w:p>
            <w:pPr>
              <w:spacing w:after="0"/>
              <w:rPr>
                <w:sz w:val="17"/>
                <w:szCs w:val="17"/>
                <w:color w:val="auto"/>
              </w:rPr>
            </w:pPr>
          </w:p>
        </w:tc>
        <w:tc>
          <w:tcPr>
            <w:tcW w:w="5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Report on Form 10-K for the year ended</w:t>
            </w:r>
          </w:p>
        </w:tc>
      </w:tr>
      <w:tr>
        <w:trPr>
          <w:trHeight w:val="203"/>
        </w:trPr>
        <w:tc>
          <w:tcPr>
            <w:tcW w:w="1640" w:type="dxa"/>
            <w:vAlign w:val="bottom"/>
          </w:tcPr>
          <w:p>
            <w:pPr>
              <w:spacing w:after="0"/>
              <w:rPr>
                <w:sz w:val="17"/>
                <w:szCs w:val="17"/>
                <w:color w:val="auto"/>
              </w:rPr>
            </w:pPr>
          </w:p>
        </w:tc>
        <w:tc>
          <w:tcPr>
            <w:tcW w:w="5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December 31, 1995).</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4.1(e)</w:t>
            </w:r>
          </w:p>
        </w:tc>
        <w:tc>
          <w:tcPr>
            <w:tcW w:w="5100" w:type="dxa"/>
            <w:vAlign w:val="bottom"/>
          </w:tcPr>
          <w:p>
            <w:pPr>
              <w:ind w:left="480"/>
              <w:spacing w:after="0"/>
              <w:rPr>
                <w:sz w:val="20"/>
                <w:szCs w:val="20"/>
                <w:color w:val="auto"/>
              </w:rPr>
            </w:pPr>
            <w:r>
              <w:rPr>
                <w:rFonts w:ascii="Courier New" w:cs="Courier New" w:eastAsia="Courier New" w:hAnsi="Courier New"/>
                <w:sz w:val="18"/>
                <w:szCs w:val="18"/>
                <w:color w:val="auto"/>
              </w:rPr>
              <w:t>Amendment to Restated Articles of</w:t>
            </w:r>
          </w:p>
        </w:tc>
      </w:tr>
      <w:tr>
        <w:trPr>
          <w:trHeight w:val="203"/>
        </w:trPr>
        <w:tc>
          <w:tcPr>
            <w:tcW w:w="1640" w:type="dxa"/>
            <w:vAlign w:val="bottom"/>
          </w:tcPr>
          <w:p>
            <w:pPr>
              <w:spacing w:after="0"/>
              <w:rPr>
                <w:sz w:val="17"/>
                <w:szCs w:val="17"/>
                <w:color w:val="auto"/>
              </w:rPr>
            </w:pPr>
          </w:p>
        </w:tc>
        <w:tc>
          <w:tcPr>
            <w:tcW w:w="5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9"/>
              </w:rPr>
              <w:t>Incorporation (incorporated by reference to</w:t>
            </w:r>
          </w:p>
        </w:tc>
      </w:tr>
      <w:tr>
        <w:trPr>
          <w:trHeight w:val="203"/>
        </w:trPr>
        <w:tc>
          <w:tcPr>
            <w:tcW w:w="1640" w:type="dxa"/>
            <w:vAlign w:val="bottom"/>
          </w:tcPr>
          <w:p>
            <w:pPr>
              <w:spacing w:after="0"/>
              <w:rPr>
                <w:sz w:val="17"/>
                <w:szCs w:val="17"/>
                <w:color w:val="auto"/>
              </w:rPr>
            </w:pPr>
          </w:p>
        </w:tc>
        <w:tc>
          <w:tcPr>
            <w:tcW w:w="5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Exhibit 4.1(d) of the Registrant's</w:t>
            </w:r>
          </w:p>
        </w:tc>
      </w:tr>
      <w:tr>
        <w:trPr>
          <w:trHeight w:val="203"/>
        </w:trPr>
        <w:tc>
          <w:tcPr>
            <w:tcW w:w="1640" w:type="dxa"/>
            <w:vAlign w:val="bottom"/>
          </w:tcPr>
          <w:p>
            <w:pPr>
              <w:spacing w:after="0"/>
              <w:rPr>
                <w:sz w:val="17"/>
                <w:szCs w:val="17"/>
                <w:color w:val="auto"/>
              </w:rPr>
            </w:pPr>
          </w:p>
        </w:tc>
        <w:tc>
          <w:tcPr>
            <w:tcW w:w="5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Registration Statement (No. 333-06161) on</w:t>
            </w:r>
          </w:p>
        </w:tc>
      </w:tr>
      <w:tr>
        <w:trPr>
          <w:trHeight w:val="203"/>
        </w:trPr>
        <w:tc>
          <w:tcPr>
            <w:tcW w:w="1640" w:type="dxa"/>
            <w:vAlign w:val="bottom"/>
          </w:tcPr>
          <w:p>
            <w:pPr>
              <w:spacing w:after="0"/>
              <w:rPr>
                <w:sz w:val="17"/>
                <w:szCs w:val="17"/>
                <w:color w:val="auto"/>
              </w:rPr>
            </w:pPr>
          </w:p>
        </w:tc>
        <w:tc>
          <w:tcPr>
            <w:tcW w:w="5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Form S-3).</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5100" w:type="dxa"/>
            <w:vAlign w:val="bottom"/>
          </w:tcPr>
          <w:p>
            <w:pPr>
              <w:ind w:left="480"/>
              <w:spacing w:after="0"/>
              <w:rPr>
                <w:sz w:val="20"/>
                <w:szCs w:val="20"/>
                <w:color w:val="auto"/>
              </w:rPr>
            </w:pPr>
            <w:r>
              <w:rPr>
                <w:rFonts w:ascii="Courier New" w:cs="Courier New" w:eastAsia="Courier New" w:hAnsi="Courier New"/>
                <w:sz w:val="18"/>
                <w:szCs w:val="18"/>
                <w:color w:val="auto"/>
              </w:rPr>
              <w:t>Opinion of Wolf, Block, Schorr and Solis-</w:t>
            </w:r>
          </w:p>
        </w:tc>
      </w:tr>
      <w:tr>
        <w:trPr>
          <w:trHeight w:val="203"/>
        </w:trPr>
        <w:tc>
          <w:tcPr>
            <w:tcW w:w="1640" w:type="dxa"/>
            <w:vAlign w:val="bottom"/>
          </w:tcPr>
          <w:p>
            <w:pPr>
              <w:spacing w:after="0"/>
              <w:rPr>
                <w:sz w:val="17"/>
                <w:szCs w:val="17"/>
                <w:color w:val="auto"/>
              </w:rPr>
            </w:pPr>
          </w:p>
        </w:tc>
        <w:tc>
          <w:tcPr>
            <w:tcW w:w="5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Cohen, Philadelphia, Pennsylvania.</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5.2</w:t>
            </w:r>
          </w:p>
        </w:tc>
        <w:tc>
          <w:tcPr>
            <w:tcW w:w="5100" w:type="dxa"/>
            <w:vAlign w:val="bottom"/>
          </w:tcPr>
          <w:p>
            <w:pPr>
              <w:ind w:left="480"/>
              <w:spacing w:after="0"/>
              <w:rPr>
                <w:sz w:val="20"/>
                <w:szCs w:val="20"/>
                <w:color w:val="auto"/>
              </w:rPr>
            </w:pPr>
            <w:r>
              <w:rPr>
                <w:rFonts w:ascii="Courier New" w:cs="Courier New" w:eastAsia="Courier New" w:hAnsi="Courier New"/>
                <w:sz w:val="18"/>
                <w:szCs w:val="18"/>
                <w:color w:val="auto"/>
              </w:rPr>
              <w:t>Opinion of Pepper, Hamilton &amp; Scheetz,</w:t>
            </w:r>
          </w:p>
        </w:tc>
      </w:tr>
      <w:tr>
        <w:trPr>
          <w:trHeight w:val="203"/>
        </w:trPr>
        <w:tc>
          <w:tcPr>
            <w:tcW w:w="1640" w:type="dxa"/>
            <w:vAlign w:val="bottom"/>
          </w:tcPr>
          <w:p>
            <w:pPr>
              <w:spacing w:after="0"/>
              <w:rPr>
                <w:sz w:val="17"/>
                <w:szCs w:val="17"/>
                <w:color w:val="auto"/>
              </w:rPr>
            </w:pPr>
          </w:p>
        </w:tc>
        <w:tc>
          <w:tcPr>
            <w:tcW w:w="5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Philadelphia, Pennsylvania.</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5100" w:type="dxa"/>
            <w:vAlign w:val="bottom"/>
          </w:tcPr>
          <w:p>
            <w:pPr>
              <w:ind w:left="480"/>
              <w:spacing w:after="0"/>
              <w:rPr>
                <w:sz w:val="20"/>
                <w:szCs w:val="20"/>
                <w:color w:val="auto"/>
              </w:rPr>
            </w:pPr>
            <w:r>
              <w:rPr>
                <w:rFonts w:ascii="Courier New" w:cs="Courier New" w:eastAsia="Courier New" w:hAnsi="Courier New"/>
                <w:sz w:val="18"/>
                <w:szCs w:val="18"/>
                <w:color w:val="auto"/>
              </w:rPr>
              <w:t>Comcast Corporation 1996 Deferred</w:t>
            </w:r>
          </w:p>
        </w:tc>
      </w:tr>
      <w:tr>
        <w:trPr>
          <w:trHeight w:val="203"/>
        </w:trPr>
        <w:tc>
          <w:tcPr>
            <w:tcW w:w="1640" w:type="dxa"/>
            <w:vAlign w:val="bottom"/>
          </w:tcPr>
          <w:p>
            <w:pPr>
              <w:spacing w:after="0"/>
              <w:rPr>
                <w:sz w:val="17"/>
                <w:szCs w:val="17"/>
                <w:color w:val="auto"/>
              </w:rPr>
            </w:pPr>
          </w:p>
        </w:tc>
        <w:tc>
          <w:tcPr>
            <w:tcW w:w="5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Compensation Plan.</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5100" w:type="dxa"/>
            <w:vAlign w:val="bottom"/>
          </w:tcPr>
          <w:p>
            <w:pPr>
              <w:ind w:left="480"/>
              <w:spacing w:after="0"/>
              <w:rPr>
                <w:sz w:val="20"/>
                <w:szCs w:val="20"/>
                <w:color w:val="auto"/>
              </w:rPr>
            </w:pPr>
            <w:r>
              <w:rPr>
                <w:rFonts w:ascii="Courier New" w:cs="Courier New" w:eastAsia="Courier New" w:hAnsi="Courier New"/>
                <w:sz w:val="18"/>
                <w:szCs w:val="18"/>
                <w:color w:val="auto"/>
              </w:rPr>
              <w:t>Consent of Deloitte &amp; Touche LLP.</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5100" w:type="dxa"/>
            <w:vAlign w:val="bottom"/>
          </w:tcPr>
          <w:p>
            <w:pPr>
              <w:ind w:left="480"/>
              <w:spacing w:after="0"/>
              <w:rPr>
                <w:sz w:val="20"/>
                <w:szCs w:val="20"/>
                <w:color w:val="auto"/>
              </w:rPr>
            </w:pPr>
            <w:r>
              <w:rPr>
                <w:rFonts w:ascii="Courier New" w:cs="Courier New" w:eastAsia="Courier New" w:hAnsi="Courier New"/>
                <w:sz w:val="18"/>
                <w:szCs w:val="18"/>
                <w:color w:val="auto"/>
              </w:rPr>
              <w:t>Consent of Deloitte &amp; Touche LLP.</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23.3</w:t>
            </w:r>
          </w:p>
        </w:tc>
        <w:tc>
          <w:tcPr>
            <w:tcW w:w="5100" w:type="dxa"/>
            <w:vAlign w:val="bottom"/>
          </w:tcPr>
          <w:p>
            <w:pPr>
              <w:ind w:left="480"/>
              <w:spacing w:after="0"/>
              <w:rPr>
                <w:sz w:val="20"/>
                <w:szCs w:val="20"/>
                <w:color w:val="auto"/>
              </w:rPr>
            </w:pPr>
            <w:r>
              <w:rPr>
                <w:rFonts w:ascii="Courier New" w:cs="Courier New" w:eastAsia="Courier New" w:hAnsi="Courier New"/>
                <w:sz w:val="18"/>
                <w:szCs w:val="18"/>
                <w:color w:val="auto"/>
              </w:rPr>
              <w:t>Consent of KPMG Peat Marwick LLP.</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23.4</w:t>
            </w:r>
          </w:p>
        </w:tc>
        <w:tc>
          <w:tcPr>
            <w:tcW w:w="5100" w:type="dxa"/>
            <w:vAlign w:val="bottom"/>
          </w:tcPr>
          <w:p>
            <w:pPr>
              <w:ind w:left="480"/>
              <w:spacing w:after="0"/>
              <w:rPr>
                <w:sz w:val="20"/>
                <w:szCs w:val="20"/>
                <w:color w:val="auto"/>
              </w:rPr>
            </w:pPr>
            <w:r>
              <w:rPr>
                <w:rFonts w:ascii="Courier New" w:cs="Courier New" w:eastAsia="Courier New" w:hAnsi="Courier New"/>
                <w:sz w:val="18"/>
                <w:szCs w:val="18"/>
                <w:color w:val="auto"/>
              </w:rPr>
              <w:t>Consent of Arthur Andersen LLP.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II-8</w:t>
      </w:r>
    </w:p>
    <w:p>
      <w:pPr>
        <w:sectPr>
          <w:pgSz w:w="11900" w:h="16838" w:orient="portrait"/>
          <w:cols w:equalWidth="0" w:num="1">
            <w:col w:w="10219"/>
          </w:cols>
          <w:pgMar w:left="240" w:top="717" w:right="1440" w:bottom="1440" w:gutter="0" w:footer="0" w:header="0"/>
        </w:sectPr>
      </w:pPr>
    </w:p>
    <w:bookmarkStart w:id="18" w:name="page19"/>
    <w:bookmarkEnd w:id="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4"/>
        </w:trPr>
        <w:tc>
          <w:tcPr>
            <w:tcW w:w="860" w:type="dxa"/>
            <w:vAlign w:val="bottom"/>
          </w:tcPr>
          <w:p>
            <w:pPr>
              <w:ind w:left="320"/>
              <w:spacing w:after="0"/>
              <w:rPr>
                <w:sz w:val="20"/>
                <w:szCs w:val="20"/>
                <w:color w:val="auto"/>
              </w:rPr>
            </w:pPr>
            <w:r>
              <w:rPr>
                <w:rFonts w:ascii="Courier New" w:cs="Courier New" w:eastAsia="Courier New" w:hAnsi="Courier New"/>
                <w:sz w:val="18"/>
                <w:szCs w:val="18"/>
                <w:color w:val="auto"/>
              </w:rPr>
              <w:t>23.5</w:t>
            </w:r>
          </w:p>
        </w:tc>
        <w:tc>
          <w:tcPr>
            <w:tcW w:w="6200" w:type="dxa"/>
            <w:vAlign w:val="bottom"/>
          </w:tcPr>
          <w:p>
            <w:pPr>
              <w:ind w:left="1580"/>
              <w:spacing w:after="0"/>
              <w:rPr>
                <w:sz w:val="20"/>
                <w:szCs w:val="20"/>
                <w:color w:val="auto"/>
              </w:rPr>
            </w:pPr>
            <w:r>
              <w:rPr>
                <w:rFonts w:ascii="Courier New" w:cs="Courier New" w:eastAsia="Courier New" w:hAnsi="Courier New"/>
                <w:sz w:val="18"/>
                <w:szCs w:val="18"/>
                <w:color w:val="auto"/>
              </w:rPr>
              <w:t>Consent of Arthur Andersen LLP.</w:t>
            </w:r>
          </w:p>
        </w:tc>
      </w:tr>
      <w:tr>
        <w:trPr>
          <w:trHeight w:val="405"/>
        </w:trPr>
        <w:tc>
          <w:tcPr>
            <w:tcW w:w="860" w:type="dxa"/>
            <w:vAlign w:val="bottom"/>
          </w:tcPr>
          <w:p>
            <w:pPr>
              <w:ind w:left="320"/>
              <w:spacing w:after="0"/>
              <w:rPr>
                <w:sz w:val="20"/>
                <w:szCs w:val="20"/>
                <w:color w:val="auto"/>
              </w:rPr>
            </w:pPr>
            <w:r>
              <w:rPr>
                <w:rFonts w:ascii="Courier New" w:cs="Courier New" w:eastAsia="Courier New" w:hAnsi="Courier New"/>
                <w:sz w:val="18"/>
                <w:szCs w:val="18"/>
                <w:color w:val="auto"/>
              </w:rPr>
              <w:t>23.6</w:t>
            </w:r>
          </w:p>
        </w:tc>
        <w:tc>
          <w:tcPr>
            <w:tcW w:w="6200" w:type="dxa"/>
            <w:vAlign w:val="bottom"/>
          </w:tcPr>
          <w:p>
            <w:pPr>
              <w:ind w:left="1580"/>
              <w:spacing w:after="0"/>
              <w:rPr>
                <w:sz w:val="20"/>
                <w:szCs w:val="20"/>
                <w:color w:val="auto"/>
              </w:rPr>
            </w:pPr>
            <w:r>
              <w:rPr>
                <w:rFonts w:ascii="Courier New" w:cs="Courier New" w:eastAsia="Courier New" w:hAnsi="Courier New"/>
                <w:sz w:val="18"/>
                <w:szCs w:val="18"/>
                <w:color w:val="auto"/>
              </w:rPr>
              <w:t>Consent of Wolf, Block, Schorr and Solis-</w:t>
            </w:r>
          </w:p>
        </w:tc>
      </w:tr>
      <w:tr>
        <w:trPr>
          <w:trHeight w:val="203"/>
        </w:trPr>
        <w:tc>
          <w:tcPr>
            <w:tcW w:w="860" w:type="dxa"/>
            <w:vAlign w:val="bottom"/>
          </w:tcPr>
          <w:p>
            <w:pPr>
              <w:spacing w:after="0"/>
              <w:rPr>
                <w:sz w:val="17"/>
                <w:szCs w:val="17"/>
                <w:color w:val="auto"/>
              </w:rPr>
            </w:pPr>
          </w:p>
        </w:tc>
        <w:tc>
          <w:tcPr>
            <w:tcW w:w="62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Cohen (included in Exhibit 5.1).</w:t>
            </w:r>
          </w:p>
        </w:tc>
      </w:tr>
      <w:tr>
        <w:trPr>
          <w:trHeight w:val="405"/>
        </w:trPr>
        <w:tc>
          <w:tcPr>
            <w:tcW w:w="860" w:type="dxa"/>
            <w:vAlign w:val="bottom"/>
          </w:tcPr>
          <w:p>
            <w:pPr>
              <w:ind w:left="320"/>
              <w:spacing w:after="0"/>
              <w:rPr>
                <w:sz w:val="20"/>
                <w:szCs w:val="20"/>
                <w:color w:val="auto"/>
              </w:rPr>
            </w:pPr>
            <w:r>
              <w:rPr>
                <w:rFonts w:ascii="Courier New" w:cs="Courier New" w:eastAsia="Courier New" w:hAnsi="Courier New"/>
                <w:sz w:val="18"/>
                <w:szCs w:val="18"/>
                <w:color w:val="auto"/>
              </w:rPr>
              <w:t>23.7</w:t>
            </w:r>
          </w:p>
        </w:tc>
        <w:tc>
          <w:tcPr>
            <w:tcW w:w="6200" w:type="dxa"/>
            <w:vAlign w:val="bottom"/>
          </w:tcPr>
          <w:p>
            <w:pPr>
              <w:ind w:left="1580"/>
              <w:spacing w:after="0"/>
              <w:rPr>
                <w:sz w:val="20"/>
                <w:szCs w:val="20"/>
                <w:color w:val="auto"/>
              </w:rPr>
            </w:pPr>
            <w:r>
              <w:rPr>
                <w:rFonts w:ascii="Courier New" w:cs="Courier New" w:eastAsia="Courier New" w:hAnsi="Courier New"/>
                <w:sz w:val="18"/>
                <w:szCs w:val="18"/>
                <w:color w:val="auto"/>
              </w:rPr>
              <w:t>Consent of Pepper, Hamilton &amp; Scheetz</w:t>
            </w:r>
          </w:p>
        </w:tc>
      </w:tr>
      <w:tr>
        <w:trPr>
          <w:trHeight w:val="203"/>
        </w:trPr>
        <w:tc>
          <w:tcPr>
            <w:tcW w:w="860" w:type="dxa"/>
            <w:vAlign w:val="bottom"/>
          </w:tcPr>
          <w:p>
            <w:pPr>
              <w:spacing w:after="0"/>
              <w:rPr>
                <w:sz w:val="17"/>
                <w:szCs w:val="17"/>
                <w:color w:val="auto"/>
              </w:rPr>
            </w:pPr>
          </w:p>
        </w:tc>
        <w:tc>
          <w:tcPr>
            <w:tcW w:w="62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(included in Exhibit 5.2).</w:t>
            </w:r>
          </w:p>
        </w:tc>
      </w:tr>
      <w:tr>
        <w:trPr>
          <w:trHeight w:val="405"/>
        </w:trPr>
        <w:tc>
          <w:tcPr>
            <w:tcW w:w="860" w:type="dxa"/>
            <w:vAlign w:val="bottom"/>
          </w:tcPr>
          <w:p>
            <w:pPr>
              <w:ind w:left="320"/>
              <w:spacing w:after="0"/>
              <w:rPr>
                <w:sz w:val="20"/>
                <w:szCs w:val="20"/>
                <w:color w:val="auto"/>
              </w:rPr>
            </w:pPr>
            <w:r>
              <w:rPr>
                <w:rFonts w:ascii="Courier New" w:cs="Courier New" w:eastAsia="Courier New" w:hAnsi="Courier New"/>
                <w:sz w:val="18"/>
                <w:szCs w:val="18"/>
                <w:color w:val="auto"/>
              </w:rPr>
              <w:t>24.</w:t>
            </w:r>
          </w:p>
        </w:tc>
        <w:tc>
          <w:tcPr>
            <w:tcW w:w="6200" w:type="dxa"/>
            <w:vAlign w:val="bottom"/>
          </w:tcPr>
          <w:p>
            <w:pPr>
              <w:ind w:left="1580"/>
              <w:spacing w:after="0"/>
              <w:rPr>
                <w:sz w:val="20"/>
                <w:szCs w:val="20"/>
                <w:color w:val="auto"/>
              </w:rPr>
            </w:pPr>
            <w:r>
              <w:rPr>
                <w:rFonts w:ascii="Courier New" w:cs="Courier New" w:eastAsia="Courier New" w:hAnsi="Courier New"/>
                <w:sz w:val="18"/>
                <w:szCs w:val="18"/>
                <w:color w:val="auto"/>
                <w:w w:val="96"/>
              </w:rPr>
              <w:t>Power of Attorney (included on page II-11 of</w:t>
            </w:r>
          </w:p>
        </w:tc>
      </w:tr>
      <w:tr>
        <w:trPr>
          <w:trHeight w:val="203"/>
        </w:trPr>
        <w:tc>
          <w:tcPr>
            <w:tcW w:w="860" w:type="dxa"/>
            <w:vAlign w:val="bottom"/>
          </w:tcPr>
          <w:p>
            <w:pPr>
              <w:spacing w:after="0"/>
              <w:rPr>
                <w:sz w:val="17"/>
                <w:szCs w:val="17"/>
                <w:color w:val="auto"/>
              </w:rPr>
            </w:pPr>
          </w:p>
        </w:tc>
        <w:tc>
          <w:tcPr>
            <w:tcW w:w="62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this registration statement).</w:t>
            </w:r>
          </w:p>
        </w:tc>
      </w:tr>
      <w:tr>
        <w:trPr>
          <w:trHeight w:val="405"/>
        </w:trPr>
        <w:tc>
          <w:tcPr>
            <w:tcW w:w="860" w:type="dxa"/>
            <w:vAlign w:val="bottom"/>
          </w:tcPr>
          <w:p>
            <w:pPr>
              <w:ind w:left="320"/>
              <w:spacing w:after="0"/>
              <w:rPr>
                <w:sz w:val="20"/>
                <w:szCs w:val="20"/>
                <w:color w:val="auto"/>
              </w:rPr>
            </w:pPr>
            <w:r>
              <w:rPr>
                <w:rFonts w:ascii="Courier New" w:cs="Courier New" w:eastAsia="Courier New" w:hAnsi="Courier New"/>
                <w:sz w:val="18"/>
                <w:szCs w:val="18"/>
                <w:color w:val="auto"/>
              </w:rPr>
              <w:t>99.1</w:t>
            </w:r>
          </w:p>
        </w:tc>
        <w:tc>
          <w:tcPr>
            <w:tcW w:w="6200" w:type="dxa"/>
            <w:vAlign w:val="bottom"/>
          </w:tcPr>
          <w:p>
            <w:pPr>
              <w:ind w:left="1580"/>
              <w:spacing w:after="0"/>
              <w:rPr>
                <w:sz w:val="20"/>
                <w:szCs w:val="20"/>
                <w:color w:val="auto"/>
              </w:rPr>
            </w:pPr>
            <w:r>
              <w:rPr>
                <w:rFonts w:ascii="Courier New" w:cs="Courier New" w:eastAsia="Courier New" w:hAnsi="Courier New"/>
                <w:sz w:val="18"/>
                <w:szCs w:val="18"/>
                <w:color w:val="auto"/>
                <w:w w:val="99"/>
              </w:rPr>
              <w:t>Report of Independent Public Accountants to</w:t>
            </w:r>
          </w:p>
        </w:tc>
      </w:tr>
      <w:tr>
        <w:trPr>
          <w:trHeight w:val="203"/>
        </w:trPr>
        <w:tc>
          <w:tcPr>
            <w:tcW w:w="860" w:type="dxa"/>
            <w:vAlign w:val="bottom"/>
          </w:tcPr>
          <w:p>
            <w:pPr>
              <w:spacing w:after="0"/>
              <w:rPr>
                <w:sz w:val="17"/>
                <w:szCs w:val="17"/>
                <w:color w:val="auto"/>
              </w:rPr>
            </w:pPr>
          </w:p>
        </w:tc>
        <w:tc>
          <w:tcPr>
            <w:tcW w:w="62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QVC, Inc., as of December 31, 1995 and for</w:t>
            </w:r>
          </w:p>
        </w:tc>
      </w:tr>
      <w:tr>
        <w:trPr>
          <w:trHeight w:val="203"/>
        </w:trPr>
        <w:tc>
          <w:tcPr>
            <w:tcW w:w="860" w:type="dxa"/>
            <w:vAlign w:val="bottom"/>
          </w:tcPr>
          <w:p>
            <w:pPr>
              <w:spacing w:after="0"/>
              <w:rPr>
                <w:sz w:val="17"/>
                <w:szCs w:val="17"/>
                <w:color w:val="auto"/>
              </w:rPr>
            </w:pPr>
          </w:p>
        </w:tc>
        <w:tc>
          <w:tcPr>
            <w:tcW w:w="62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the eleven-month period then ended</w:t>
            </w:r>
          </w:p>
        </w:tc>
      </w:tr>
      <w:tr>
        <w:trPr>
          <w:trHeight w:val="203"/>
        </w:trPr>
        <w:tc>
          <w:tcPr>
            <w:tcW w:w="860" w:type="dxa"/>
            <w:vAlign w:val="bottom"/>
          </w:tcPr>
          <w:p>
            <w:pPr>
              <w:spacing w:after="0"/>
              <w:rPr>
                <w:sz w:val="17"/>
                <w:szCs w:val="17"/>
                <w:color w:val="auto"/>
              </w:rPr>
            </w:pPr>
          </w:p>
        </w:tc>
        <w:tc>
          <w:tcPr>
            <w:tcW w:w="62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(incorporated by reference to Exhibit 99.1</w:t>
            </w:r>
          </w:p>
        </w:tc>
      </w:tr>
      <w:tr>
        <w:trPr>
          <w:trHeight w:val="203"/>
        </w:trPr>
        <w:tc>
          <w:tcPr>
            <w:tcW w:w="860" w:type="dxa"/>
            <w:vAlign w:val="bottom"/>
          </w:tcPr>
          <w:p>
            <w:pPr>
              <w:spacing w:after="0"/>
              <w:rPr>
                <w:sz w:val="17"/>
                <w:szCs w:val="17"/>
                <w:color w:val="auto"/>
              </w:rPr>
            </w:pPr>
          </w:p>
        </w:tc>
        <w:tc>
          <w:tcPr>
            <w:tcW w:w="62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to the Registrant's Annual Report on Form</w:t>
            </w:r>
          </w:p>
        </w:tc>
      </w:tr>
      <w:tr>
        <w:trPr>
          <w:trHeight w:val="203"/>
        </w:trPr>
        <w:tc>
          <w:tcPr>
            <w:tcW w:w="860" w:type="dxa"/>
            <w:vAlign w:val="bottom"/>
          </w:tcPr>
          <w:p>
            <w:pPr>
              <w:spacing w:after="0"/>
              <w:rPr>
                <w:sz w:val="17"/>
                <w:szCs w:val="17"/>
                <w:color w:val="auto"/>
              </w:rPr>
            </w:pPr>
          </w:p>
        </w:tc>
        <w:tc>
          <w:tcPr>
            <w:tcW w:w="62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9"/>
              </w:rPr>
              <w:t>10-K for the year ended December 31, 1995).</w:t>
            </w:r>
          </w:p>
        </w:tc>
      </w:tr>
      <w:tr>
        <w:trPr>
          <w:trHeight w:val="405"/>
        </w:trPr>
        <w:tc>
          <w:tcPr>
            <w:tcW w:w="860" w:type="dxa"/>
            <w:vAlign w:val="bottom"/>
          </w:tcPr>
          <w:p>
            <w:pPr>
              <w:ind w:left="320"/>
              <w:spacing w:after="0"/>
              <w:rPr>
                <w:sz w:val="20"/>
                <w:szCs w:val="20"/>
                <w:color w:val="auto"/>
              </w:rPr>
            </w:pPr>
            <w:r>
              <w:rPr>
                <w:rFonts w:ascii="Courier New" w:cs="Courier New" w:eastAsia="Courier New" w:hAnsi="Courier New"/>
                <w:sz w:val="18"/>
                <w:szCs w:val="18"/>
                <w:color w:val="auto"/>
              </w:rPr>
              <w:t>99.2</w:t>
            </w:r>
          </w:p>
        </w:tc>
        <w:tc>
          <w:tcPr>
            <w:tcW w:w="6200" w:type="dxa"/>
            <w:vAlign w:val="bottom"/>
          </w:tcPr>
          <w:p>
            <w:pPr>
              <w:ind w:left="1580"/>
              <w:spacing w:after="0"/>
              <w:rPr>
                <w:sz w:val="20"/>
                <w:szCs w:val="20"/>
                <w:color w:val="auto"/>
              </w:rPr>
            </w:pPr>
            <w:r>
              <w:rPr>
                <w:rFonts w:ascii="Courier New" w:cs="Courier New" w:eastAsia="Courier New" w:hAnsi="Courier New"/>
                <w:sz w:val="18"/>
                <w:szCs w:val="18"/>
                <w:color w:val="auto"/>
                <w:w w:val="99"/>
              </w:rPr>
              <w:t>Report of Independent Public Accountants to</w:t>
            </w:r>
          </w:p>
        </w:tc>
      </w:tr>
      <w:tr>
        <w:trPr>
          <w:trHeight w:val="203"/>
        </w:trPr>
        <w:tc>
          <w:tcPr>
            <w:tcW w:w="860" w:type="dxa"/>
            <w:vAlign w:val="bottom"/>
          </w:tcPr>
          <w:p>
            <w:pPr>
              <w:spacing w:after="0"/>
              <w:rPr>
                <w:sz w:val="17"/>
                <w:szCs w:val="17"/>
                <w:color w:val="auto"/>
              </w:rPr>
            </w:pPr>
          </w:p>
        </w:tc>
        <w:tc>
          <w:tcPr>
            <w:tcW w:w="62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Garden State Cablevision L.P., as of</w:t>
            </w:r>
          </w:p>
        </w:tc>
      </w:tr>
      <w:tr>
        <w:trPr>
          <w:trHeight w:val="203"/>
        </w:trPr>
        <w:tc>
          <w:tcPr>
            <w:tcW w:w="860" w:type="dxa"/>
            <w:vAlign w:val="bottom"/>
          </w:tcPr>
          <w:p>
            <w:pPr>
              <w:spacing w:after="0"/>
              <w:rPr>
                <w:sz w:val="17"/>
                <w:szCs w:val="17"/>
                <w:color w:val="auto"/>
              </w:rPr>
            </w:pPr>
          </w:p>
        </w:tc>
        <w:tc>
          <w:tcPr>
            <w:tcW w:w="62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6"/>
              </w:rPr>
              <w:t>December 31, 1994 and 1993 and for the years</w:t>
            </w:r>
          </w:p>
        </w:tc>
      </w:tr>
      <w:tr>
        <w:trPr>
          <w:trHeight w:val="203"/>
        </w:trPr>
        <w:tc>
          <w:tcPr>
            <w:tcW w:w="860" w:type="dxa"/>
            <w:vAlign w:val="bottom"/>
          </w:tcPr>
          <w:p>
            <w:pPr>
              <w:spacing w:after="0"/>
              <w:rPr>
                <w:sz w:val="17"/>
                <w:szCs w:val="17"/>
                <w:color w:val="auto"/>
              </w:rPr>
            </w:pPr>
          </w:p>
        </w:tc>
        <w:tc>
          <w:tcPr>
            <w:tcW w:w="62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then ended (incorporated by reference to</w:t>
            </w:r>
          </w:p>
        </w:tc>
      </w:tr>
      <w:tr>
        <w:trPr>
          <w:trHeight w:val="203"/>
        </w:trPr>
        <w:tc>
          <w:tcPr>
            <w:tcW w:w="860" w:type="dxa"/>
            <w:vAlign w:val="bottom"/>
          </w:tcPr>
          <w:p>
            <w:pPr>
              <w:spacing w:after="0"/>
              <w:rPr>
                <w:sz w:val="17"/>
                <w:szCs w:val="17"/>
                <w:color w:val="auto"/>
              </w:rPr>
            </w:pPr>
          </w:p>
        </w:tc>
        <w:tc>
          <w:tcPr>
            <w:tcW w:w="62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Exhibit 99.2 to the Registrant's Annual</w:t>
            </w:r>
          </w:p>
        </w:tc>
      </w:tr>
      <w:tr>
        <w:trPr>
          <w:trHeight w:val="203"/>
        </w:trPr>
        <w:tc>
          <w:tcPr>
            <w:tcW w:w="860" w:type="dxa"/>
            <w:vAlign w:val="bottom"/>
          </w:tcPr>
          <w:p>
            <w:pPr>
              <w:spacing w:after="0"/>
              <w:rPr>
                <w:sz w:val="17"/>
                <w:szCs w:val="17"/>
                <w:color w:val="auto"/>
              </w:rPr>
            </w:pPr>
          </w:p>
        </w:tc>
        <w:tc>
          <w:tcPr>
            <w:tcW w:w="62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Report on Form 10-K for the year ended</w:t>
            </w:r>
          </w:p>
        </w:tc>
      </w:tr>
      <w:tr>
        <w:trPr>
          <w:trHeight w:val="203"/>
        </w:trPr>
        <w:tc>
          <w:tcPr>
            <w:tcW w:w="860" w:type="dxa"/>
            <w:vAlign w:val="bottom"/>
          </w:tcPr>
          <w:p>
            <w:pPr>
              <w:spacing w:after="0"/>
              <w:rPr>
                <w:sz w:val="17"/>
                <w:szCs w:val="17"/>
                <w:color w:val="auto"/>
              </w:rPr>
            </w:pPr>
          </w:p>
        </w:tc>
        <w:tc>
          <w:tcPr>
            <w:tcW w:w="62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December 31, 1995).</w:t>
            </w:r>
          </w:p>
        </w:tc>
      </w:tr>
      <w:tr>
        <w:trPr>
          <w:trHeight w:val="405"/>
        </w:trPr>
        <w:tc>
          <w:tcPr>
            <w:tcW w:w="860" w:type="dxa"/>
            <w:vAlign w:val="bottom"/>
          </w:tcPr>
          <w:p>
            <w:pPr>
              <w:ind w:left="320"/>
              <w:spacing w:after="0"/>
              <w:rPr>
                <w:sz w:val="20"/>
                <w:szCs w:val="20"/>
                <w:color w:val="auto"/>
              </w:rPr>
            </w:pPr>
            <w:r>
              <w:rPr>
                <w:rFonts w:ascii="Courier New" w:cs="Courier New" w:eastAsia="Courier New" w:hAnsi="Courier New"/>
                <w:sz w:val="18"/>
                <w:szCs w:val="18"/>
                <w:color w:val="auto"/>
              </w:rPr>
              <w:t>99.3</w:t>
            </w:r>
          </w:p>
        </w:tc>
        <w:tc>
          <w:tcPr>
            <w:tcW w:w="6200" w:type="dxa"/>
            <w:vAlign w:val="bottom"/>
          </w:tcPr>
          <w:p>
            <w:pPr>
              <w:ind w:left="1580"/>
              <w:spacing w:after="0"/>
              <w:rPr>
                <w:sz w:val="20"/>
                <w:szCs w:val="20"/>
                <w:color w:val="auto"/>
              </w:rPr>
            </w:pPr>
            <w:r>
              <w:rPr>
                <w:rFonts w:ascii="Courier New" w:cs="Courier New" w:eastAsia="Courier New" w:hAnsi="Courier New"/>
                <w:sz w:val="18"/>
                <w:szCs w:val="18"/>
                <w:color w:val="auto"/>
                <w:w w:val="99"/>
              </w:rPr>
              <w:t>Report of Independent Public Accountants to</w:t>
            </w:r>
          </w:p>
        </w:tc>
      </w:tr>
      <w:tr>
        <w:trPr>
          <w:trHeight w:val="203"/>
        </w:trPr>
        <w:tc>
          <w:tcPr>
            <w:tcW w:w="860" w:type="dxa"/>
            <w:vAlign w:val="bottom"/>
          </w:tcPr>
          <w:p>
            <w:pPr>
              <w:spacing w:after="0"/>
              <w:rPr>
                <w:sz w:val="17"/>
                <w:szCs w:val="17"/>
                <w:color w:val="auto"/>
              </w:rPr>
            </w:pPr>
          </w:p>
        </w:tc>
        <w:tc>
          <w:tcPr>
            <w:tcW w:w="62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9"/>
              </w:rPr>
              <w:t>Comcast International Holdings, Inc., as of</w:t>
            </w:r>
          </w:p>
        </w:tc>
      </w:tr>
      <w:tr>
        <w:trPr>
          <w:trHeight w:val="203"/>
        </w:trPr>
        <w:tc>
          <w:tcPr>
            <w:tcW w:w="860" w:type="dxa"/>
            <w:vAlign w:val="bottom"/>
          </w:tcPr>
          <w:p>
            <w:pPr>
              <w:spacing w:after="0"/>
              <w:rPr>
                <w:sz w:val="17"/>
                <w:szCs w:val="17"/>
                <w:color w:val="auto"/>
              </w:rPr>
            </w:pPr>
          </w:p>
        </w:tc>
        <w:tc>
          <w:tcPr>
            <w:tcW w:w="62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6"/>
              </w:rPr>
              <w:t>December 31, 1994 and 1993 and for the years</w:t>
            </w:r>
          </w:p>
        </w:tc>
      </w:tr>
      <w:tr>
        <w:trPr>
          <w:trHeight w:val="203"/>
        </w:trPr>
        <w:tc>
          <w:tcPr>
            <w:tcW w:w="860" w:type="dxa"/>
            <w:vAlign w:val="bottom"/>
          </w:tcPr>
          <w:p>
            <w:pPr>
              <w:spacing w:after="0"/>
              <w:rPr>
                <w:sz w:val="17"/>
                <w:szCs w:val="17"/>
                <w:color w:val="auto"/>
              </w:rPr>
            </w:pPr>
          </w:p>
        </w:tc>
        <w:tc>
          <w:tcPr>
            <w:tcW w:w="62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then ended (incorporated by reference to</w:t>
            </w:r>
          </w:p>
        </w:tc>
      </w:tr>
      <w:tr>
        <w:trPr>
          <w:trHeight w:val="203"/>
        </w:trPr>
        <w:tc>
          <w:tcPr>
            <w:tcW w:w="860" w:type="dxa"/>
            <w:vAlign w:val="bottom"/>
          </w:tcPr>
          <w:p>
            <w:pPr>
              <w:spacing w:after="0"/>
              <w:rPr>
                <w:sz w:val="17"/>
                <w:szCs w:val="17"/>
                <w:color w:val="auto"/>
              </w:rPr>
            </w:pPr>
          </w:p>
        </w:tc>
        <w:tc>
          <w:tcPr>
            <w:tcW w:w="62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Exhibit 99.3 to the Registrant's Annual</w:t>
            </w:r>
          </w:p>
        </w:tc>
      </w:tr>
      <w:tr>
        <w:trPr>
          <w:trHeight w:val="203"/>
        </w:trPr>
        <w:tc>
          <w:tcPr>
            <w:tcW w:w="860" w:type="dxa"/>
            <w:vAlign w:val="bottom"/>
          </w:tcPr>
          <w:p>
            <w:pPr>
              <w:spacing w:after="0"/>
              <w:rPr>
                <w:sz w:val="17"/>
                <w:szCs w:val="17"/>
                <w:color w:val="auto"/>
              </w:rPr>
            </w:pPr>
          </w:p>
        </w:tc>
        <w:tc>
          <w:tcPr>
            <w:tcW w:w="62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Report on Form 10-K for the year ended</w:t>
            </w:r>
          </w:p>
        </w:tc>
      </w:tr>
      <w:tr>
        <w:trPr>
          <w:trHeight w:val="203"/>
        </w:trPr>
        <w:tc>
          <w:tcPr>
            <w:tcW w:w="860" w:type="dxa"/>
            <w:vAlign w:val="bottom"/>
          </w:tcPr>
          <w:p>
            <w:pPr>
              <w:spacing w:after="0"/>
              <w:rPr>
                <w:sz w:val="17"/>
                <w:szCs w:val="17"/>
                <w:color w:val="auto"/>
              </w:rPr>
            </w:pPr>
          </w:p>
        </w:tc>
        <w:tc>
          <w:tcPr>
            <w:tcW w:w="62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December 31, 1994).</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6200" w:type="dxa"/>
            <w:vAlign w:val="bottom"/>
          </w:tcPr>
          <w:p>
            <w:pPr>
              <w:ind w:left="100"/>
              <w:spacing w:after="0"/>
              <w:rPr>
                <w:sz w:val="20"/>
                <w:szCs w:val="20"/>
                <w:color w:val="auto"/>
              </w:rPr>
            </w:pPr>
            <w:r>
              <w:rPr>
                <w:rFonts w:ascii="Courier New" w:cs="Courier New" w:eastAsia="Courier New" w:hAnsi="Courier New"/>
                <w:sz w:val="18"/>
                <w:szCs w:val="18"/>
                <w:color w:val="auto"/>
              </w:rPr>
              <w:t>Undertakings.</w:t>
            </w:r>
          </w:p>
        </w:tc>
      </w:tr>
      <w:tr>
        <w:trPr>
          <w:trHeight w:val="203"/>
        </w:trPr>
        <w:tc>
          <w:tcPr>
            <w:tcW w:w="860" w:type="dxa"/>
            <w:vAlign w:val="bottom"/>
          </w:tcPr>
          <w:p>
            <w:pPr>
              <w:spacing w:after="0"/>
              <w:rPr>
                <w:sz w:val="17"/>
                <w:szCs w:val="17"/>
                <w:color w:val="auto"/>
              </w:rPr>
            </w:pPr>
          </w:p>
        </w:tc>
        <w:tc>
          <w:tcPr>
            <w:tcW w:w="6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480" w:hanging="524"/>
        <w:spacing w:after="0"/>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right="2519" w:firstLine="1483"/>
        <w:spacing w:after="0" w:line="290" w:lineRule="auto"/>
        <w:tabs>
          <w:tab w:leader="none" w:pos="1896"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366" w:lineRule="exact"/>
        <w:rPr>
          <w:rFonts w:ascii="Courier New" w:cs="Courier New" w:eastAsia="Courier New" w:hAnsi="Courier New"/>
          <w:sz w:val="16"/>
          <w:szCs w:val="16"/>
          <w:color w:val="auto"/>
        </w:rPr>
      </w:pPr>
    </w:p>
    <w:p>
      <w:pPr>
        <w:ind w:left="2540" w:hanging="636"/>
        <w:spacing w:after="0"/>
        <w:tabs>
          <w:tab w:leader="none" w:pos="254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10(a)(3) of the Securities Act of 1933, as amended (the "1933 Act");</w:t>
      </w:r>
    </w:p>
    <w:p>
      <w:pPr>
        <w:spacing w:after="0" w:line="207" w:lineRule="exact"/>
        <w:rPr>
          <w:rFonts w:ascii="Courier New" w:cs="Courier New" w:eastAsia="Courier New" w:hAnsi="Courier New"/>
          <w:sz w:val="18"/>
          <w:szCs w:val="18"/>
          <w:color w:val="auto"/>
        </w:rPr>
      </w:pPr>
    </w:p>
    <w:p>
      <w:pPr>
        <w:ind w:right="2419" w:firstLine="1904"/>
        <w:spacing w:after="0" w:line="237" w:lineRule="auto"/>
        <w:tabs>
          <w:tab w:leader="none" w:pos="2528"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II-9</w:t>
      </w:r>
    </w:p>
    <w:p>
      <w:pPr>
        <w:sectPr>
          <w:pgSz w:w="11900" w:h="16838" w:orient="portrait"/>
          <w:cols w:equalWidth="0" w:num="1">
            <w:col w:w="10219"/>
          </w:cols>
          <w:pgMar w:left="240" w:top="717" w:right="1440" w:bottom="1440" w:gutter="0" w:footer="0" w:header="0"/>
        </w:sectPr>
      </w:pPr>
    </w:p>
    <w:bookmarkStart w:id="20" w:name="page21"/>
    <w:bookmarkEnd w:id="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ind w:left="-956" w:right="2519" w:firstLine="1904"/>
        <w:spacing w:after="0" w:line="271" w:lineRule="auto"/>
        <w:tabs>
          <w:tab w:leader="none" w:pos="1572" w:val="left"/>
        </w:tabs>
        <w:numPr>
          <w:ilvl w:val="2"/>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this registration statement or any material change to such information in this registration statement; provided, however, that paragraphs (a)(1)(i) and (a)(1)(ii) do not apply, if the information required to be included in a post-effective amendment by those paragraphs is contained in periodic reports filed by the Registrant pursuant to Section 13 or 15(d) of the 1934 Act that are incorporated by reference in this registration statement.</w:t>
      </w:r>
    </w:p>
    <w:p>
      <w:pPr>
        <w:spacing w:after="0" w:line="185" w:lineRule="exact"/>
        <w:rPr>
          <w:rFonts w:ascii="Courier New" w:cs="Courier New" w:eastAsia="Courier New" w:hAnsi="Courier New"/>
          <w:sz w:val="16"/>
          <w:szCs w:val="16"/>
          <w:color w:val="auto"/>
        </w:rPr>
      </w:pPr>
    </w:p>
    <w:p>
      <w:pPr>
        <w:ind w:left="-956" w:right="2419" w:firstLine="1483"/>
        <w:spacing w:after="0" w:line="237" w:lineRule="auto"/>
        <w:tabs>
          <w:tab w:leader="none" w:pos="9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1933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956" w:right="2419" w:firstLine="1483"/>
        <w:spacing w:after="0" w:line="236" w:lineRule="auto"/>
        <w:tabs>
          <w:tab w:leader="none" w:pos="9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956" w:right="2419" w:firstLine="956"/>
        <w:spacing w:after="0" w:line="237" w:lineRule="auto"/>
        <w:tabs>
          <w:tab w:leader="none" w:pos="51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1933 Act, each filing of the Registrant's annual report pursuant to Section 13(a) or 15(d) of the 1934 Act (and, where applicable, each filing of an employee benefit plan's annual report pursuant to Section 15(d) of the 1934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4" w:lineRule="exact"/>
        <w:rPr>
          <w:sz w:val="20"/>
          <w:szCs w:val="20"/>
          <w:color w:val="auto"/>
        </w:rPr>
      </w:pPr>
    </w:p>
    <w:p>
      <w:pPr>
        <w:ind w:left="-956" w:right="2419" w:firstLine="956"/>
        <w:spacing w:after="0" w:line="238" w:lineRule="auto"/>
        <w:tabs>
          <w:tab w:leader="none" w:pos="51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1933 Act may be permitted to directors, officers and controlling persons of the Registrant pursuant to the foregoing provisions, or otherwise, the Registrant has been advised that in the opinion of the Commission such indemnification is against public policy as expressed in the 1933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1933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524"/>
        <w:spacing w:after="0"/>
        <w:rPr>
          <w:sz w:val="20"/>
          <w:szCs w:val="20"/>
          <w:color w:val="auto"/>
        </w:rPr>
      </w:pPr>
      <w:r>
        <w:rPr>
          <w:rFonts w:ascii="Courier New" w:cs="Courier New" w:eastAsia="Courier New" w:hAnsi="Courier New"/>
          <w:sz w:val="18"/>
          <w:szCs w:val="18"/>
          <w:color w:val="auto"/>
        </w:rPr>
        <w:t>II-10</w:t>
      </w:r>
    </w:p>
    <w:p>
      <w:pPr>
        <w:sectPr>
          <w:pgSz w:w="11900" w:h="16838" w:orient="portrait"/>
          <w:cols w:equalWidth="0" w:num="1">
            <w:col w:w="9263"/>
          </w:cols>
          <w:pgMar w:left="1196" w:top="723" w:right="1440" w:bottom="1440" w:gutter="0" w:footer="0" w:header="0"/>
        </w:sectPr>
      </w:pPr>
    </w:p>
    <w:bookmarkStart w:id="22" w:name="page23"/>
    <w:bookmarkEnd w:id="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ind w:left="2320"/>
        <w:spacing w:after="0"/>
        <w:rPr>
          <w:sz w:val="20"/>
          <w:szCs w:val="20"/>
          <w:color w:val="auto"/>
        </w:rPr>
      </w:pPr>
      <w:r>
        <w:rPr>
          <w:rFonts w:ascii="Courier New" w:cs="Courier New" w:eastAsia="Courier New" w:hAnsi="Courier New"/>
          <w:sz w:val="18"/>
          <w:szCs w:val="18"/>
          <w:color w:val="auto"/>
        </w:rPr>
        <w:t>SIGNATURES AND POWER OF ATTORNEY</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Philadelphia, Pennsylvania, on December 20, 1996.</w:t>
      </w: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2960"/>
        <w:spacing w:after="0"/>
        <w:tabs>
          <w:tab w:leader="none" w:pos="3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BRIAN L. ROBERTS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Brian L. Roberts</w:t>
      </w:r>
    </w:p>
    <w:p>
      <w:pPr>
        <w:ind w:left="3480"/>
        <w:spacing w:after="0" w:line="237" w:lineRule="auto"/>
        <w:rPr>
          <w:sz w:val="20"/>
          <w:szCs w:val="20"/>
          <w:color w:val="auto"/>
        </w:rPr>
      </w:pPr>
      <w:r>
        <w:rPr>
          <w:rFonts w:ascii="Courier New" w:cs="Courier New" w:eastAsia="Courier New" w:hAnsi="Courier New"/>
          <w:sz w:val="18"/>
          <w:szCs w:val="18"/>
          <w:color w:val="auto"/>
        </w:rPr>
        <w:t>President and Director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MEN BY THESE PRESENTS, that each person whose signature appears</w:t>
      </w:r>
    </w:p>
    <w:p>
      <w:pPr>
        <w:spacing w:after="0" w:line="238" w:lineRule="auto"/>
        <w:rPr>
          <w:sz w:val="20"/>
          <w:szCs w:val="20"/>
          <w:color w:val="auto"/>
        </w:rPr>
      </w:pPr>
      <w:r>
        <w:rPr>
          <w:rFonts w:ascii="Courier New" w:cs="Courier New" w:eastAsia="Courier New" w:hAnsi="Courier New"/>
          <w:sz w:val="18"/>
          <w:szCs w:val="18"/>
          <w:color w:val="auto"/>
        </w:rPr>
        <w:t>below constitutes and appoints Ralph J. Roberts, Brian L. Roberts,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Julian A. Brodsky, Stanley Wang and Arthur R. Block, and each of them,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undersigned's true and lawful attorneys-in-fact and agents, with full</w:t>
      </w:r>
    </w:p>
    <w:p>
      <w:pPr>
        <w:spacing w:after="0" w:line="238" w:lineRule="auto"/>
        <w:rPr>
          <w:sz w:val="20"/>
          <w:szCs w:val="20"/>
          <w:color w:val="auto"/>
        </w:rPr>
      </w:pPr>
      <w:r>
        <w:rPr>
          <w:rFonts w:ascii="Courier New" w:cs="Courier New" w:eastAsia="Courier New" w:hAnsi="Courier New"/>
          <w:sz w:val="18"/>
          <w:szCs w:val="18"/>
          <w:color w:val="auto"/>
        </w:rPr>
        <w:t>power of substitution and resubstitution, for the undersigned and in the</w:t>
      </w:r>
    </w:p>
    <w:p>
      <w:pPr>
        <w:spacing w:after="0"/>
        <w:rPr>
          <w:sz w:val="20"/>
          <w:szCs w:val="20"/>
          <w:color w:val="auto"/>
        </w:rPr>
      </w:pPr>
      <w:r>
        <w:rPr>
          <w:rFonts w:ascii="Courier New" w:cs="Courier New" w:eastAsia="Courier New" w:hAnsi="Courier New"/>
          <w:sz w:val="18"/>
          <w:szCs w:val="18"/>
          <w:color w:val="auto"/>
        </w:rPr>
        <w:t>undersigned's name, place and stead, in any and all capacities, to sign</w:t>
      </w:r>
    </w:p>
    <w:p>
      <w:pPr>
        <w:spacing w:after="0" w:line="237" w:lineRule="auto"/>
        <w:rPr>
          <w:sz w:val="20"/>
          <w:szCs w:val="20"/>
          <w:color w:val="auto"/>
        </w:rPr>
      </w:pPr>
      <w:r>
        <w:rPr>
          <w:rFonts w:ascii="Courier New" w:cs="Courier New" w:eastAsia="Courier New" w:hAnsi="Courier New"/>
          <w:sz w:val="18"/>
          <w:szCs w:val="18"/>
          <w:color w:val="auto"/>
        </w:rPr>
        <w:t>any and all amendments (including post-effective amendments) to this</w:t>
      </w:r>
    </w:p>
    <w:p>
      <w:pPr>
        <w:spacing w:after="0" w:line="238" w:lineRule="auto"/>
        <w:rPr>
          <w:sz w:val="20"/>
          <w:szCs w:val="20"/>
          <w:color w:val="auto"/>
        </w:rPr>
      </w:pPr>
      <w:r>
        <w:rPr>
          <w:rFonts w:ascii="Courier New" w:cs="Courier New" w:eastAsia="Courier New" w:hAnsi="Courier New"/>
          <w:sz w:val="18"/>
          <w:szCs w:val="18"/>
          <w:color w:val="auto"/>
        </w:rPr>
        <w:t>registration statement, and to file the same, with all exhibits thereto,</w:t>
      </w:r>
    </w:p>
    <w:p>
      <w:pPr>
        <w:spacing w:after="0"/>
        <w:rPr>
          <w:sz w:val="20"/>
          <w:szCs w:val="20"/>
          <w:color w:val="auto"/>
        </w:rPr>
      </w:pPr>
      <w:r>
        <w:rPr>
          <w:rFonts w:ascii="Courier New" w:cs="Courier New" w:eastAsia="Courier New" w:hAnsi="Courier New"/>
          <w:sz w:val="18"/>
          <w:szCs w:val="18"/>
          <w:color w:val="auto"/>
        </w:rPr>
        <w:t>and other documents in connection therewith, with the Securities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Commission, granting unto said attorneys-in-fact and agents,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each of them, full power and authority to do and perform each and every</w:t>
      </w:r>
    </w:p>
    <w:p>
      <w:pPr>
        <w:spacing w:after="0" w:line="238" w:lineRule="auto"/>
        <w:rPr>
          <w:sz w:val="20"/>
          <w:szCs w:val="20"/>
          <w:color w:val="auto"/>
        </w:rPr>
      </w:pPr>
      <w:r>
        <w:rPr>
          <w:rFonts w:ascii="Courier New" w:cs="Courier New" w:eastAsia="Courier New" w:hAnsi="Courier New"/>
          <w:sz w:val="18"/>
          <w:szCs w:val="18"/>
          <w:color w:val="auto"/>
        </w:rPr>
        <w:t>act and thing requisite and necessary to be done in and about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premises, as fully to all intents and purposes as the undersigned might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could do in person, hereby ratifying and confirming all that said</w:t>
      </w:r>
    </w:p>
    <w:p>
      <w:pPr>
        <w:spacing w:after="0" w:line="238" w:lineRule="auto"/>
        <w:rPr>
          <w:sz w:val="20"/>
          <w:szCs w:val="20"/>
          <w:color w:val="auto"/>
        </w:rPr>
      </w:pPr>
      <w:r>
        <w:rPr>
          <w:rFonts w:ascii="Courier New" w:cs="Courier New" w:eastAsia="Courier New" w:hAnsi="Courier New"/>
          <w:sz w:val="18"/>
          <w:szCs w:val="18"/>
          <w:color w:val="auto"/>
        </w:rPr>
        <w:t>attorneys-in-fact and agents or any of them, or their substitute or</w:t>
      </w:r>
    </w:p>
    <w:p>
      <w:pPr>
        <w:spacing w:after="0"/>
        <w:rPr>
          <w:sz w:val="20"/>
          <w:szCs w:val="20"/>
          <w:color w:val="auto"/>
        </w:rPr>
      </w:pPr>
      <w:r>
        <w:rPr>
          <w:rFonts w:ascii="Courier New" w:cs="Courier New" w:eastAsia="Courier New" w:hAnsi="Courier New"/>
          <w:sz w:val="18"/>
          <w:szCs w:val="18"/>
          <w:color w:val="auto"/>
        </w:rPr>
        <w:t>substitutes, may lawfully do or cause to be done by virtue hereof.</w:t>
      </w:r>
    </w:p>
    <w:p>
      <w:pPr>
        <w:spacing w:after="0" w:line="206"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as amended, this registration statement has been signed below by the following persons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1740" w:type="dxa"/>
            <w:vAlign w:val="bottom"/>
          </w:tcPr>
          <w:p>
            <w:pPr>
              <w:ind w:left="620"/>
              <w:spacing w:after="0"/>
              <w:rPr>
                <w:sz w:val="20"/>
                <w:szCs w:val="20"/>
                <w:color w:val="auto"/>
              </w:rPr>
            </w:pPr>
            <w:r>
              <w:rPr>
                <w:rFonts w:ascii="Courier New" w:cs="Courier New" w:eastAsia="Courier New" w:hAnsi="Courier New"/>
                <w:sz w:val="18"/>
                <w:szCs w:val="18"/>
                <w:color w:val="auto"/>
              </w:rPr>
              <w:t>Title(s)</w:t>
            </w:r>
          </w:p>
        </w:tc>
        <w:tc>
          <w:tcPr>
            <w:tcW w:w="1140" w:type="dxa"/>
            <w:vAlign w:val="bottom"/>
          </w:tcPr>
          <w:p>
            <w:pPr>
              <w:spacing w:after="0"/>
              <w:rPr>
                <w:sz w:val="17"/>
                <w:szCs w:val="17"/>
                <w:color w:val="auto"/>
              </w:rPr>
            </w:pPr>
          </w:p>
        </w:tc>
        <w:tc>
          <w:tcPr>
            <w:tcW w:w="2060" w:type="dxa"/>
            <w:vAlign w:val="bottom"/>
          </w:tcPr>
          <w:p>
            <w:pPr>
              <w:ind w:left="28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spacing w:after="0"/>
              <w:rPr>
                <w:sz w:val="17"/>
                <w:szCs w:val="17"/>
                <w:color w:val="auto"/>
              </w:rPr>
            </w:pPr>
          </w:p>
        </w:tc>
        <w:tc>
          <w:tcPr>
            <w:tcW w:w="20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RALPH J. ROBERTS</w:t>
            </w:r>
          </w:p>
        </w:tc>
        <w:tc>
          <w:tcPr>
            <w:tcW w:w="1740" w:type="dxa"/>
            <w:vAlign w:val="bottom"/>
          </w:tcPr>
          <w:p>
            <w:pPr>
              <w:ind w:left="100"/>
              <w:spacing w:after="0"/>
              <w:rPr>
                <w:sz w:val="20"/>
                <w:szCs w:val="20"/>
                <w:color w:val="auto"/>
              </w:rPr>
            </w:pPr>
            <w:r>
              <w:rPr>
                <w:rFonts w:ascii="Courier New" w:cs="Courier New" w:eastAsia="Courier New" w:hAnsi="Courier New"/>
                <w:sz w:val="18"/>
                <w:szCs w:val="18"/>
                <w:color w:val="auto"/>
                <w:w w:val="99"/>
              </w:rPr>
              <w:t>Chairman of the</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rPr>
              <w:t>Board</w:t>
            </w:r>
          </w:p>
        </w:tc>
        <w:tc>
          <w:tcPr>
            <w:tcW w:w="2060" w:type="dxa"/>
            <w:vAlign w:val="bottom"/>
          </w:tcPr>
          <w:p>
            <w:pPr>
              <w:ind w:left="280"/>
              <w:spacing w:after="0"/>
              <w:rPr>
                <w:sz w:val="20"/>
                <w:szCs w:val="20"/>
                <w:color w:val="auto"/>
              </w:rPr>
            </w:pPr>
            <w:r>
              <w:rPr>
                <w:rFonts w:ascii="Courier New" w:cs="Courier New" w:eastAsia="Courier New" w:hAnsi="Courier New"/>
                <w:sz w:val="18"/>
                <w:szCs w:val="18"/>
                <w:color w:val="auto"/>
                <w:w w:val="95"/>
              </w:rPr>
              <w:t>December 20, 1996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of Directors;</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c>
          <w:tcPr>
            <w:tcW w:w="206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Ralph J. Roberts</w:t>
            </w:r>
          </w:p>
        </w:tc>
        <w:tc>
          <w:tcPr>
            <w:tcW w:w="1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JULIAN A. BRODSKY</w:t>
            </w:r>
          </w:p>
        </w:tc>
        <w:tc>
          <w:tcPr>
            <w:tcW w:w="28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Vice Chairman of the</w:t>
            </w:r>
          </w:p>
        </w:tc>
        <w:tc>
          <w:tcPr>
            <w:tcW w:w="2060" w:type="dxa"/>
            <w:vAlign w:val="bottom"/>
          </w:tcPr>
          <w:p>
            <w:pPr>
              <w:ind w:left="280"/>
              <w:spacing w:after="0"/>
              <w:rPr>
                <w:sz w:val="20"/>
                <w:szCs w:val="20"/>
                <w:color w:val="auto"/>
              </w:rPr>
            </w:pPr>
            <w:r>
              <w:rPr>
                <w:rFonts w:ascii="Courier New" w:cs="Courier New" w:eastAsia="Courier New" w:hAnsi="Courier New"/>
                <w:sz w:val="18"/>
                <w:szCs w:val="18"/>
                <w:color w:val="auto"/>
                <w:w w:val="95"/>
              </w:rPr>
              <w:t>December 20, 1996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8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Board of Directors;</w:t>
            </w:r>
          </w:p>
        </w:tc>
        <w:tc>
          <w:tcPr>
            <w:tcW w:w="206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Julian A. Brodsky</w:t>
            </w: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1140" w:type="dxa"/>
            <w:vAlign w:val="bottom"/>
          </w:tcPr>
          <w:p>
            <w:pPr>
              <w:spacing w:after="0"/>
              <w:rPr>
                <w:sz w:val="17"/>
                <w:szCs w:val="17"/>
                <w:color w:val="auto"/>
              </w:rPr>
            </w:pPr>
          </w:p>
        </w:tc>
        <w:tc>
          <w:tcPr>
            <w:tcW w:w="20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II-11</w:t>
      </w:r>
    </w:p>
    <w:p>
      <w:pPr>
        <w:sectPr>
          <w:pgSz w:w="11900" w:h="16838" w:orient="portrait"/>
          <w:cols w:equalWidth="0" w:num="1">
            <w:col w:w="10219"/>
          </w:cols>
          <w:pgMar w:left="240" w:top="717"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2880" w:type="dxa"/>
            <w:vAlign w:val="bottom"/>
          </w:tcPr>
          <w:p>
            <w:pPr>
              <w:ind w:left="620"/>
              <w:spacing w:after="0"/>
              <w:rPr>
                <w:sz w:val="20"/>
                <w:szCs w:val="20"/>
                <w:color w:val="auto"/>
              </w:rPr>
            </w:pPr>
            <w:r>
              <w:rPr>
                <w:rFonts w:ascii="Courier New" w:cs="Courier New" w:eastAsia="Courier New" w:hAnsi="Courier New"/>
                <w:sz w:val="18"/>
                <w:szCs w:val="18"/>
                <w:color w:val="auto"/>
              </w:rPr>
              <w:t>Title(s)</w:t>
            </w:r>
          </w:p>
        </w:tc>
        <w:tc>
          <w:tcPr>
            <w:tcW w:w="2060" w:type="dxa"/>
            <w:vAlign w:val="bottom"/>
          </w:tcPr>
          <w:p>
            <w:pPr>
              <w:ind w:left="28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8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2860" w:type="dxa"/>
            <w:vAlign w:val="bottom"/>
          </w:tcPr>
          <w:p>
            <w:pPr>
              <w:spacing w:after="0"/>
              <w:rPr>
                <w:sz w:val="20"/>
                <w:szCs w:val="20"/>
                <w:color w:val="auto"/>
              </w:rPr>
            </w:pPr>
            <w:r>
              <w:rPr>
                <w:rFonts w:ascii="Courier New" w:cs="Courier New" w:eastAsia="Courier New" w:hAnsi="Courier New"/>
                <w:sz w:val="18"/>
                <w:szCs w:val="18"/>
                <w:color w:val="auto"/>
              </w:rPr>
              <w:t>BRIAN L. ROBERTS</w:t>
            </w:r>
          </w:p>
        </w:tc>
        <w:tc>
          <w:tcPr>
            <w:tcW w:w="2880" w:type="dxa"/>
            <w:vAlign w:val="bottom"/>
          </w:tcPr>
          <w:p>
            <w:pPr>
              <w:ind w:left="100"/>
              <w:spacing w:after="0"/>
              <w:rPr>
                <w:sz w:val="20"/>
                <w:szCs w:val="20"/>
                <w:color w:val="auto"/>
              </w:rPr>
            </w:pPr>
            <w:r>
              <w:rPr>
                <w:rFonts w:ascii="Courier New" w:cs="Courier New" w:eastAsia="Courier New" w:hAnsi="Courier New"/>
                <w:sz w:val="18"/>
                <w:szCs w:val="18"/>
                <w:color w:val="auto"/>
              </w:rPr>
              <w:t>President; Director</w:t>
            </w:r>
          </w:p>
        </w:tc>
        <w:tc>
          <w:tcPr>
            <w:tcW w:w="2060" w:type="dxa"/>
            <w:vAlign w:val="bottom"/>
          </w:tcPr>
          <w:p>
            <w:pPr>
              <w:ind w:left="280"/>
              <w:spacing w:after="0"/>
              <w:rPr>
                <w:sz w:val="20"/>
                <w:szCs w:val="20"/>
                <w:color w:val="auto"/>
              </w:rPr>
            </w:pPr>
            <w:r>
              <w:rPr>
                <w:rFonts w:ascii="Courier New" w:cs="Courier New" w:eastAsia="Courier New" w:hAnsi="Courier New"/>
                <w:sz w:val="18"/>
                <w:szCs w:val="18"/>
                <w:color w:val="auto"/>
                <w:w w:val="95"/>
              </w:rPr>
              <w:t>December 20, 1996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8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(Principal Executive</w:t>
            </w:r>
          </w:p>
        </w:tc>
        <w:tc>
          <w:tcPr>
            <w:tcW w:w="206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Brian L. Roberts</w:t>
            </w:r>
          </w:p>
        </w:tc>
        <w:tc>
          <w:tcPr>
            <w:tcW w:w="2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Officer)</w:t>
            </w:r>
          </w:p>
        </w:tc>
        <w:tc>
          <w:tcPr>
            <w:tcW w:w="2060" w:type="dxa"/>
            <w:vAlign w:val="bottom"/>
          </w:tcPr>
          <w:p>
            <w:pPr>
              <w:spacing w:after="0"/>
              <w:rPr>
                <w:sz w:val="17"/>
                <w:szCs w:val="17"/>
                <w:color w:val="auto"/>
              </w:rPr>
            </w:pP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LAWRENCE S. SMITH</w:t>
            </w:r>
          </w:p>
        </w:tc>
        <w:tc>
          <w:tcPr>
            <w:tcW w:w="2880" w:type="dxa"/>
            <w:vAlign w:val="bottom"/>
          </w:tcPr>
          <w:p>
            <w:pPr>
              <w:ind w:left="100"/>
              <w:spacing w:after="0"/>
              <w:rPr>
                <w:sz w:val="20"/>
                <w:szCs w:val="20"/>
                <w:color w:val="auto"/>
              </w:rPr>
            </w:pPr>
            <w:r>
              <w:rPr>
                <w:rFonts w:ascii="Courier New" w:cs="Courier New" w:eastAsia="Courier New" w:hAnsi="Courier New"/>
                <w:sz w:val="18"/>
                <w:szCs w:val="18"/>
                <w:color w:val="auto"/>
              </w:rPr>
              <w:t>Executive Vice President</w:t>
            </w:r>
          </w:p>
        </w:tc>
        <w:tc>
          <w:tcPr>
            <w:tcW w:w="2060" w:type="dxa"/>
            <w:vAlign w:val="bottom"/>
          </w:tcPr>
          <w:p>
            <w:pPr>
              <w:ind w:left="280"/>
              <w:spacing w:after="0"/>
              <w:rPr>
                <w:sz w:val="20"/>
                <w:szCs w:val="20"/>
                <w:color w:val="auto"/>
              </w:rPr>
            </w:pPr>
            <w:r>
              <w:rPr>
                <w:rFonts w:ascii="Courier New" w:cs="Courier New" w:eastAsia="Courier New" w:hAnsi="Courier New"/>
                <w:sz w:val="18"/>
                <w:szCs w:val="18"/>
                <w:color w:val="auto"/>
                <w:w w:val="95"/>
              </w:rPr>
              <w:t>December 20, 1996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8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(Principal Accounting</w:t>
            </w:r>
          </w:p>
        </w:tc>
        <w:tc>
          <w:tcPr>
            <w:tcW w:w="206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Lawrence S. Smith</w:t>
            </w:r>
          </w:p>
        </w:tc>
        <w:tc>
          <w:tcPr>
            <w:tcW w:w="2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Officer)</w:t>
            </w:r>
          </w:p>
        </w:tc>
        <w:tc>
          <w:tcPr>
            <w:tcW w:w="2060" w:type="dxa"/>
            <w:vAlign w:val="bottom"/>
          </w:tcPr>
          <w:p>
            <w:pPr>
              <w:spacing w:after="0"/>
              <w:rPr>
                <w:sz w:val="17"/>
                <w:szCs w:val="17"/>
                <w:color w:val="auto"/>
              </w:rPr>
            </w:pP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JOHN R. ALCHIN</w:t>
            </w:r>
          </w:p>
        </w:tc>
        <w:tc>
          <w:tcPr>
            <w:tcW w:w="2880" w:type="dxa"/>
            <w:vAlign w:val="bottom"/>
          </w:tcPr>
          <w:p>
            <w:pPr>
              <w:ind w:left="100"/>
              <w:spacing w:after="0"/>
              <w:rPr>
                <w:sz w:val="20"/>
                <w:szCs w:val="20"/>
                <w:color w:val="auto"/>
              </w:rPr>
            </w:pPr>
            <w:r>
              <w:rPr>
                <w:rFonts w:ascii="Courier New" w:cs="Courier New" w:eastAsia="Courier New" w:hAnsi="Courier New"/>
                <w:sz w:val="18"/>
                <w:szCs w:val="18"/>
                <w:color w:val="auto"/>
              </w:rPr>
              <w:t>Senior Vice President,</w:t>
            </w:r>
          </w:p>
        </w:tc>
        <w:tc>
          <w:tcPr>
            <w:tcW w:w="2060" w:type="dxa"/>
            <w:vAlign w:val="bottom"/>
          </w:tcPr>
          <w:p>
            <w:pPr>
              <w:ind w:left="280"/>
              <w:spacing w:after="0"/>
              <w:rPr>
                <w:sz w:val="20"/>
                <w:szCs w:val="20"/>
                <w:color w:val="auto"/>
              </w:rPr>
            </w:pPr>
            <w:r>
              <w:rPr>
                <w:rFonts w:ascii="Courier New" w:cs="Courier New" w:eastAsia="Courier New" w:hAnsi="Courier New"/>
                <w:sz w:val="18"/>
                <w:szCs w:val="18"/>
                <w:color w:val="auto"/>
                <w:w w:val="95"/>
              </w:rPr>
              <w:t>December 20, 1996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8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Treasurer (Principal</w:t>
            </w:r>
          </w:p>
        </w:tc>
        <w:tc>
          <w:tcPr>
            <w:tcW w:w="206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R. Alchin</w:t>
            </w:r>
          </w:p>
        </w:tc>
        <w:tc>
          <w:tcPr>
            <w:tcW w:w="2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2060" w:type="dxa"/>
            <w:vAlign w:val="bottom"/>
          </w:tcPr>
          <w:p>
            <w:pPr>
              <w:spacing w:after="0"/>
              <w:rPr>
                <w:sz w:val="17"/>
                <w:szCs w:val="17"/>
                <w:color w:val="auto"/>
              </w:rPr>
            </w:pP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DANIEL AARON</w:t>
            </w:r>
          </w:p>
        </w:tc>
        <w:tc>
          <w:tcPr>
            <w:tcW w:w="288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280"/>
              <w:spacing w:after="0"/>
              <w:rPr>
                <w:sz w:val="20"/>
                <w:szCs w:val="20"/>
                <w:color w:val="auto"/>
              </w:rPr>
            </w:pPr>
            <w:r>
              <w:rPr>
                <w:rFonts w:ascii="Courier New" w:cs="Courier New" w:eastAsia="Courier New" w:hAnsi="Courier New"/>
                <w:sz w:val="18"/>
                <w:szCs w:val="18"/>
                <w:color w:val="auto"/>
                <w:w w:val="95"/>
              </w:rPr>
              <w:t>December 20, 1996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8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Daniel Aaron</w:t>
            </w:r>
          </w:p>
        </w:tc>
        <w:tc>
          <w:tcPr>
            <w:tcW w:w="28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GUSTAVE G. AMSTERDAM</w:t>
            </w:r>
          </w:p>
        </w:tc>
        <w:tc>
          <w:tcPr>
            <w:tcW w:w="288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280"/>
              <w:spacing w:after="0"/>
              <w:rPr>
                <w:sz w:val="20"/>
                <w:szCs w:val="20"/>
                <w:color w:val="auto"/>
              </w:rPr>
            </w:pPr>
            <w:r>
              <w:rPr>
                <w:rFonts w:ascii="Courier New" w:cs="Courier New" w:eastAsia="Courier New" w:hAnsi="Courier New"/>
                <w:sz w:val="18"/>
                <w:szCs w:val="18"/>
                <w:color w:val="auto"/>
                <w:w w:val="95"/>
              </w:rPr>
              <w:t>December 20, 1996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8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Gustave G. Amsterdam</w:t>
            </w:r>
          </w:p>
        </w:tc>
        <w:tc>
          <w:tcPr>
            <w:tcW w:w="28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SHELDON M. BONOVITZ</w:t>
            </w:r>
          </w:p>
        </w:tc>
        <w:tc>
          <w:tcPr>
            <w:tcW w:w="288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280"/>
              <w:spacing w:after="0"/>
              <w:rPr>
                <w:sz w:val="20"/>
                <w:szCs w:val="20"/>
                <w:color w:val="auto"/>
              </w:rPr>
            </w:pPr>
            <w:r>
              <w:rPr>
                <w:rFonts w:ascii="Courier New" w:cs="Courier New" w:eastAsia="Courier New" w:hAnsi="Courier New"/>
                <w:sz w:val="18"/>
                <w:szCs w:val="18"/>
                <w:color w:val="auto"/>
                <w:w w:val="95"/>
              </w:rPr>
              <w:t>December 20, 1996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8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Sheldon M. Bonovitz</w:t>
            </w:r>
          </w:p>
        </w:tc>
        <w:tc>
          <w:tcPr>
            <w:tcW w:w="28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JOSEPH L. CASTLE II</w:t>
            </w:r>
          </w:p>
        </w:tc>
        <w:tc>
          <w:tcPr>
            <w:tcW w:w="288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280"/>
              <w:spacing w:after="0"/>
              <w:rPr>
                <w:sz w:val="20"/>
                <w:szCs w:val="20"/>
                <w:color w:val="auto"/>
              </w:rPr>
            </w:pPr>
            <w:r>
              <w:rPr>
                <w:rFonts w:ascii="Courier New" w:cs="Courier New" w:eastAsia="Courier New" w:hAnsi="Courier New"/>
                <w:sz w:val="18"/>
                <w:szCs w:val="18"/>
                <w:color w:val="auto"/>
                <w:w w:val="95"/>
              </w:rPr>
              <w:t>December 20, 1996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8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L. Castle II</w:t>
            </w:r>
          </w:p>
        </w:tc>
        <w:tc>
          <w:tcPr>
            <w:tcW w:w="28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BERNARD C. WATSON</w:t>
            </w:r>
          </w:p>
        </w:tc>
        <w:tc>
          <w:tcPr>
            <w:tcW w:w="288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280"/>
              <w:spacing w:after="0"/>
              <w:rPr>
                <w:sz w:val="20"/>
                <w:szCs w:val="20"/>
                <w:color w:val="auto"/>
              </w:rPr>
            </w:pPr>
            <w:r>
              <w:rPr>
                <w:rFonts w:ascii="Courier New" w:cs="Courier New" w:eastAsia="Courier New" w:hAnsi="Courier New"/>
                <w:sz w:val="18"/>
                <w:szCs w:val="18"/>
                <w:color w:val="auto"/>
                <w:w w:val="95"/>
              </w:rPr>
              <w:t>December 20, 1996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8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Bernard C. Watson</w:t>
            </w:r>
          </w:p>
        </w:tc>
        <w:tc>
          <w:tcPr>
            <w:tcW w:w="28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IRVING A. WECHSLER</w:t>
            </w:r>
          </w:p>
        </w:tc>
        <w:tc>
          <w:tcPr>
            <w:tcW w:w="288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280"/>
              <w:spacing w:after="0"/>
              <w:rPr>
                <w:sz w:val="20"/>
                <w:szCs w:val="20"/>
                <w:color w:val="auto"/>
              </w:rPr>
            </w:pPr>
            <w:r>
              <w:rPr>
                <w:rFonts w:ascii="Courier New" w:cs="Courier New" w:eastAsia="Courier New" w:hAnsi="Courier New"/>
                <w:sz w:val="18"/>
                <w:szCs w:val="18"/>
                <w:color w:val="auto"/>
                <w:w w:val="95"/>
              </w:rPr>
              <w:t>December 20, 1996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8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Irving A. Wechsler</w:t>
            </w:r>
          </w:p>
        </w:tc>
        <w:tc>
          <w:tcPr>
            <w:tcW w:w="28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608"/>
        </w:trPr>
        <w:tc>
          <w:tcPr>
            <w:tcW w:w="2860" w:type="dxa"/>
            <w:vAlign w:val="bottom"/>
          </w:tcPr>
          <w:p>
            <w:pPr>
              <w:spacing w:after="0"/>
              <w:rPr>
                <w:sz w:val="24"/>
                <w:szCs w:val="24"/>
                <w:color w:val="auto"/>
              </w:rPr>
            </w:pPr>
          </w:p>
        </w:tc>
        <w:tc>
          <w:tcPr>
            <w:tcW w:w="288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280"/>
              <w:spacing w:after="0"/>
              <w:rPr>
                <w:sz w:val="20"/>
                <w:szCs w:val="20"/>
                <w:color w:val="auto"/>
              </w:rPr>
            </w:pPr>
            <w:r>
              <w:rPr>
                <w:rFonts w:ascii="Courier New" w:cs="Courier New" w:eastAsia="Courier New" w:hAnsi="Courier New"/>
                <w:sz w:val="18"/>
                <w:szCs w:val="18"/>
                <w:color w:val="auto"/>
                <w:w w:val="95"/>
              </w:rPr>
              <w:t>December 20, 1996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8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Anne Wexler</w:t>
            </w:r>
          </w:p>
        </w:tc>
        <w:tc>
          <w:tcPr>
            <w:tcW w:w="2880" w:type="dxa"/>
            <w:vAlign w:val="bottom"/>
          </w:tcPr>
          <w:p>
            <w:pPr>
              <w:spacing w:after="0"/>
              <w:rPr>
                <w:sz w:val="17"/>
                <w:szCs w:val="17"/>
                <w:color w:val="auto"/>
              </w:rPr>
            </w:pPr>
          </w:p>
        </w:tc>
        <w:tc>
          <w:tcPr>
            <w:tcW w:w="20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II-12</w:t>
      </w:r>
    </w:p>
    <w:p>
      <w:pPr>
        <w:sectPr>
          <w:pgSz w:w="11900" w:h="16838" w:orient="portrait"/>
          <w:cols w:equalWidth="0" w:num="1">
            <w:col w:w="10219"/>
          </w:cols>
          <w:pgMar w:left="240" w:top="514" w:right="1440" w:bottom="1440" w:gutter="0" w:footer="0" w:header="0"/>
        </w:sectPr>
      </w:pPr>
    </w:p>
    <w:bookmarkStart w:id="25" w:name="page26"/>
    <w:bookmarkEnd w:id="2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jc w:val="center"/>
        <w:ind w:right="2299"/>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THE COMCAST CORPORATION 1996 DEFERRED COMPENSATION PLAN</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REGISTRATION STATEMENT ON FORM S-8</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Wolf, Block, Schorr and Solis-Cohen.</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Opinion of Pepper, Hamilton &amp; Scheetz.</w:t>
      </w:r>
    </w:p>
    <w:p>
      <w:pPr>
        <w:spacing w:after="0" w:line="201" w:lineRule="exact"/>
        <w:rPr>
          <w:sz w:val="20"/>
          <w:szCs w:val="20"/>
          <w:color w:val="auto"/>
        </w:rPr>
      </w:pPr>
    </w:p>
    <w:p>
      <w:pPr>
        <w:ind w:left="1380" w:hanging="1372"/>
        <w:spacing w:after="0"/>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Corporation 1996 Deferred Compensation Plan.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23.1</w:t>
      </w:r>
      <w:r>
        <w:rPr>
          <w:rFonts w:ascii="Courier New" w:cs="Courier New" w:eastAsia="Courier New" w:hAnsi="Courier New"/>
          <w:sz w:val="16"/>
          <w:szCs w:val="16"/>
          <w:color w:val="auto"/>
        </w:rPr>
        <w:t>Consent of Deloitte &amp; Touche LLP.</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23.2</w:t>
      </w:r>
      <w:r>
        <w:rPr>
          <w:rFonts w:ascii="Courier New" w:cs="Courier New" w:eastAsia="Courier New" w:hAnsi="Courier New"/>
          <w:sz w:val="16"/>
          <w:szCs w:val="16"/>
          <w:color w:val="auto"/>
        </w:rPr>
        <w:t>Consent of Deloitte &amp; Touche LLP.</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23.3</w:t>
      </w:r>
      <w:r>
        <w:rPr>
          <w:rFonts w:ascii="Courier New" w:cs="Courier New" w:eastAsia="Courier New" w:hAnsi="Courier New"/>
          <w:sz w:val="16"/>
          <w:szCs w:val="16"/>
          <w:color w:val="auto"/>
        </w:rPr>
        <w:t>Consent of KPMG Peat Marwick LLP.</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23.4</w:t>
      </w:r>
      <w:r>
        <w:rPr>
          <w:rFonts w:ascii="Courier New" w:cs="Courier New" w:eastAsia="Courier New" w:hAnsi="Courier New"/>
          <w:sz w:val="16"/>
          <w:szCs w:val="16"/>
          <w:color w:val="auto"/>
        </w:rPr>
        <w:t>Consent of Arthur Andersen LLP.</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23.5</w:t>
      </w:r>
      <w:r>
        <w:rPr>
          <w:rFonts w:ascii="Courier New" w:cs="Courier New" w:eastAsia="Courier New" w:hAnsi="Courier New"/>
          <w:sz w:val="16"/>
          <w:szCs w:val="16"/>
          <w:color w:val="auto"/>
        </w:rPr>
        <w:t>Consent of Arthur Andersen LLP.</w:t>
      </w:r>
    </w:p>
    <w:p>
      <w:pPr>
        <w:spacing w:after="0" w:line="207" w:lineRule="exact"/>
        <w:rPr>
          <w:sz w:val="20"/>
          <w:szCs w:val="20"/>
          <w:color w:val="auto"/>
        </w:rPr>
      </w:pPr>
    </w:p>
    <w:p>
      <w:pPr>
        <w:ind w:left="1380" w:right="261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23.6</w:t>
      </w:r>
      <w:r>
        <w:rPr>
          <w:sz w:val="20"/>
          <w:szCs w:val="20"/>
          <w:color w:val="auto"/>
        </w:rPr>
        <w:tab/>
      </w:r>
      <w:r>
        <w:rPr>
          <w:rFonts w:ascii="Courier New" w:cs="Courier New" w:eastAsia="Courier New" w:hAnsi="Courier New"/>
          <w:sz w:val="18"/>
          <w:szCs w:val="18"/>
          <w:color w:val="auto"/>
        </w:rPr>
        <w:t>Consent of Wolf, Block, Schorr and Solis-Cohen (included in Exhibit 5.1).</w:t>
      </w:r>
    </w:p>
    <w:p>
      <w:pPr>
        <w:spacing w:after="0" w:line="208" w:lineRule="exact"/>
        <w:rPr>
          <w:sz w:val="20"/>
          <w:szCs w:val="20"/>
          <w:color w:val="auto"/>
        </w:rPr>
      </w:pPr>
    </w:p>
    <w:p>
      <w:pPr>
        <w:ind w:left="1380" w:right="357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23.7</w:t>
      </w:r>
      <w:r>
        <w:rPr>
          <w:sz w:val="20"/>
          <w:szCs w:val="20"/>
          <w:color w:val="auto"/>
        </w:rPr>
        <w:tab/>
      </w:r>
      <w:r>
        <w:rPr>
          <w:rFonts w:ascii="Courier New" w:cs="Courier New" w:eastAsia="Courier New" w:hAnsi="Courier New"/>
          <w:sz w:val="18"/>
          <w:szCs w:val="18"/>
          <w:color w:val="auto"/>
        </w:rPr>
        <w:t>Consent of Pepper, Hamilton &amp; Scheetz (included in Exhibit 5.2).</w:t>
      </w:r>
    </w:p>
    <w:p>
      <w:pPr>
        <w:spacing w:after="0" w:line="208" w:lineRule="exact"/>
        <w:rPr>
          <w:sz w:val="20"/>
          <w:szCs w:val="20"/>
          <w:color w:val="auto"/>
        </w:rPr>
      </w:pPr>
    </w:p>
    <w:p>
      <w:pPr>
        <w:ind w:left="1380" w:right="3679" w:hanging="1372"/>
        <w:spacing w:after="0" w:line="235" w:lineRule="auto"/>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on page II-11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II-13</w:t>
      </w:r>
    </w:p>
    <w:p>
      <w:pPr>
        <w:sectPr>
          <w:pgSz w:w="11900" w:h="16838" w:orient="portrait"/>
          <w:cols w:equalWidth="0" w:num="1">
            <w:col w:w="10219"/>
          </w:cols>
          <w:pgMar w:left="240" w:top="514" w:right="1440" w:bottom="1440" w:gutter="0" w:footer="0" w:header="0"/>
        </w:sectPr>
      </w:pPr>
    </w:p>
    <w:bookmarkStart w:id="27" w:name="page28"/>
    <w:bookmarkEnd w:id="27"/>
    <w:p>
      <w:pPr>
        <w:jc w:val="right"/>
        <w:ind w:right="335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WOLF, BLOCK, SCHORR AND SOLIS-COHEN</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Twelfth Floor Packard Building</w:t>
      </w:r>
    </w:p>
    <w:p>
      <w:pPr>
        <w:ind w:left="1580"/>
        <w:spacing w:after="0" w:line="238" w:lineRule="auto"/>
        <w:rPr>
          <w:sz w:val="20"/>
          <w:szCs w:val="20"/>
          <w:color w:val="auto"/>
        </w:rPr>
      </w:pPr>
      <w:r>
        <w:rPr>
          <w:rFonts w:ascii="Courier New" w:cs="Courier New" w:eastAsia="Courier New" w:hAnsi="Courier New"/>
          <w:sz w:val="18"/>
          <w:szCs w:val="18"/>
          <w:color w:val="auto"/>
        </w:rPr>
        <w:t>S.E. Corner 15th and Chestnut Streets</w:t>
      </w:r>
    </w:p>
    <w:p>
      <w:pPr>
        <w:ind w:left="2120"/>
        <w:spacing w:after="0"/>
        <w:tabs>
          <w:tab w:leader="none" w:pos="400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19102-2678</w:t>
      </w:r>
    </w:p>
    <w:p>
      <w:pPr>
        <w:spacing w:after="0" w:line="20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Facsimile: (215) 977-2334</w:t>
      </w:r>
    </w:p>
    <w:p>
      <w:pPr>
        <w:ind w:left="2320"/>
        <w:spacing w:after="0" w:line="238" w:lineRule="auto"/>
        <w:rPr>
          <w:sz w:val="20"/>
          <w:szCs w:val="20"/>
          <w:color w:val="auto"/>
        </w:rPr>
      </w:pPr>
      <w:r>
        <w:rPr>
          <w:rFonts w:ascii="Courier New" w:cs="Courier New" w:eastAsia="Courier New" w:hAnsi="Courier New"/>
          <w:sz w:val="18"/>
          <w:szCs w:val="18"/>
          <w:color w:val="auto"/>
        </w:rPr>
        <w:t>Facsimile: (215) 977-2346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(215) 977-2234</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December 19,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tabs>
          <w:tab w:leader="none" w:pos="188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19102-2145</w:t>
      </w:r>
    </w:p>
    <w:p>
      <w:pPr>
        <w:spacing w:after="0" w:line="200" w:lineRule="exact"/>
        <w:rPr>
          <w:sz w:val="20"/>
          <w:szCs w:val="20"/>
          <w:color w:val="auto"/>
        </w:rPr>
      </w:pPr>
    </w:p>
    <w:p>
      <w:pPr>
        <w:ind w:left="960"/>
        <w:spacing w:after="0"/>
        <w:tabs>
          <w:tab w:leader="none" w:pos="1560" w:val="left"/>
        </w:tabs>
        <w:rPr>
          <w:sz w:val="20"/>
          <w:szCs w:val="20"/>
          <w:color w:val="auto"/>
        </w:rPr>
      </w:pPr>
      <w:r>
        <w:rPr>
          <w:rFonts w:ascii="Courier New" w:cs="Courier New" w:eastAsia="Courier New" w:hAnsi="Courier New"/>
          <w:sz w:val="18"/>
          <w:szCs w:val="18"/>
          <w:color w:val="auto"/>
        </w:rPr>
        <w:t>Re:</w:t>
        <w:tab/>
        <w:t>Comcast Corporation 1996</w:t>
      </w:r>
    </w:p>
    <w:p>
      <w:pPr>
        <w:ind w:left="1580"/>
        <w:spacing w:after="0" w:line="238" w:lineRule="auto"/>
        <w:rPr>
          <w:sz w:val="20"/>
          <w:szCs w:val="20"/>
          <w:color w:val="auto"/>
        </w:rPr>
      </w:pPr>
      <w:r>
        <w:rPr>
          <w:rFonts w:ascii="Courier New" w:cs="Courier New" w:eastAsia="Courier New" w:hAnsi="Courier New"/>
          <w:sz w:val="18"/>
          <w:szCs w:val="18"/>
          <w:color w:val="auto"/>
        </w:rPr>
        <w:t>Deferred Compensation Plan (the "Plan")</w:t>
      </w:r>
    </w:p>
    <w:p>
      <w:pPr>
        <w:ind w:left="1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3359" w:firstLine="948"/>
        <w:spacing w:after="0" w:line="271" w:lineRule="auto"/>
        <w:rPr>
          <w:sz w:val="20"/>
          <w:szCs w:val="20"/>
          <w:color w:val="auto"/>
        </w:rPr>
      </w:pPr>
      <w:r>
        <w:rPr>
          <w:rFonts w:ascii="Courier New" w:cs="Courier New" w:eastAsia="Courier New" w:hAnsi="Courier New"/>
          <w:sz w:val="16"/>
          <w:szCs w:val="16"/>
          <w:color w:val="auto"/>
        </w:rPr>
        <w:t>We have acted as counsel for Comcast Corporation (the "Company") in connection with the registration by the Company under the Securities Act of 1933, as amended (the "1933 Act"), of obligations which may be incurred by the Company pursuant to the Plan ("Deferred Compensation Obligations") and the filing with the Securities and Exchange Commission (the "Commission") of a registration statement on Form S-8 relating to $20,000,000 of Deferred Compensation Obligations (the "Registration Statement").</w:t>
      </w:r>
    </w:p>
    <w:p>
      <w:pPr>
        <w:spacing w:after="0" w:line="186" w:lineRule="exact"/>
        <w:rPr>
          <w:sz w:val="20"/>
          <w:szCs w:val="20"/>
          <w:color w:val="auto"/>
        </w:rPr>
      </w:pPr>
    </w:p>
    <w:p>
      <w:pPr>
        <w:ind w:right="3359" w:firstLine="948"/>
        <w:spacing w:after="0" w:line="237" w:lineRule="auto"/>
        <w:rPr>
          <w:sz w:val="20"/>
          <w:szCs w:val="20"/>
          <w:color w:val="auto"/>
        </w:rPr>
      </w:pPr>
      <w:r>
        <w:rPr>
          <w:rFonts w:ascii="Courier New" w:cs="Courier New" w:eastAsia="Courier New" w:hAnsi="Courier New"/>
          <w:sz w:val="18"/>
          <w:szCs w:val="18"/>
          <w:color w:val="auto"/>
        </w:rPr>
        <w:t>As such counsel,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w:t>
      </w:r>
    </w:p>
    <w:p>
      <w:pPr>
        <w:spacing w:after="0" w:line="210" w:lineRule="exact"/>
        <w:rPr>
          <w:sz w:val="20"/>
          <w:szCs w:val="20"/>
          <w:color w:val="auto"/>
        </w:rPr>
      </w:pPr>
    </w:p>
    <w:p>
      <w:pPr>
        <w:ind w:right="3359" w:firstLine="948"/>
        <w:spacing w:after="0" w:line="268" w:lineRule="auto"/>
        <w:rPr>
          <w:sz w:val="20"/>
          <w:szCs w:val="20"/>
          <w:color w:val="auto"/>
        </w:rPr>
      </w:pPr>
      <w:r>
        <w:rPr>
          <w:rFonts w:ascii="Courier New" w:cs="Courier New" w:eastAsia="Courier New" w:hAnsi="Courier New"/>
          <w:sz w:val="16"/>
          <w:szCs w:val="16"/>
          <w:color w:val="auto"/>
        </w:rPr>
        <w:t>On the basis of the foregoing, and in reliance thereon, and on such other matters as we deem relevant in the circumstances, we are of the opinion that Deferred Compensation Obligations incurred by the Company in accordance with the terms of the Plan will be valid and binding obligations of the Company enforceable against the Company in accordance with the terms of the Plan, except to the extent that enforcement thereof may be limited by (a) bankruptcy, insolvency, reorganization, fraudulent transfer, moratorium or other similar laws now or hereafter in effect relating to or affecting creditors' rights generally and</w:t>
      </w:r>
    </w:p>
    <w:p>
      <w:pPr>
        <w:spacing w:after="0" w:line="2" w:lineRule="exact"/>
        <w:rPr>
          <w:sz w:val="20"/>
          <w:szCs w:val="20"/>
          <w:color w:val="auto"/>
        </w:rPr>
      </w:pPr>
    </w:p>
    <w:p>
      <w:pPr>
        <w:ind w:right="3359" w:firstLine="8"/>
        <w:spacing w:after="0" w:line="290" w:lineRule="auto"/>
        <w:tabs>
          <w:tab w:leader="none" w:pos="42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principles of equity, regardless of whether enforceability is considered in a proceeding at law or in equity.</w:t>
      </w:r>
    </w:p>
    <w:p>
      <w:pPr>
        <w:sectPr>
          <w:pgSz w:w="11900" w:h="16838" w:orient="portrait"/>
          <w:cols w:equalWidth="0" w:num="1">
            <w:col w:w="10219"/>
          </w:cols>
          <w:pgMar w:left="240" w:top="339" w:right="1440" w:bottom="1440" w:gutter="0" w:footer="0" w:header="0"/>
        </w:sectPr>
      </w:pPr>
    </w:p>
    <w:bookmarkStart w:id="28" w:name="page29"/>
    <w:bookmarkEnd w:id="28"/>
    <w:p>
      <w:pPr>
        <w:spacing w:after="0" w:line="290" w:lineRule="auto"/>
        <w:tabs>
          <w:tab w:leader="none" w:pos="421" w:val="left"/>
        </w:tabs>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ind w:right="3359" w:firstLine="948"/>
        <w:spacing w:after="0" w:line="237" w:lineRule="auto"/>
        <w:rPr>
          <w:sz w:val="20"/>
          <w:szCs w:val="20"/>
          <w:color w:val="auto"/>
        </w:rPr>
      </w:pPr>
      <w:r>
        <w:rPr>
          <w:rFonts w:ascii="Courier New" w:cs="Courier New" w:eastAsia="Courier New" w:hAnsi="Courier New"/>
          <w:sz w:val="18"/>
          <w:szCs w:val="18"/>
          <w:color w:val="auto"/>
        </w:rPr>
        <w:t>We hereby consent to the filing of this opinion with the Commission as an exhibit to the Registration Statement. In giving this consent, we do not admit that we are in the category of persons whose consent is required under Section 7 of the 1933 Act or the Rules and Regulations of the Commission.</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WOLF, BLOCK, SCHORR AND SOLIS-COHEN</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Wolf, Block, Schorr and Solis-Cohen</w:t>
      </w:r>
    </w:p>
    <w:p>
      <w:pPr>
        <w:sectPr>
          <w:pgSz w:w="11900" w:h="16838" w:orient="portrait"/>
          <w:cols w:equalWidth="0" w:num="1">
            <w:col w:w="10219"/>
          </w:cols>
          <w:pgMar w:left="240" w:top="723" w:right="1440" w:bottom="1440" w:gutter="0" w:footer="0" w:header="0"/>
        </w:sectPr>
      </w:pPr>
    </w:p>
    <w:bookmarkStart w:id="30" w:name="page31"/>
    <w:bookmarkEnd w:id="30"/>
    <w:p>
      <w:pPr>
        <w:ind w:left="5600"/>
        <w:spacing w:after="0"/>
        <w:rPr>
          <w:sz w:val="20"/>
          <w:szCs w:val="20"/>
          <w:color w:val="auto"/>
        </w:rPr>
      </w:pPr>
      <w:r>
        <w:rPr>
          <w:rFonts w:ascii="Courier New" w:cs="Courier New" w:eastAsia="Courier New" w:hAnsi="Courier New"/>
          <w:sz w:val="18"/>
          <w:szCs w:val="18"/>
          <w:color w:val="auto"/>
        </w:rPr>
        <w:t>EXHIBIT 5.2</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PEPPER, HAMILTON &amp; SCHEETZ</w:t>
      </w:r>
    </w:p>
    <w:p>
      <w:pPr>
        <w:ind w:left="2440"/>
        <w:spacing w:after="0" w:line="238" w:lineRule="auto"/>
        <w:rPr>
          <w:sz w:val="20"/>
          <w:szCs w:val="20"/>
          <w:color w:val="auto"/>
        </w:rPr>
      </w:pPr>
      <w:r>
        <w:rPr>
          <w:rFonts w:ascii="Courier New" w:cs="Courier New" w:eastAsia="Courier New" w:hAnsi="Courier New"/>
          <w:sz w:val="18"/>
          <w:szCs w:val="18"/>
          <w:color w:val="auto"/>
        </w:rPr>
        <w:t>Attorneys at Law</w:t>
      </w:r>
    </w:p>
    <w:p>
      <w:pPr>
        <w:spacing w:after="0" w:line="202"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3000 Two Logan Square</w:t>
      </w:r>
    </w:p>
    <w:p>
      <w:pPr>
        <w:jc w:val="center"/>
        <w:ind w:right="3579"/>
        <w:spacing w:after="0" w:line="238" w:lineRule="auto"/>
        <w:rPr>
          <w:sz w:val="20"/>
          <w:szCs w:val="20"/>
          <w:color w:val="auto"/>
        </w:rPr>
      </w:pPr>
      <w:r>
        <w:rPr>
          <w:rFonts w:ascii="Courier New" w:cs="Courier New" w:eastAsia="Courier New" w:hAnsi="Courier New"/>
          <w:sz w:val="18"/>
          <w:szCs w:val="18"/>
          <w:color w:val="auto"/>
        </w:rPr>
        <w:t>Eighteenth &amp; Arch Streets</w:t>
      </w:r>
    </w:p>
    <w:p>
      <w:pPr>
        <w:jc w:val="center"/>
        <w:ind w:right="3579"/>
        <w:spacing w:after="0"/>
        <w:rPr>
          <w:sz w:val="20"/>
          <w:szCs w:val="20"/>
          <w:color w:val="auto"/>
        </w:rPr>
      </w:pPr>
      <w:r>
        <w:rPr>
          <w:rFonts w:ascii="Courier New" w:cs="Courier New" w:eastAsia="Courier New" w:hAnsi="Courier New"/>
          <w:sz w:val="18"/>
          <w:szCs w:val="18"/>
          <w:color w:val="auto"/>
        </w:rPr>
        <w:t>Philadelphia, Pennsylvania 19103-2799</w:t>
      </w:r>
    </w:p>
    <w:p>
      <w:pPr>
        <w:spacing w:after="0" w:line="200"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8"/>
          <w:szCs w:val="18"/>
          <w:color w:val="auto"/>
        </w:rPr>
        <w:t>215-981-4000</w:t>
      </w:r>
    </w:p>
    <w:p>
      <w:pPr>
        <w:spacing w:after="0" w:line="201" w:lineRule="exact"/>
        <w:rPr>
          <w:sz w:val="20"/>
          <w:szCs w:val="20"/>
          <w:color w:val="auto"/>
        </w:rPr>
      </w:pPr>
    </w:p>
    <w:p>
      <w:pPr>
        <w:jc w:val="center"/>
        <w:ind w:right="3559"/>
        <w:spacing w:after="0"/>
        <w:tabs>
          <w:tab w:leader="none" w:pos="300" w:val="left"/>
        </w:tabs>
        <w:rPr>
          <w:sz w:val="20"/>
          <w:szCs w:val="20"/>
          <w:color w:val="auto"/>
        </w:rPr>
      </w:pPr>
      <w:r>
        <w:rPr>
          <w:rFonts w:ascii="Courier New" w:cs="Courier New" w:eastAsia="Courier New" w:hAnsi="Courier New"/>
          <w:sz w:val="18"/>
          <w:szCs w:val="18"/>
          <w:color w:val="auto"/>
        </w:rPr>
        <w:t>Fax: 215-981-4750</w:t>
      </w:r>
      <w:r>
        <w:rPr>
          <w:sz w:val="20"/>
          <w:szCs w:val="20"/>
          <w:color w:val="auto"/>
        </w:rPr>
        <w:tab/>
      </w:r>
      <w:r>
        <w:rPr>
          <w:rFonts w:ascii="Courier New" w:cs="Courier New" w:eastAsia="Courier New" w:hAnsi="Courier New"/>
          <w:sz w:val="16"/>
          <w:szCs w:val="16"/>
          <w:color w:val="auto"/>
        </w:rPr>
        <w:t>Twx: 710-670-0777</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December 18,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rPr>
          <w:sz w:val="20"/>
          <w:szCs w:val="20"/>
          <w:color w:val="auto"/>
        </w:rPr>
      </w:pPr>
      <w:r>
        <w:rPr>
          <w:rFonts w:ascii="Courier New" w:cs="Courier New" w:eastAsia="Courier New" w:hAnsi="Courier New"/>
          <w:sz w:val="18"/>
          <w:szCs w:val="18"/>
          <w:color w:val="auto"/>
        </w:rPr>
        <w:t>Philadelphia, PA 19102</w:t>
      </w:r>
    </w:p>
    <w:p>
      <w:pPr>
        <w:spacing w:after="0" w:line="200" w:lineRule="exact"/>
        <w:rPr>
          <w:sz w:val="20"/>
          <w:szCs w:val="20"/>
          <w:color w:val="auto"/>
        </w:rPr>
      </w:pPr>
    </w:p>
    <w:p>
      <w:pPr>
        <w:ind w:left="1480"/>
        <w:spacing w:after="0"/>
        <w:tabs>
          <w:tab w:leader="none" w:pos="210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Comcast Corporation 1996 Deferred</w:t>
      </w:r>
    </w:p>
    <w:p>
      <w:pPr>
        <w:ind w:left="2120"/>
        <w:spacing w:after="0" w:line="238" w:lineRule="auto"/>
        <w:rPr>
          <w:sz w:val="20"/>
          <w:szCs w:val="20"/>
          <w:color w:val="auto"/>
        </w:rPr>
      </w:pPr>
      <w:r>
        <w:rPr>
          <w:rFonts w:ascii="Courier New" w:cs="Courier New" w:eastAsia="Courier New" w:hAnsi="Courier New"/>
          <w:sz w:val="18"/>
          <w:szCs w:val="18"/>
          <w:color w:val="auto"/>
        </w:rPr>
        <w:t>Compensation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We have acted as special counsel to Comcast Corporation (the "Company") in connection with the registration by the Company under the Securities Act of 1933, as amended (the "1933 Act"), of obligations ("Deferred Compensation Obligations") which may be incurred by the Company pursuant to the Comcast Corporation 1996 Deferred Compensation Plan (the "Plan"), and the filing with the Securities and Exchange Commission (the "Commission") of a registration statement on Form S-8 relating to the Deferred Compensation Obligations (the "Registration Statement").</w:t>
      </w:r>
    </w:p>
    <w:p>
      <w:pPr>
        <w:spacing w:after="0" w:line="215"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As such special counsel, we have made such legal and factual examinations and inquiries as we have deemed necessary or appropriate for purposes of this opinion, and have made such additional assumptions as are set forth below.</w:t>
      </w:r>
    </w:p>
    <w:p>
      <w:pPr>
        <w:spacing w:after="0" w:line="207" w:lineRule="exact"/>
        <w:rPr>
          <w:sz w:val="20"/>
          <w:szCs w:val="20"/>
          <w:color w:val="auto"/>
        </w:rPr>
      </w:pPr>
    </w:p>
    <w:p>
      <w:pPr>
        <w:ind w:right="3479" w:firstLine="1053"/>
        <w:spacing w:after="0" w:line="270" w:lineRule="auto"/>
        <w:rPr>
          <w:sz w:val="20"/>
          <w:szCs w:val="20"/>
          <w:color w:val="auto"/>
        </w:rPr>
      </w:pPr>
      <w:r>
        <w:rPr>
          <w:rFonts w:ascii="Courier New" w:cs="Courier New" w:eastAsia="Courier New" w:hAnsi="Courier New"/>
          <w:sz w:val="16"/>
          <w:szCs w:val="16"/>
          <w:color w:val="auto"/>
        </w:rPr>
        <w:t>The Plan document states that the Plan was established to permit non-employee directors and eligible employees to defer the receipt of compensation otherwise payable to such outside directors and eligible employees in accordance with the terms of the Plan. The Plan is unfunded and states that it is maintained primarily for the purpose of providing deferred compensation to outside directors and to a select group of management or highly compensated employees. For the purpose of this opinion, we have assumed that (1) the Plan was duly adopted by the Company on August 15, 1996 and amended and restated, effective December 10, 1996 in its current form on December 10, 1996, and (2) the Plan is maintained primarily for the purpose of providing deferred compensation to non-employee directors and to a select group of management or highly compensated employees.</w:t>
      </w:r>
    </w:p>
    <w:p>
      <w:pPr>
        <w:spacing w:after="0" w:line="388"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By its express terms, the Plan potentially results in a deferral of income by employees for periods extending to the termination of covered employment or beyond. Accordingly, the Plan is an "employee pension benefit plan" described in section 3(3) of the Employee Retirement Income Security Act of 1974, as amended ("ERISA"). However, as a Plan that is unfunded and maintained primarily for the purpose of providing deferred compensation to outside directors and to a select group of management or highly compensated employees, the Plan is subject to parts 1 and 5 of Title I of ERISA, but not to any other provisions of ERISA.</w:t>
      </w:r>
    </w:p>
    <w:p>
      <w:pPr>
        <w:spacing w:after="0" w:line="216" w:lineRule="exact"/>
        <w:rPr>
          <w:sz w:val="20"/>
          <w:szCs w:val="20"/>
          <w:color w:val="auto"/>
        </w:rPr>
      </w:pPr>
    </w:p>
    <w:p>
      <w:pPr>
        <w:ind w:right="3579" w:firstLine="1053"/>
        <w:spacing w:after="0" w:line="279" w:lineRule="auto"/>
        <w:rPr>
          <w:sz w:val="20"/>
          <w:szCs w:val="20"/>
          <w:color w:val="auto"/>
        </w:rPr>
      </w:pPr>
      <w:r>
        <w:rPr>
          <w:rFonts w:ascii="Courier New" w:cs="Courier New" w:eastAsia="Courier New" w:hAnsi="Courier New"/>
          <w:sz w:val="16"/>
          <w:szCs w:val="16"/>
          <w:color w:val="auto"/>
        </w:rPr>
        <w:t>The Plan is not designed or operated with the purpose of satisfying the requirements for qualification under section 401(a) of the Internal Revenue Code of 1986, as amended.</w:t>
      </w:r>
    </w:p>
    <w:p>
      <w:pPr>
        <w:spacing w:after="0" w:line="178" w:lineRule="exact"/>
        <w:rPr>
          <w:sz w:val="20"/>
          <w:szCs w:val="20"/>
          <w:color w:val="auto"/>
        </w:rPr>
      </w:pPr>
    </w:p>
    <w:p>
      <w:pPr>
        <w:ind w:right="3359" w:firstLine="1053"/>
        <w:spacing w:after="0" w:line="273" w:lineRule="auto"/>
        <w:rPr>
          <w:sz w:val="20"/>
          <w:szCs w:val="20"/>
          <w:color w:val="auto"/>
        </w:rPr>
      </w:pPr>
      <w:r>
        <w:rPr>
          <w:rFonts w:ascii="Courier New" w:cs="Courier New" w:eastAsia="Courier New" w:hAnsi="Courier New"/>
          <w:sz w:val="16"/>
          <w:szCs w:val="16"/>
          <w:color w:val="auto"/>
        </w:rPr>
        <w:t>Parts 1 and 5 of Title I of ERISA do not impose any specific written requirements on non-qualified deferred compensation arrangements such as the Plan as a condition to compliance with the applicable provisions of ERISA. Further, the operation of the Plan pursuant to the written provisions of the</w:t>
      </w:r>
    </w:p>
    <w:p>
      <w:pPr>
        <w:sectPr>
          <w:pgSz w:w="11900" w:h="16838" w:orient="portrait"/>
          <w:cols w:equalWidth="0" w:num="1">
            <w:col w:w="10219"/>
          </w:cols>
          <w:pgMar w:left="240" w:top="541" w:right="1440" w:bottom="0" w:gutter="0" w:footer="0" w:header="0"/>
        </w:sectPr>
      </w:pPr>
    </w:p>
    <w:bookmarkStart w:id="31" w:name="page32"/>
    <w:bookmarkEnd w:id="31"/>
    <w:p>
      <w:pPr>
        <w:ind w:right="3479"/>
        <w:spacing w:after="0" w:line="235" w:lineRule="auto"/>
        <w:rPr>
          <w:sz w:val="20"/>
          <w:szCs w:val="20"/>
          <w:color w:val="auto"/>
        </w:rPr>
      </w:pPr>
      <w:r>
        <w:rPr>
          <w:rFonts w:ascii="Courier New" w:cs="Courier New" w:eastAsia="Courier New" w:hAnsi="Courier New"/>
          <w:sz w:val="18"/>
          <w:szCs w:val="18"/>
          <w:color w:val="auto"/>
        </w:rPr>
        <w:t>Plan will not cause the Plan to fail to comply with parts 1 or 5 of Title I of ERISA.</w:t>
      </w:r>
    </w:p>
    <w:p>
      <w:pPr>
        <w:spacing w:after="0" w:line="208"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On the basis of the foregoing, we are of the opinion that the provisions of the written document constituting the Plan comply with the requirements of ERISA pertaining to such provisions.</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This opinion letter is issued as of the date hereof and is limited to the laws now in effect, and in all respects is subject to and may be limited by future legislation, as well as by future case law. We assume no responsibility to keep this opinion current or to supplement it to reflect facts or circumstances which may hereafter come to our attention or any changes in laws which may hereafter occur.</w:t>
      </w:r>
    </w:p>
    <w:p>
      <w:pPr>
        <w:spacing w:after="0" w:line="211"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We hereby expressly consent to the filing of this opinion with the Commission as an exhibit to the Registration Statement. In giving this consent, we do not thereby admit that we are in the category of persons whose consent is required under Section 7 of the 1933 Act or the Rules and Regulations of the Commission.</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Pepper, Hamilton &amp; Scheetz</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ANDREW J. RUDOLPH</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A Partner</w:t>
      </w:r>
    </w:p>
    <w:p>
      <w:pPr>
        <w:sectPr>
          <w:pgSz w:w="11900" w:h="16838" w:orient="portrait"/>
          <w:cols w:equalWidth="0" w:num="1">
            <w:col w:w="10219"/>
          </w:cols>
          <w:pgMar w:left="240" w:top="142" w:right="1440" w:bottom="1440" w:gutter="0" w:footer="0" w:header="0"/>
        </w:sectPr>
      </w:pPr>
    </w:p>
    <w:bookmarkStart w:id="32" w:name="page33"/>
    <w:bookmarkEnd w:id="32"/>
    <w:p>
      <w:pPr>
        <w:jc w:val="right"/>
        <w:ind w:right="2519"/>
        <w:spacing w:after="0"/>
        <w:rPr>
          <w:sz w:val="20"/>
          <w:szCs w:val="20"/>
          <w:color w:val="auto"/>
        </w:rPr>
      </w:pPr>
      <w:r>
        <w:rPr>
          <w:rFonts w:ascii="Courier New" w:cs="Courier New" w:eastAsia="Courier New" w:hAnsi="Courier New"/>
          <w:sz w:val="18"/>
          <w:szCs w:val="18"/>
          <w:color w:val="auto"/>
        </w:rPr>
        <w:t>Exhibit 10</w:t>
      </w:r>
    </w:p>
    <w:p>
      <w:pPr>
        <w:spacing w:after="0" w:line="4" w:lineRule="exact"/>
        <w:rPr>
          <w:sz w:val="20"/>
          <w:szCs w:val="20"/>
          <w:color w:val="auto"/>
        </w:rPr>
      </w:pPr>
    </w:p>
    <w:p>
      <w:pPr>
        <w:ind w:left="54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1120"/>
        <w:spacing w:after="0"/>
        <w:rPr>
          <w:sz w:val="20"/>
          <w:szCs w:val="20"/>
          <w:color w:val="auto"/>
        </w:rPr>
      </w:pPr>
      <w:r>
        <w:rPr>
          <w:rFonts w:ascii="Courier New" w:cs="Courier New" w:eastAsia="Courier New" w:hAnsi="Courier New"/>
          <w:sz w:val="18"/>
          <w:szCs w:val="18"/>
          <w:color w:val="auto"/>
        </w:rPr>
        <w:t>1996 DEFERRED COMPENSATION PLAN</w:t>
      </w:r>
    </w:p>
    <w:p>
      <w:pPr>
        <w:sectPr>
          <w:pgSz w:w="11900" w:h="16838" w:orient="portrait"/>
          <w:cols w:equalWidth="0" w:num="1">
            <w:col w:w="9019"/>
          </w:cols>
          <w:pgMar w:left="1440" w:top="339" w:right="1440" w:bottom="1440" w:gutter="0" w:footer="0" w:header="0"/>
        </w:sectPr>
      </w:pPr>
    </w:p>
    <w:bookmarkStart w:id="33" w:name="page34"/>
    <w:bookmarkEnd w:id="3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ind w:left="2100"/>
        <w:spacing w:after="0"/>
        <w:rPr>
          <w:sz w:val="20"/>
          <w:szCs w:val="20"/>
          <w:color w:val="auto"/>
        </w:rPr>
      </w:pPr>
      <w:r>
        <w:rPr>
          <w:rFonts w:ascii="Courier New" w:cs="Courier New" w:eastAsia="Courier New" w:hAnsi="Courier New"/>
          <w:sz w:val="18"/>
          <w:szCs w:val="18"/>
          <w:color w:val="auto"/>
        </w:rPr>
        <w:t>TABLE OF CONTENTS</w:t>
      </w:r>
    </w:p>
    <w:p>
      <w:pPr>
        <w:ind w:left="21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w w:val="92"/>
              </w:rPr>
              <w:t>Page</w:t>
            </w:r>
          </w:p>
        </w:tc>
      </w:tr>
      <w:tr>
        <w:trPr>
          <w:trHeight w:val="405"/>
        </w:trPr>
        <w:tc>
          <w:tcPr>
            <w:tcW w:w="46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5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ESTABLISHMENT OF PLAN . . . . . . . . . . . . . . .</w:t>
            </w:r>
          </w:p>
        </w:tc>
        <w:tc>
          <w:tcPr>
            <w:tcW w:w="580" w:type="dxa"/>
            <w:vAlign w:val="bottom"/>
          </w:tcPr>
          <w:p>
            <w:pPr>
              <w:ind w:left="360"/>
              <w:spacing w:after="0"/>
              <w:rPr>
                <w:sz w:val="20"/>
                <w:szCs w:val="20"/>
                <w:color w:val="auto"/>
              </w:rPr>
            </w:pPr>
            <w:r>
              <w:rPr>
                <w:rFonts w:ascii="Courier New" w:cs="Courier New" w:eastAsia="Courier New" w:hAnsi="Courier New"/>
                <w:sz w:val="18"/>
                <w:szCs w:val="18"/>
                <w:color w:val="auto"/>
              </w:rPr>
              <w:t>1</w:t>
            </w:r>
          </w:p>
        </w:tc>
      </w:tr>
      <w:tr>
        <w:trPr>
          <w:trHeight w:val="405"/>
        </w:trPr>
        <w:tc>
          <w:tcPr>
            <w:tcW w:w="46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5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DEFINITIONS . . . . . . . . . . . . . . . . . . . .</w:t>
            </w:r>
          </w:p>
        </w:tc>
        <w:tc>
          <w:tcPr>
            <w:tcW w:w="580" w:type="dxa"/>
            <w:vAlign w:val="bottom"/>
          </w:tcPr>
          <w:p>
            <w:pPr>
              <w:ind w:left="360"/>
              <w:spacing w:after="0"/>
              <w:rPr>
                <w:sz w:val="20"/>
                <w:szCs w:val="20"/>
                <w:color w:val="auto"/>
              </w:rPr>
            </w:pPr>
            <w:r>
              <w:rPr>
                <w:rFonts w:ascii="Courier New" w:cs="Courier New" w:eastAsia="Courier New" w:hAnsi="Courier New"/>
                <w:sz w:val="18"/>
                <w:szCs w:val="18"/>
                <w:color w:val="auto"/>
              </w:rPr>
              <w:t>1</w:t>
            </w:r>
          </w:p>
        </w:tc>
      </w:tr>
      <w:tr>
        <w:trPr>
          <w:trHeight w:val="405"/>
        </w:trPr>
        <w:tc>
          <w:tcPr>
            <w:tcW w:w="46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5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ELECTION TO DEFER COMPENSATION. . . . . . . . . . .</w:t>
            </w:r>
          </w:p>
        </w:tc>
        <w:tc>
          <w:tcPr>
            <w:tcW w:w="580" w:type="dxa"/>
            <w:vAlign w:val="bottom"/>
          </w:tcPr>
          <w:p>
            <w:pPr>
              <w:ind w:left="360"/>
              <w:spacing w:after="0"/>
              <w:rPr>
                <w:sz w:val="20"/>
                <w:szCs w:val="20"/>
                <w:color w:val="auto"/>
              </w:rPr>
            </w:pPr>
            <w:r>
              <w:rPr>
                <w:rFonts w:ascii="Courier New" w:cs="Courier New" w:eastAsia="Courier New" w:hAnsi="Courier New"/>
                <w:sz w:val="18"/>
                <w:szCs w:val="18"/>
                <w:color w:val="auto"/>
              </w:rPr>
              <w:t>7</w:t>
            </w:r>
          </w:p>
        </w:tc>
      </w:tr>
      <w:tr>
        <w:trPr>
          <w:trHeight w:val="405"/>
        </w:trPr>
        <w:tc>
          <w:tcPr>
            <w:tcW w:w="46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FORMS OF DISTRIBUTION . . . . . . . . . . . . . . .</w:t>
            </w:r>
          </w:p>
        </w:tc>
        <w:tc>
          <w:tcPr>
            <w:tcW w:w="580" w:type="dxa"/>
            <w:vAlign w:val="bottom"/>
          </w:tcPr>
          <w:p>
            <w:pPr>
              <w:ind w:left="360"/>
              <w:spacing w:after="0"/>
              <w:rPr>
                <w:sz w:val="20"/>
                <w:szCs w:val="20"/>
                <w:color w:val="auto"/>
              </w:rPr>
            </w:pPr>
            <w:r>
              <w:rPr>
                <w:rFonts w:ascii="Courier New" w:cs="Courier New" w:eastAsia="Courier New" w:hAnsi="Courier New"/>
                <w:sz w:val="18"/>
                <w:szCs w:val="18"/>
                <w:color w:val="auto"/>
                <w:w w:val="92"/>
              </w:rPr>
              <w:t>11</w:t>
            </w:r>
          </w:p>
        </w:tc>
      </w:tr>
      <w:tr>
        <w:trPr>
          <w:trHeight w:val="405"/>
        </w:trPr>
        <w:tc>
          <w:tcPr>
            <w:tcW w:w="46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5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BOOK ACCOUNTS . . . . . . . . . . . . . . . . . . .</w:t>
            </w:r>
          </w:p>
        </w:tc>
        <w:tc>
          <w:tcPr>
            <w:tcW w:w="580" w:type="dxa"/>
            <w:vAlign w:val="bottom"/>
          </w:tcPr>
          <w:p>
            <w:pPr>
              <w:ind w:left="360"/>
              <w:spacing w:after="0"/>
              <w:rPr>
                <w:sz w:val="20"/>
                <w:szCs w:val="20"/>
                <w:color w:val="auto"/>
              </w:rPr>
            </w:pPr>
            <w:r>
              <w:rPr>
                <w:rFonts w:ascii="Courier New" w:cs="Courier New" w:eastAsia="Courier New" w:hAnsi="Courier New"/>
                <w:sz w:val="18"/>
                <w:szCs w:val="18"/>
                <w:color w:val="auto"/>
                <w:w w:val="92"/>
              </w:rPr>
              <w:t>11</w:t>
            </w:r>
          </w:p>
        </w:tc>
      </w:tr>
      <w:tr>
        <w:trPr>
          <w:trHeight w:val="405"/>
        </w:trPr>
        <w:tc>
          <w:tcPr>
            <w:tcW w:w="46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5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NON-ASSIGNABILITY, ETC. . . . . . . . . . . . . . .</w:t>
            </w:r>
          </w:p>
        </w:tc>
        <w:tc>
          <w:tcPr>
            <w:tcW w:w="580" w:type="dxa"/>
            <w:vAlign w:val="bottom"/>
          </w:tcPr>
          <w:p>
            <w:pPr>
              <w:ind w:left="360"/>
              <w:spacing w:after="0"/>
              <w:rPr>
                <w:sz w:val="20"/>
                <w:szCs w:val="20"/>
                <w:color w:val="auto"/>
              </w:rPr>
            </w:pPr>
            <w:r>
              <w:rPr>
                <w:rFonts w:ascii="Courier New" w:cs="Courier New" w:eastAsia="Courier New" w:hAnsi="Courier New"/>
                <w:sz w:val="18"/>
                <w:szCs w:val="18"/>
                <w:color w:val="auto"/>
                <w:w w:val="92"/>
              </w:rPr>
              <w:t>13</w:t>
            </w:r>
          </w:p>
        </w:tc>
      </w:tr>
      <w:tr>
        <w:trPr>
          <w:trHeight w:val="405"/>
        </w:trPr>
        <w:tc>
          <w:tcPr>
            <w:tcW w:w="46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5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DEATH OR DISABILITY OF PARTICIPANT. . . . . . . . .</w:t>
            </w:r>
          </w:p>
        </w:tc>
        <w:tc>
          <w:tcPr>
            <w:tcW w:w="580" w:type="dxa"/>
            <w:vAlign w:val="bottom"/>
          </w:tcPr>
          <w:p>
            <w:pPr>
              <w:ind w:left="360"/>
              <w:spacing w:after="0"/>
              <w:rPr>
                <w:sz w:val="20"/>
                <w:szCs w:val="20"/>
                <w:color w:val="auto"/>
              </w:rPr>
            </w:pPr>
            <w:r>
              <w:rPr>
                <w:rFonts w:ascii="Courier New" w:cs="Courier New" w:eastAsia="Courier New" w:hAnsi="Courier New"/>
                <w:sz w:val="18"/>
                <w:szCs w:val="18"/>
                <w:color w:val="auto"/>
                <w:w w:val="92"/>
              </w:rPr>
              <w:t>13</w:t>
            </w:r>
          </w:p>
        </w:tc>
      </w:tr>
      <w:tr>
        <w:trPr>
          <w:trHeight w:val="405"/>
        </w:trPr>
        <w:tc>
          <w:tcPr>
            <w:tcW w:w="46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5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INTERPRETATION. . . . . . . . . . . . . . . . . . .</w:t>
            </w:r>
          </w:p>
        </w:tc>
        <w:tc>
          <w:tcPr>
            <w:tcW w:w="580" w:type="dxa"/>
            <w:vAlign w:val="bottom"/>
          </w:tcPr>
          <w:p>
            <w:pPr>
              <w:ind w:left="360"/>
              <w:spacing w:after="0"/>
              <w:rPr>
                <w:sz w:val="20"/>
                <w:szCs w:val="20"/>
                <w:color w:val="auto"/>
              </w:rPr>
            </w:pPr>
            <w:r>
              <w:rPr>
                <w:rFonts w:ascii="Courier New" w:cs="Courier New" w:eastAsia="Courier New" w:hAnsi="Courier New"/>
                <w:sz w:val="18"/>
                <w:szCs w:val="18"/>
                <w:color w:val="auto"/>
                <w:w w:val="92"/>
              </w:rPr>
              <w:t>14</w:t>
            </w:r>
          </w:p>
        </w:tc>
      </w:tr>
      <w:tr>
        <w:trPr>
          <w:trHeight w:val="405"/>
        </w:trPr>
        <w:tc>
          <w:tcPr>
            <w:tcW w:w="46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5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AMENDMENT OR TERMINATION. . . . . . . . . . . . . .</w:t>
            </w:r>
          </w:p>
        </w:tc>
        <w:tc>
          <w:tcPr>
            <w:tcW w:w="580" w:type="dxa"/>
            <w:vAlign w:val="bottom"/>
          </w:tcPr>
          <w:p>
            <w:pPr>
              <w:ind w:left="360"/>
              <w:spacing w:after="0"/>
              <w:rPr>
                <w:sz w:val="20"/>
                <w:szCs w:val="20"/>
                <w:color w:val="auto"/>
              </w:rPr>
            </w:pPr>
            <w:r>
              <w:rPr>
                <w:rFonts w:ascii="Courier New" w:cs="Courier New" w:eastAsia="Courier New" w:hAnsi="Courier New"/>
                <w:sz w:val="18"/>
                <w:szCs w:val="18"/>
                <w:color w:val="auto"/>
                <w:w w:val="92"/>
              </w:rPr>
              <w:t>14</w:t>
            </w:r>
          </w:p>
        </w:tc>
      </w:tr>
      <w:tr>
        <w:trPr>
          <w:trHeight w:val="405"/>
        </w:trPr>
        <w:tc>
          <w:tcPr>
            <w:tcW w:w="61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7"/>
              </w:rPr>
              <w:t>10.   MISCELLANEOUS PROVISIONS. . . . . . . . . . . . . .</w:t>
            </w:r>
          </w:p>
        </w:tc>
        <w:tc>
          <w:tcPr>
            <w:tcW w:w="580" w:type="dxa"/>
            <w:vAlign w:val="bottom"/>
          </w:tcPr>
          <w:p>
            <w:pPr>
              <w:ind w:left="360"/>
              <w:spacing w:after="0"/>
              <w:rPr>
                <w:sz w:val="20"/>
                <w:szCs w:val="20"/>
                <w:color w:val="auto"/>
              </w:rPr>
            </w:pPr>
            <w:r>
              <w:rPr>
                <w:rFonts w:ascii="Courier New" w:cs="Courier New" w:eastAsia="Courier New" w:hAnsi="Courier New"/>
                <w:sz w:val="18"/>
                <w:szCs w:val="18"/>
                <w:color w:val="auto"/>
                <w:w w:val="92"/>
              </w:rPr>
              <w:t>15</w:t>
            </w:r>
          </w:p>
        </w:tc>
      </w:tr>
      <w:tr>
        <w:trPr>
          <w:trHeight w:val="405"/>
        </w:trPr>
        <w:tc>
          <w:tcPr>
            <w:tcW w:w="46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5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EFFECTIVE DATE. . . . . . . . . . . . . . . . . . .</w:t>
            </w:r>
          </w:p>
        </w:tc>
        <w:tc>
          <w:tcPr>
            <w:tcW w:w="580" w:type="dxa"/>
            <w:vAlign w:val="bottom"/>
          </w:tcPr>
          <w:p>
            <w:pPr>
              <w:ind w:left="360"/>
              <w:spacing w:after="0"/>
              <w:rPr>
                <w:sz w:val="20"/>
                <w:szCs w:val="20"/>
                <w:color w:val="auto"/>
              </w:rPr>
            </w:pPr>
            <w:r>
              <w:rPr>
                <w:rFonts w:ascii="Courier New" w:cs="Courier New" w:eastAsia="Courier New" w:hAnsi="Courier New"/>
                <w:sz w:val="18"/>
                <w:szCs w:val="18"/>
                <w:color w:val="auto"/>
                <w:w w:val="92"/>
              </w:rPr>
              <w:t>15</w:t>
            </w:r>
          </w:p>
        </w:tc>
      </w:tr>
    </w:tbl>
    <w:p>
      <w:pPr>
        <w:sectPr>
          <w:pgSz w:w="11900" w:h="16838" w:orient="portrait"/>
          <w:cols w:equalWidth="0" w:num="1">
            <w:col w:w="9359"/>
          </w:cols>
          <w:pgMar w:left="1100" w:top="717" w:right="1440" w:bottom="1440" w:gutter="0" w:footer="0" w:header="0"/>
        </w:sectPr>
      </w:pPr>
    </w:p>
    <w:bookmarkStart w:id="35" w:name="page36"/>
    <w:bookmarkEnd w:id="3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ind w:left="2960"/>
        <w:spacing w:after="0"/>
        <w:rPr>
          <w:sz w:val="20"/>
          <w:szCs w:val="20"/>
          <w:color w:val="auto"/>
        </w:rPr>
      </w:pPr>
      <w:r>
        <w:rPr>
          <w:rFonts w:ascii="Courier New" w:cs="Courier New" w:eastAsia="Courier New" w:hAnsi="Courier New"/>
          <w:sz w:val="18"/>
          <w:szCs w:val="18"/>
          <w:color w:val="auto"/>
        </w:rPr>
        <w:t>COMCAST CORPORATION</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1996 DEFERRED COMPENSATION PLAN</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AMENDED AND RESTATED, EFFECTIVE DECEMBER 10, 1996)</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160" w:hanging="625"/>
        <w:spacing w:after="0"/>
        <w:tabs>
          <w:tab w:leader="none" w:pos="11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ESTABLISHMENT OF PLAN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firstLine="316"/>
        <w:spacing w:after="0" w:line="237" w:lineRule="auto"/>
        <w:rPr>
          <w:sz w:val="20"/>
          <w:szCs w:val="20"/>
          <w:color w:val="auto"/>
        </w:rPr>
      </w:pPr>
      <w:r>
        <w:rPr>
          <w:rFonts w:ascii="Courier New" w:cs="Courier New" w:eastAsia="Courier New" w:hAnsi="Courier New"/>
          <w:sz w:val="18"/>
          <w:szCs w:val="18"/>
          <w:color w:val="auto"/>
        </w:rPr>
        <w:t>COMCAST CORPORATION, a Pennsylvania corporation, hereby amends and restates the Comcast Corporation 1996 Deferred Compensation Plan (the "Plan"), effective as of December 10, 1996. The Plan was adopted effective as of August 15, 1996, to permit outside directors and eligible employees to defer the receipt of compensation otherwise payable to such outside directors and eligible employees in accordance with the terms of the Plan. The Plan is a continuation of the Prior Plan, which was initially effective as of February 12, 1974. The Plan is unfunded and is maintained primarily for the purpose of providing deferred compensation to outside directors and to a select group of management or highly compensated employees.</w:t>
      </w:r>
    </w:p>
    <w:p>
      <w:pPr>
        <w:spacing w:after="0" w:line="210" w:lineRule="exact"/>
        <w:rPr>
          <w:sz w:val="20"/>
          <w:szCs w:val="20"/>
          <w:color w:val="auto"/>
        </w:rPr>
      </w:pPr>
    </w:p>
    <w:p>
      <w:pPr>
        <w:ind w:left="1160" w:hanging="625"/>
        <w:spacing w:after="0"/>
        <w:tabs>
          <w:tab w:leader="none" w:pos="11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2.1 "Account" means the bookkeeping accounts established pursuant to Section 5.1 and maintained by the Administrator in the names of the respective Participants, to which all amounts deferred and earnings allocated under the Plan shall be credited, and from which all amounts distributed under the Plan shall be debited.</w:t>
      </w:r>
    </w:p>
    <w:p>
      <w:pPr>
        <w:spacing w:after="0" w:line="20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2.2 "Affiliate"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207"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"Active Participant" means:</w:t>
      </w:r>
    </w:p>
    <w:p>
      <w:pPr>
        <w:spacing w:after="0" w:line="207" w:lineRule="exact"/>
        <w:rPr>
          <w:sz w:val="20"/>
          <w:szCs w:val="20"/>
          <w:color w:val="auto"/>
        </w:rPr>
      </w:pPr>
    </w:p>
    <w:p>
      <w:pPr>
        <w:ind w:left="1900" w:right="2519" w:hanging="842"/>
        <w:spacing w:after="0" w:line="235" w:lineRule="auto"/>
        <w:tabs>
          <w:tab w:leader="none" w:pos="188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8"/>
          <w:szCs w:val="18"/>
          <w:color w:val="auto"/>
        </w:rPr>
        <w:t>Each Participant who is in active service as an Outside Director; and</w:t>
      </w:r>
    </w:p>
    <w:p>
      <w:pPr>
        <w:spacing w:after="0" w:line="208" w:lineRule="exact"/>
        <w:rPr>
          <w:sz w:val="20"/>
          <w:szCs w:val="20"/>
          <w:color w:val="auto"/>
        </w:rPr>
      </w:pPr>
    </w:p>
    <w:p>
      <w:pPr>
        <w:jc w:val="right"/>
        <w:ind w:left="1060" w:right="3479"/>
        <w:spacing w:after="0" w:line="235" w:lineRule="auto"/>
        <w:rPr>
          <w:sz w:val="20"/>
          <w:szCs w:val="20"/>
          <w:color w:val="auto"/>
        </w:rPr>
      </w:pPr>
      <w:r>
        <w:rPr>
          <w:rFonts w:ascii="Courier New" w:cs="Courier New" w:eastAsia="Courier New" w:hAnsi="Courier New"/>
          <w:sz w:val="18"/>
          <w:szCs w:val="18"/>
          <w:color w:val="auto"/>
        </w:rPr>
        <w:t>2.3.2   Each Participant who is actively employed by a Participating Company as an Eligible Employee.</w:t>
      </w:r>
    </w:p>
    <w:p>
      <w:pPr>
        <w:sectPr>
          <w:pgSz w:w="11900" w:h="16838" w:orient="portrait"/>
          <w:cols w:equalWidth="0" w:num="1">
            <w:col w:w="10219"/>
          </w:cols>
          <w:pgMar w:left="240" w:top="919" w:right="1440" w:bottom="1440" w:gutter="0" w:footer="0" w:header="0"/>
        </w:sectPr>
      </w:pPr>
    </w:p>
    <w:bookmarkStart w:id="37" w:name="page38"/>
    <w:bookmarkEnd w:id="37"/>
    <w:p>
      <w:pPr>
        <w:jc w:val="right"/>
        <w:spacing w:after="0" w:line="235" w:lineRule="auto"/>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ind w:left="540"/>
        <w:spacing w:after="0"/>
        <w:tabs>
          <w:tab w:leader="none" w:pos="11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"Administrator" means the Committee.</w:t>
      </w:r>
    </w:p>
    <w:p>
      <w:pPr>
        <w:spacing w:after="0" w:line="201"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"Annual Rate of Pay" means, as of any date, the sum of:</w:t>
      </w:r>
    </w:p>
    <w:p>
      <w:pPr>
        <w:spacing w:after="0" w:line="201" w:lineRule="exact"/>
        <w:rPr>
          <w:sz w:val="20"/>
          <w:szCs w:val="20"/>
          <w:color w:val="auto"/>
        </w:rPr>
      </w:pPr>
    </w:p>
    <w:p>
      <w:pPr>
        <w:ind w:left="1060"/>
        <w:spacing w:after="0"/>
        <w:tabs>
          <w:tab w:leader="none" w:pos="1880" w:val="left"/>
        </w:tabs>
        <w:rPr>
          <w:sz w:val="20"/>
          <w:szCs w:val="20"/>
          <w:color w:val="auto"/>
        </w:rPr>
      </w:pPr>
      <w:r>
        <w:rPr>
          <w:rFonts w:ascii="Courier New" w:cs="Courier New" w:eastAsia="Courier New" w:hAnsi="Courier New"/>
          <w:sz w:val="18"/>
          <w:szCs w:val="18"/>
          <w:color w:val="auto"/>
        </w:rPr>
        <w:t>2.5.1</w:t>
      </w:r>
      <w:r>
        <w:rPr>
          <w:sz w:val="20"/>
          <w:szCs w:val="20"/>
          <w:color w:val="auto"/>
        </w:rPr>
        <w:tab/>
      </w:r>
      <w:r>
        <w:rPr>
          <w:rFonts w:ascii="Courier New" w:cs="Courier New" w:eastAsia="Courier New" w:hAnsi="Courier New"/>
          <w:sz w:val="16"/>
          <w:szCs w:val="16"/>
          <w:color w:val="auto"/>
        </w:rPr>
        <w:t>An employee's annualized base pay rate, plus</w:t>
      </w:r>
    </w:p>
    <w:p>
      <w:pPr>
        <w:spacing w:after="0" w:line="207" w:lineRule="exact"/>
        <w:rPr>
          <w:sz w:val="20"/>
          <w:szCs w:val="20"/>
          <w:color w:val="auto"/>
        </w:rPr>
      </w:pPr>
    </w:p>
    <w:p>
      <w:pPr>
        <w:ind w:left="1900" w:right="2739" w:hanging="842"/>
        <w:spacing w:after="0" w:line="236" w:lineRule="auto"/>
        <w:tabs>
          <w:tab w:leader="none" w:pos="1880" w:val="left"/>
        </w:tabs>
        <w:rPr>
          <w:sz w:val="20"/>
          <w:szCs w:val="20"/>
          <w:color w:val="auto"/>
        </w:rPr>
      </w:pPr>
      <w:r>
        <w:rPr>
          <w:rFonts w:ascii="Courier New" w:cs="Courier New" w:eastAsia="Courier New" w:hAnsi="Courier New"/>
          <w:sz w:val="18"/>
          <w:szCs w:val="18"/>
          <w:color w:val="auto"/>
        </w:rPr>
        <w:t>2.5.2</w:t>
      </w:r>
      <w:r>
        <w:rPr>
          <w:sz w:val="20"/>
          <w:szCs w:val="20"/>
          <w:color w:val="auto"/>
        </w:rPr>
        <w:tab/>
      </w:r>
      <w:r>
        <w:rPr>
          <w:rFonts w:ascii="Courier New" w:cs="Courier New" w:eastAsia="Courier New" w:hAnsi="Courier New"/>
          <w:sz w:val="18"/>
          <w:szCs w:val="18"/>
          <w:color w:val="auto"/>
        </w:rPr>
        <w:t>The amount of bonus, if any, paid to such employee pursuant to a Bonus Program during the 365-day period ending on such date.</w:t>
      </w:r>
    </w:p>
    <w:p>
      <w:pPr>
        <w:spacing w:after="0" w:line="20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An employee's Annual Rate of Pay shall not include sales commissions or other similar payments or awards.</w:t>
      </w:r>
    </w:p>
    <w:p>
      <w:pPr>
        <w:spacing w:after="0" w:line="203"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6"/>
          <w:szCs w:val="16"/>
          <w:color w:val="auto"/>
        </w:rPr>
        <w:t>"Applicable Interest Rate" means:</w:t>
      </w:r>
    </w:p>
    <w:p>
      <w:pPr>
        <w:spacing w:after="0" w:line="207" w:lineRule="exact"/>
        <w:rPr>
          <w:sz w:val="20"/>
          <w:szCs w:val="20"/>
          <w:color w:val="auto"/>
        </w:rPr>
      </w:pPr>
    </w:p>
    <w:p>
      <w:pPr>
        <w:ind w:left="1900" w:right="2419" w:hanging="842"/>
        <w:spacing w:after="0" w:line="279" w:lineRule="auto"/>
        <w:tabs>
          <w:tab w:leader="none" w:pos="1880" w:val="left"/>
        </w:tabs>
        <w:rPr>
          <w:sz w:val="20"/>
          <w:szCs w:val="20"/>
          <w:color w:val="auto"/>
        </w:rPr>
      </w:pPr>
      <w:r>
        <w:rPr>
          <w:rFonts w:ascii="Courier New" w:cs="Courier New" w:eastAsia="Courier New" w:hAnsi="Courier New"/>
          <w:sz w:val="18"/>
          <w:szCs w:val="18"/>
          <w:color w:val="auto"/>
        </w:rPr>
        <w:t>2.6.1</w:t>
      </w:r>
      <w:r>
        <w:rPr>
          <w:sz w:val="20"/>
          <w:szCs w:val="20"/>
          <w:color w:val="auto"/>
        </w:rPr>
        <w:tab/>
      </w:r>
      <w:r>
        <w:rPr>
          <w:rFonts w:ascii="Courier New" w:cs="Courier New" w:eastAsia="Courier New" w:hAnsi="Courier New"/>
          <w:sz w:val="16"/>
          <w:szCs w:val="16"/>
          <w:color w:val="auto"/>
        </w:rPr>
        <w:t>Except as otherwise provided in Section 2.6.2, the Applicable Interest Rate means 12% per annum, compounded annually as of the last day of the Plan Year.</w:t>
      </w:r>
    </w:p>
    <w:p>
      <w:pPr>
        <w:spacing w:after="0" w:line="178" w:lineRule="exact"/>
        <w:rPr>
          <w:sz w:val="20"/>
          <w:szCs w:val="20"/>
          <w:color w:val="auto"/>
        </w:rPr>
      </w:pPr>
    </w:p>
    <w:p>
      <w:pPr>
        <w:ind w:left="1900" w:right="2419" w:hanging="842"/>
        <w:spacing w:after="0" w:line="237" w:lineRule="auto"/>
        <w:tabs>
          <w:tab w:leader="none" w:pos="1880" w:val="left"/>
        </w:tabs>
        <w:rPr>
          <w:sz w:val="20"/>
          <w:szCs w:val="20"/>
          <w:color w:val="auto"/>
        </w:rPr>
      </w:pPr>
      <w:r>
        <w:rPr>
          <w:rFonts w:ascii="Courier New" w:cs="Courier New" w:eastAsia="Courier New" w:hAnsi="Courier New"/>
          <w:sz w:val="18"/>
          <w:szCs w:val="18"/>
          <w:color w:val="auto"/>
        </w:rPr>
        <w:t>2.6.2</w:t>
      </w:r>
      <w:r>
        <w:rPr>
          <w:sz w:val="20"/>
          <w:szCs w:val="20"/>
          <w:color w:val="auto"/>
        </w:rPr>
        <w:tab/>
      </w:r>
      <w:r>
        <w:rPr>
          <w:rFonts w:ascii="Courier New" w:cs="Courier New" w:eastAsia="Courier New" w:hAnsi="Courier New"/>
          <w:sz w:val="18"/>
          <w:szCs w:val="18"/>
          <w:color w:val="auto"/>
        </w:rPr>
        <w:t>Except to the extent otherwise required by Section 9.2, effective for the period extending from a Participant's employment termination date to the date the Participant's Account is distributed in full, the Administrator, in its sole discretion, may designate the term "Applicable Interest Rate" for such Participant's Account to mean the lesser of (1) the rate in effect under Section 2.6.1 or (2) the Prime Rate plus one percent, compounded annually as of the last day of the Plan Year.</w:t>
      </w:r>
    </w:p>
    <w:p>
      <w:pPr>
        <w:spacing w:after="0" w:line="215"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2.7 "Board" means the Board of Directors of the Company, or the Executive Committee of the Board of Directors of the Company.</w:t>
      </w:r>
    </w:p>
    <w:p>
      <w:pPr>
        <w:spacing w:after="0" w:line="208"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2.8 "Bonus Program" means a plan or arrangement maintained by a Participating Company for the benefit of a class or category of employees, which provides for the payment of a cash bonus to eligible members of such class or category upon the satisfaction of such conditions as may be provided under such plan or arrangement, provided that the term "Bonus Program" shall not include any arrangement for the payment of sales commissions or other similar payments or awards.</w:t>
      </w:r>
    </w:p>
    <w:p>
      <w:pPr>
        <w:spacing w:after="0" w:line="211"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2.9 "Change of Control" means any transaction or series of transactions 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39" w:name="page40"/>
    <w:bookmarkEnd w:id="3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ind w:right="2739" w:firstLine="527"/>
        <w:spacing w:after="0" w:line="236" w:lineRule="auto"/>
        <w:rPr>
          <w:sz w:val="20"/>
          <w:szCs w:val="20"/>
          <w:color w:val="auto"/>
        </w:rPr>
      </w:pPr>
      <w:r>
        <w:rPr>
          <w:rFonts w:ascii="Courier New" w:cs="Courier New" w:eastAsia="Courier New" w:hAnsi="Courier New"/>
          <w:sz w:val="18"/>
          <w:szCs w:val="18"/>
          <w:color w:val="auto"/>
        </w:rPr>
        <w:t>2.10 "Committee" means the Subcommittee on Performance Based Compensation of the Compensation Committee of the Board of Directors of the Company.</w:t>
      </w:r>
    </w:p>
    <w:p>
      <w:pPr>
        <w:spacing w:after="0" w:line="209" w:lineRule="exact"/>
        <w:rPr>
          <w:sz w:val="20"/>
          <w:szCs w:val="20"/>
          <w:color w:val="auto"/>
        </w:rPr>
      </w:pPr>
    </w:p>
    <w:p>
      <w:pPr>
        <w:ind w:right="2519" w:firstLine="527"/>
        <w:spacing w:after="0" w:line="279" w:lineRule="auto"/>
        <w:rPr>
          <w:sz w:val="20"/>
          <w:szCs w:val="20"/>
          <w:color w:val="auto"/>
        </w:rPr>
      </w:pPr>
      <w:r>
        <w:rPr>
          <w:rFonts w:ascii="Courier New" w:cs="Courier New" w:eastAsia="Courier New" w:hAnsi="Courier New"/>
          <w:sz w:val="16"/>
          <w:szCs w:val="16"/>
          <w:color w:val="auto"/>
        </w:rPr>
        <w:t>2.11 "Company" means Comcast Corporation, a Pennsylvania corporation, including any successor thereto by merger, consolidation, acquisition of all or substantially all the assets thereof, or otherwise.</w:t>
      </w:r>
    </w:p>
    <w:p>
      <w:pPr>
        <w:spacing w:after="0" w:line="178" w:lineRule="exact"/>
        <w:rPr>
          <w:sz w:val="20"/>
          <w:szCs w:val="20"/>
          <w:color w:val="auto"/>
        </w:rPr>
      </w:pPr>
    </w:p>
    <w:p>
      <w:pPr>
        <w:ind w:right="2419" w:firstLine="527"/>
        <w:spacing w:after="0" w:line="238" w:lineRule="auto"/>
        <w:rPr>
          <w:sz w:val="20"/>
          <w:szCs w:val="20"/>
          <w:color w:val="auto"/>
        </w:rPr>
      </w:pPr>
      <w:r>
        <w:rPr>
          <w:rFonts w:ascii="Courier New" w:cs="Courier New" w:eastAsia="Courier New" w:hAnsi="Courier New"/>
          <w:sz w:val="18"/>
          <w:szCs w:val="18"/>
          <w:color w:val="auto"/>
        </w:rPr>
        <w:t>2.12 "Company Stock" means Comcast Corporation Class A Special Common Stock, par value, $1.00, including a fractional share, or such other securities issued by Comcast Corporation as may be the subject to adjustment in the event that shares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2.12. The Committee's adjustment shall be effective and binding for all purposes of the Plan.</w:t>
      </w:r>
    </w:p>
    <w:p>
      <w:pPr>
        <w:spacing w:after="0" w:line="208" w:lineRule="exact"/>
        <w:rPr>
          <w:sz w:val="20"/>
          <w:szCs w:val="20"/>
          <w:color w:val="auto"/>
        </w:rPr>
      </w:pPr>
    </w:p>
    <w:p>
      <w:pPr>
        <w:ind w:right="2419" w:firstLine="527"/>
        <w:spacing w:after="0" w:line="271" w:lineRule="auto"/>
        <w:rPr>
          <w:sz w:val="20"/>
          <w:szCs w:val="20"/>
          <w:color w:val="auto"/>
        </w:rPr>
      </w:pPr>
      <w:r>
        <w:rPr>
          <w:rFonts w:ascii="Courier New" w:cs="Courier New" w:eastAsia="Courier New" w:hAnsi="Courier New"/>
          <w:sz w:val="16"/>
          <w:szCs w:val="16"/>
          <w:color w:val="auto"/>
        </w:rPr>
        <w:t>2.13 "Company Stock Fund"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(to the extent the Account continues to be deemed invested in the Company Stock Fund through such December 31), based on the Fair Market Value for such December 31.</w:t>
      </w:r>
    </w:p>
    <w:p>
      <w:pPr>
        <w:spacing w:after="0" w:line="178"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2.14</w:t>
      </w:r>
      <w:r>
        <w:rPr>
          <w:sz w:val="20"/>
          <w:szCs w:val="20"/>
          <w:color w:val="auto"/>
        </w:rPr>
        <w:tab/>
      </w:r>
      <w:r>
        <w:rPr>
          <w:rFonts w:ascii="Courier New" w:cs="Courier New" w:eastAsia="Courier New" w:hAnsi="Courier New"/>
          <w:sz w:val="16"/>
          <w:szCs w:val="16"/>
          <w:color w:val="auto"/>
        </w:rPr>
        <w:t>"Compensation" means:</w:t>
      </w:r>
    </w:p>
    <w:p>
      <w:pPr>
        <w:spacing w:after="0" w:line="207" w:lineRule="exact"/>
        <w:rPr>
          <w:sz w:val="20"/>
          <w:szCs w:val="20"/>
          <w:color w:val="auto"/>
        </w:rPr>
      </w:pPr>
    </w:p>
    <w:p>
      <w:pPr>
        <w:ind w:left="1900" w:right="2619" w:hanging="842"/>
        <w:spacing w:after="0" w:line="236" w:lineRule="auto"/>
        <w:tabs>
          <w:tab w:leader="none" w:pos="1880" w:val="left"/>
        </w:tabs>
        <w:rPr>
          <w:sz w:val="20"/>
          <w:szCs w:val="20"/>
          <w:color w:val="auto"/>
        </w:rPr>
      </w:pPr>
      <w:r>
        <w:rPr>
          <w:rFonts w:ascii="Courier New" w:cs="Courier New" w:eastAsia="Courier New" w:hAnsi="Courier New"/>
          <w:sz w:val="18"/>
          <w:szCs w:val="18"/>
          <w:color w:val="auto"/>
        </w:rPr>
        <w:t>2.14.1</w:t>
        <w:tab/>
        <w:t>In the case of an Outside Director, the total cash remuneration for services as a member of the Board and as a member of any Committee of the Board; and</w:t>
      </w:r>
    </w:p>
    <w:p>
      <w:pPr>
        <w:spacing w:after="0" w:line="209" w:lineRule="exact"/>
        <w:rPr>
          <w:sz w:val="20"/>
          <w:szCs w:val="20"/>
          <w:color w:val="auto"/>
        </w:rPr>
      </w:pPr>
    </w:p>
    <w:p>
      <w:pPr>
        <w:ind w:left="1900" w:right="2739" w:hanging="842"/>
        <w:spacing w:after="0" w:line="237" w:lineRule="auto"/>
        <w:tabs>
          <w:tab w:leader="none" w:pos="1880" w:val="left"/>
        </w:tabs>
        <w:rPr>
          <w:sz w:val="20"/>
          <w:szCs w:val="20"/>
          <w:color w:val="auto"/>
        </w:rPr>
      </w:pPr>
      <w:r>
        <w:rPr>
          <w:rFonts w:ascii="Courier New" w:cs="Courier New" w:eastAsia="Courier New" w:hAnsi="Courier New"/>
          <w:sz w:val="18"/>
          <w:szCs w:val="18"/>
          <w:color w:val="auto"/>
        </w:rPr>
        <w:t>2.14.2</w:t>
        <w:tab/>
        <w:t>In the case of an Eligible Employee, the total cash remuneration for services payable by a Participating Company, excluding sales commissions or other similar payments or awards.</w:t>
      </w:r>
    </w:p>
    <w:p>
      <w:pPr>
        <w:spacing w:after="0" w:line="202"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2.15</w:t>
      </w:r>
      <w:r>
        <w:rPr>
          <w:sz w:val="20"/>
          <w:szCs w:val="20"/>
          <w:color w:val="auto"/>
        </w:rPr>
        <w:tab/>
      </w:r>
      <w:r>
        <w:rPr>
          <w:rFonts w:ascii="Courier New" w:cs="Courier New" w:eastAsia="Courier New" w:hAnsi="Courier New"/>
          <w:sz w:val="16"/>
          <w:szCs w:val="16"/>
          <w:color w:val="auto"/>
        </w:rPr>
        <w:t>"Deceased Participant" means:</w:t>
      </w:r>
    </w:p>
    <w:p>
      <w:pPr>
        <w:spacing w:after="0" w:line="207" w:lineRule="exact"/>
        <w:rPr>
          <w:sz w:val="20"/>
          <w:szCs w:val="20"/>
          <w:color w:val="auto"/>
        </w:rPr>
      </w:pPr>
    </w:p>
    <w:p>
      <w:pPr>
        <w:ind w:left="1900" w:right="2619" w:hanging="842"/>
        <w:spacing w:after="0" w:line="237" w:lineRule="auto"/>
        <w:tabs>
          <w:tab w:leader="none" w:pos="1880" w:val="left"/>
        </w:tabs>
        <w:rPr>
          <w:sz w:val="20"/>
          <w:szCs w:val="20"/>
          <w:color w:val="auto"/>
        </w:rPr>
      </w:pPr>
      <w:r>
        <w:rPr>
          <w:rFonts w:ascii="Courier New" w:cs="Courier New" w:eastAsia="Courier New" w:hAnsi="Courier New"/>
          <w:sz w:val="18"/>
          <w:szCs w:val="18"/>
          <w:color w:val="auto"/>
        </w:rPr>
        <w:t>2.15.1</w:t>
        <w:tab/>
        <w:t>A Participant whose employment, or, in the case of a Participant who was an Outside Director, a Participant whose service as an Outside Director, is terminated by death; or</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41" w:name="page42"/>
    <w:bookmarkEnd w:id="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ind w:left="1900" w:right="2619" w:hanging="842"/>
        <w:spacing w:after="0" w:line="235" w:lineRule="auto"/>
        <w:tabs>
          <w:tab w:leader="none" w:pos="1880" w:val="left"/>
        </w:tabs>
        <w:rPr>
          <w:sz w:val="20"/>
          <w:szCs w:val="20"/>
          <w:color w:val="auto"/>
        </w:rPr>
      </w:pPr>
      <w:r>
        <w:rPr>
          <w:rFonts w:ascii="Courier New" w:cs="Courier New" w:eastAsia="Courier New" w:hAnsi="Courier New"/>
          <w:sz w:val="18"/>
          <w:szCs w:val="18"/>
          <w:color w:val="auto"/>
        </w:rPr>
        <w:t>2.15.2</w:t>
        <w:tab/>
        <w:t>An Inactive Participant who dies following termination of active service.</w:t>
      </w:r>
    </w:p>
    <w:p>
      <w:pPr>
        <w:spacing w:after="0" w:line="203"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2.16</w:t>
      </w:r>
      <w:r>
        <w:rPr>
          <w:sz w:val="20"/>
          <w:szCs w:val="20"/>
          <w:color w:val="auto"/>
        </w:rPr>
        <w:tab/>
      </w:r>
      <w:r>
        <w:rPr>
          <w:rFonts w:ascii="Courier New" w:cs="Courier New" w:eastAsia="Courier New" w:hAnsi="Courier New"/>
          <w:sz w:val="16"/>
          <w:szCs w:val="16"/>
          <w:color w:val="auto"/>
        </w:rPr>
        <w:t>"Disabled Participant" means:</w:t>
      </w:r>
    </w:p>
    <w:p>
      <w:pPr>
        <w:spacing w:after="0" w:line="207" w:lineRule="exact"/>
        <w:rPr>
          <w:sz w:val="20"/>
          <w:szCs w:val="20"/>
          <w:color w:val="auto"/>
        </w:rPr>
      </w:pPr>
    </w:p>
    <w:p>
      <w:pPr>
        <w:ind w:left="1900" w:right="2619" w:hanging="842"/>
        <w:spacing w:after="0" w:line="237" w:lineRule="auto"/>
        <w:tabs>
          <w:tab w:leader="none" w:pos="1880" w:val="left"/>
        </w:tabs>
        <w:rPr>
          <w:sz w:val="20"/>
          <w:szCs w:val="20"/>
          <w:color w:val="auto"/>
        </w:rPr>
      </w:pPr>
      <w:r>
        <w:rPr>
          <w:rFonts w:ascii="Courier New" w:cs="Courier New" w:eastAsia="Courier New" w:hAnsi="Courier New"/>
          <w:sz w:val="18"/>
          <w:szCs w:val="18"/>
          <w:color w:val="auto"/>
        </w:rPr>
        <w:t>2.16.1</w:t>
        <w:tab/>
        <w:t>A Participant whose employment or, in the case of a Participant who is an Outside Director, a Participant whose service as an Outside Director, is terminated by reason of disability;</w:t>
      </w:r>
    </w:p>
    <w:p>
      <w:pPr>
        <w:spacing w:after="0" w:line="200" w:lineRule="exact"/>
        <w:rPr>
          <w:sz w:val="20"/>
          <w:szCs w:val="20"/>
          <w:color w:val="auto"/>
        </w:rPr>
      </w:pPr>
    </w:p>
    <w:p>
      <w:pPr>
        <w:spacing w:after="0" w:line="210" w:lineRule="exact"/>
        <w:rPr>
          <w:sz w:val="20"/>
          <w:szCs w:val="20"/>
          <w:color w:val="auto"/>
        </w:rPr>
      </w:pPr>
    </w:p>
    <w:p>
      <w:pPr>
        <w:ind w:left="1900" w:right="2739" w:hanging="842"/>
        <w:spacing w:after="0" w:line="236" w:lineRule="auto"/>
        <w:tabs>
          <w:tab w:leader="none" w:pos="1880" w:val="left"/>
        </w:tabs>
        <w:rPr>
          <w:sz w:val="20"/>
          <w:szCs w:val="20"/>
          <w:color w:val="auto"/>
        </w:rPr>
      </w:pPr>
      <w:r>
        <w:rPr>
          <w:rFonts w:ascii="Courier New" w:cs="Courier New" w:eastAsia="Courier New" w:hAnsi="Courier New"/>
          <w:sz w:val="18"/>
          <w:szCs w:val="18"/>
          <w:color w:val="auto"/>
        </w:rPr>
        <w:t>2.16.2</w:t>
        <w:tab/>
        <w:t>An Inactive Participant who becomes disabled (as determined by the Committee) following termination of active service; or</w:t>
      </w:r>
    </w:p>
    <w:p>
      <w:pPr>
        <w:spacing w:after="0" w:line="209" w:lineRule="exact"/>
        <w:rPr>
          <w:sz w:val="20"/>
          <w:szCs w:val="20"/>
          <w:color w:val="auto"/>
        </w:rPr>
      </w:pPr>
    </w:p>
    <w:p>
      <w:pPr>
        <w:ind w:left="1900" w:right="2619" w:hanging="842"/>
        <w:spacing w:after="0" w:line="236" w:lineRule="auto"/>
        <w:tabs>
          <w:tab w:leader="none" w:pos="1880" w:val="left"/>
        </w:tabs>
        <w:rPr>
          <w:sz w:val="20"/>
          <w:szCs w:val="20"/>
          <w:color w:val="auto"/>
        </w:rPr>
      </w:pPr>
      <w:r>
        <w:rPr>
          <w:rFonts w:ascii="Courier New" w:cs="Courier New" w:eastAsia="Courier New" w:hAnsi="Courier New"/>
          <w:sz w:val="18"/>
          <w:szCs w:val="18"/>
          <w:color w:val="auto"/>
        </w:rPr>
        <w:t>2.16.3</w:t>
        <w:tab/>
        <w:t>The duly-appointed legal guardian of an individual described in Section 2.16.1 or 2.16.2 acting on behalf of such individual.</w:t>
      </w:r>
    </w:p>
    <w:p>
      <w:pPr>
        <w:spacing w:after="0" w:line="209"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2.17 "Election" means a written election on a form provided by the Administrator, filed with the Administrator in accordance with Article 3, pursuant to which an Outside Director or an Eligible Employee may:</w:t>
      </w:r>
    </w:p>
    <w:p>
      <w:pPr>
        <w:spacing w:after="0" w:line="209" w:lineRule="exact"/>
        <w:rPr>
          <w:sz w:val="20"/>
          <w:szCs w:val="20"/>
          <w:color w:val="auto"/>
        </w:rPr>
      </w:pPr>
    </w:p>
    <w:p>
      <w:pPr>
        <w:ind w:left="1900" w:right="2619" w:hanging="842"/>
        <w:spacing w:after="0" w:line="237" w:lineRule="auto"/>
        <w:tabs>
          <w:tab w:leader="none" w:pos="1880" w:val="left"/>
        </w:tabs>
        <w:rPr>
          <w:sz w:val="20"/>
          <w:szCs w:val="20"/>
          <w:color w:val="auto"/>
        </w:rPr>
      </w:pPr>
      <w:r>
        <w:rPr>
          <w:rFonts w:ascii="Courier New" w:cs="Courier New" w:eastAsia="Courier New" w:hAnsi="Courier New"/>
          <w:sz w:val="18"/>
          <w:szCs w:val="18"/>
          <w:color w:val="auto"/>
        </w:rPr>
        <w:t>2.17.1</w:t>
        <w:tab/>
        <w:t>Elect to defer all or any portion of the Compensation payable for the performance of services as an Outside Director or as an Eligible Employee following the time that such election is filed;</w:t>
      </w:r>
    </w:p>
    <w:p>
      <w:pPr>
        <w:spacing w:after="0" w:line="207" w:lineRule="exact"/>
        <w:rPr>
          <w:sz w:val="20"/>
          <w:szCs w:val="20"/>
          <w:color w:val="auto"/>
        </w:rPr>
      </w:pPr>
    </w:p>
    <w:p>
      <w:pPr>
        <w:ind w:left="1900" w:right="2419" w:hanging="842"/>
        <w:spacing w:after="0" w:line="235" w:lineRule="auto"/>
        <w:tabs>
          <w:tab w:leader="none" w:pos="1880" w:val="left"/>
        </w:tabs>
        <w:rPr>
          <w:sz w:val="20"/>
          <w:szCs w:val="20"/>
          <w:color w:val="auto"/>
        </w:rPr>
      </w:pPr>
      <w:r>
        <w:rPr>
          <w:rFonts w:ascii="Courier New" w:cs="Courier New" w:eastAsia="Courier New" w:hAnsi="Courier New"/>
          <w:sz w:val="18"/>
          <w:szCs w:val="18"/>
          <w:color w:val="auto"/>
        </w:rPr>
        <w:t>2.17.2</w:t>
        <w:tab/>
        <w:t>Designate the time that part or all of the Account shall be distributed; and</w:t>
      </w:r>
    </w:p>
    <w:p>
      <w:pPr>
        <w:spacing w:after="0" w:line="208" w:lineRule="exact"/>
        <w:rPr>
          <w:sz w:val="20"/>
          <w:szCs w:val="20"/>
          <w:color w:val="auto"/>
        </w:rPr>
      </w:pPr>
    </w:p>
    <w:p>
      <w:pPr>
        <w:ind w:left="1900" w:right="2619" w:hanging="842"/>
        <w:spacing w:after="0" w:line="235" w:lineRule="auto"/>
        <w:tabs>
          <w:tab w:leader="none" w:pos="1880" w:val="left"/>
        </w:tabs>
        <w:rPr>
          <w:sz w:val="20"/>
          <w:szCs w:val="20"/>
          <w:color w:val="auto"/>
        </w:rPr>
      </w:pPr>
      <w:r>
        <w:rPr>
          <w:rFonts w:ascii="Courier New" w:cs="Courier New" w:eastAsia="Courier New" w:hAnsi="Courier New"/>
          <w:sz w:val="18"/>
          <w:szCs w:val="18"/>
          <w:color w:val="auto"/>
        </w:rPr>
        <w:t>2.17.3</w:t>
        <w:tab/>
        <w:t>Designate the manner in which income, gains and losses will be credited to the Account.</w:t>
      </w:r>
    </w:p>
    <w:p>
      <w:pPr>
        <w:spacing w:after="0" w:line="203"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2.18</w:t>
      </w:r>
      <w:r>
        <w:rPr>
          <w:sz w:val="20"/>
          <w:szCs w:val="20"/>
          <w:color w:val="auto"/>
        </w:rPr>
        <w:tab/>
      </w:r>
      <w:r>
        <w:rPr>
          <w:rFonts w:ascii="Courier New" w:cs="Courier New" w:eastAsia="Courier New" w:hAnsi="Courier New"/>
          <w:sz w:val="16"/>
          <w:szCs w:val="16"/>
          <w:color w:val="auto"/>
        </w:rPr>
        <w:t>"Eligible Employee" means:</w:t>
      </w:r>
    </w:p>
    <w:p>
      <w:pPr>
        <w:spacing w:after="0" w:line="207" w:lineRule="exact"/>
        <w:rPr>
          <w:sz w:val="20"/>
          <w:szCs w:val="20"/>
          <w:color w:val="auto"/>
        </w:rPr>
      </w:pPr>
    </w:p>
    <w:p>
      <w:pPr>
        <w:ind w:left="1900" w:right="2739" w:hanging="842"/>
        <w:spacing w:after="0" w:line="236" w:lineRule="auto"/>
        <w:tabs>
          <w:tab w:leader="none" w:pos="1880" w:val="left"/>
        </w:tabs>
        <w:rPr>
          <w:sz w:val="20"/>
          <w:szCs w:val="20"/>
          <w:color w:val="auto"/>
        </w:rPr>
      </w:pPr>
      <w:r>
        <w:rPr>
          <w:rFonts w:ascii="Courier New" w:cs="Courier New" w:eastAsia="Courier New" w:hAnsi="Courier New"/>
          <w:sz w:val="18"/>
          <w:szCs w:val="18"/>
          <w:color w:val="auto"/>
        </w:rPr>
        <w:t>2.18.1</w:t>
        <w:tab/>
        <w:t>Each employee of a Participating Company who, as of December 31, 1989, was eligible to participate in the Prior Plan;</w:t>
      </w:r>
    </w:p>
    <w:p>
      <w:pPr>
        <w:spacing w:after="0" w:line="209" w:lineRule="exact"/>
        <w:rPr>
          <w:sz w:val="20"/>
          <w:szCs w:val="20"/>
          <w:color w:val="auto"/>
        </w:rPr>
      </w:pPr>
    </w:p>
    <w:p>
      <w:pPr>
        <w:ind w:left="1900" w:right="2419" w:hanging="842"/>
        <w:spacing w:after="0" w:line="271" w:lineRule="auto"/>
        <w:tabs>
          <w:tab w:leader="none" w:pos="1880" w:val="left"/>
        </w:tabs>
        <w:rPr>
          <w:sz w:val="20"/>
          <w:szCs w:val="20"/>
          <w:color w:val="auto"/>
        </w:rPr>
      </w:pPr>
      <w:r>
        <w:rPr>
          <w:rFonts w:ascii="Courier New" w:cs="Courier New" w:eastAsia="Courier New" w:hAnsi="Courier New"/>
          <w:sz w:val="18"/>
          <w:szCs w:val="18"/>
          <w:color w:val="auto"/>
        </w:rPr>
        <w:t>2.18.2</w:t>
      </w:r>
      <w:r>
        <w:rPr>
          <w:sz w:val="20"/>
          <w:szCs w:val="20"/>
          <w:color w:val="auto"/>
        </w:rPr>
        <w:tab/>
      </w:r>
      <w:r>
        <w:rPr>
          <w:rFonts w:ascii="Courier New" w:cs="Courier New" w:eastAsia="Courier New" w:hAnsi="Courier New"/>
          <w:sz w:val="16"/>
          <w:szCs w:val="16"/>
          <w:color w:val="auto"/>
        </w:rPr>
        <w:t>Each employee of a Participating Company who was, at any time before January 1, 1995, eligible to participate in the Prior Plan and whose Annual Rate of Pay is $90,000 or more as of both (1) the date on which an Election with respect to the deferral of Compensation is filed with the Administrator and (2) the first day of each calendar year beginning after December 31, 1994.</w:t>
      </w:r>
    </w:p>
    <w:p>
      <w:pPr>
        <w:spacing w:after="0" w:line="188" w:lineRule="exact"/>
        <w:rPr>
          <w:sz w:val="20"/>
          <w:szCs w:val="20"/>
          <w:color w:val="auto"/>
        </w:rPr>
      </w:pPr>
    </w:p>
    <w:p>
      <w:pPr>
        <w:ind w:left="1900" w:right="2519" w:hanging="842"/>
        <w:spacing w:after="0" w:line="236" w:lineRule="auto"/>
        <w:tabs>
          <w:tab w:leader="none" w:pos="1880" w:val="left"/>
        </w:tabs>
        <w:rPr>
          <w:sz w:val="20"/>
          <w:szCs w:val="20"/>
          <w:color w:val="auto"/>
        </w:rPr>
      </w:pPr>
      <w:r>
        <w:rPr>
          <w:rFonts w:ascii="Courier New" w:cs="Courier New" w:eastAsia="Courier New" w:hAnsi="Courier New"/>
          <w:sz w:val="18"/>
          <w:szCs w:val="18"/>
          <w:color w:val="auto"/>
        </w:rPr>
        <w:t>2.18.3</w:t>
        <w:tab/>
        <w:t>Each employee of a Participating Company whose Annual Rate of Pay is $125,000 or more as of both (1) the date on which an</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43" w:name="page44"/>
    <w:bookmarkEnd w:id="4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jc w:val="both"/>
        <w:ind w:left="1900" w:right="2839"/>
        <w:spacing w:after="0" w:line="236" w:lineRule="auto"/>
        <w:rPr>
          <w:sz w:val="20"/>
          <w:szCs w:val="20"/>
          <w:color w:val="auto"/>
        </w:rPr>
      </w:pPr>
      <w:r>
        <w:rPr>
          <w:rFonts w:ascii="Courier New" w:cs="Courier New" w:eastAsia="Courier New" w:hAnsi="Courier New"/>
          <w:sz w:val="18"/>
          <w:szCs w:val="18"/>
          <w:color w:val="auto"/>
        </w:rPr>
        <w:t>Election is filed with the Administrator and (2) the first day of the Plan Year in which such Election is filed.</w:t>
      </w:r>
    </w:p>
    <w:p>
      <w:pPr>
        <w:spacing w:after="0" w:line="203" w:lineRule="exact"/>
        <w:rPr>
          <w:sz w:val="20"/>
          <w:szCs w:val="20"/>
          <w:color w:val="auto"/>
        </w:rPr>
      </w:pPr>
    </w:p>
    <w:p>
      <w:pPr>
        <w:ind w:left="1060"/>
        <w:spacing w:after="0"/>
        <w:tabs>
          <w:tab w:leader="none" w:pos="1880" w:val="left"/>
        </w:tabs>
        <w:rPr>
          <w:sz w:val="20"/>
          <w:szCs w:val="20"/>
          <w:color w:val="auto"/>
        </w:rPr>
      </w:pPr>
      <w:r>
        <w:rPr>
          <w:rFonts w:ascii="Courier New" w:cs="Courier New" w:eastAsia="Courier New" w:hAnsi="Courier New"/>
          <w:sz w:val="18"/>
          <w:szCs w:val="18"/>
          <w:color w:val="auto"/>
        </w:rPr>
        <w:t>2.18.4</w:t>
      </w:r>
      <w:r>
        <w:rPr>
          <w:sz w:val="20"/>
          <w:szCs w:val="20"/>
          <w:color w:val="auto"/>
        </w:rPr>
        <w:tab/>
      </w:r>
      <w:r>
        <w:rPr>
          <w:rFonts w:ascii="Courier New" w:cs="Courier New" w:eastAsia="Courier New" w:hAnsi="Courier New"/>
          <w:sz w:val="16"/>
          <w:szCs w:val="16"/>
          <w:color w:val="auto"/>
        </w:rPr>
        <w:t>Each New Key Employee.</w:t>
      </w:r>
    </w:p>
    <w:p>
      <w:pPr>
        <w:spacing w:after="0" w:line="201"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2.19</w:t>
      </w:r>
      <w:r>
        <w:rPr>
          <w:sz w:val="20"/>
          <w:szCs w:val="20"/>
          <w:color w:val="auto"/>
        </w:rPr>
        <w:tab/>
      </w:r>
      <w:r>
        <w:rPr>
          <w:rFonts w:ascii="Courier New" w:cs="Courier New" w:eastAsia="Courier New" w:hAnsi="Courier New"/>
          <w:sz w:val="16"/>
          <w:szCs w:val="16"/>
          <w:color w:val="auto"/>
        </w:rPr>
        <w:t>"Fair Market Value."</w:t>
      </w:r>
    </w:p>
    <w:p>
      <w:pPr>
        <w:spacing w:after="0" w:line="207" w:lineRule="exact"/>
        <w:rPr>
          <w:sz w:val="20"/>
          <w:szCs w:val="20"/>
          <w:color w:val="auto"/>
        </w:rPr>
      </w:pPr>
    </w:p>
    <w:p>
      <w:pPr>
        <w:ind w:left="1900" w:right="2419" w:hanging="842"/>
        <w:spacing w:after="0" w:line="273" w:lineRule="auto"/>
        <w:tabs>
          <w:tab w:leader="none" w:pos="1880" w:val="left"/>
        </w:tabs>
        <w:rPr>
          <w:sz w:val="20"/>
          <w:szCs w:val="20"/>
          <w:color w:val="auto"/>
        </w:rPr>
      </w:pPr>
      <w:r>
        <w:rPr>
          <w:rFonts w:ascii="Courier New" w:cs="Courier New" w:eastAsia="Courier New" w:hAnsi="Courier New"/>
          <w:sz w:val="18"/>
          <w:szCs w:val="18"/>
          <w:color w:val="auto"/>
        </w:rPr>
        <w:t>2.19.1</w:t>
      </w:r>
      <w:r>
        <w:rPr>
          <w:sz w:val="20"/>
          <w:szCs w:val="20"/>
          <w:color w:val="auto"/>
        </w:rPr>
        <w:tab/>
      </w:r>
      <w:r>
        <w:rPr>
          <w:rFonts w:ascii="Courier New" w:cs="Courier New" w:eastAsia="Courier New" w:hAnsi="Courier New"/>
          <w:sz w:val="16"/>
          <w:szCs w:val="16"/>
          <w:color w:val="auto"/>
        </w:rPr>
        <w:t>If shares of Company Stock are listed on a stock exchange, Fair Market Value shall be determined based on the last reported sale price of a Share on the principal exchange on which Shares are listed on the last trading day prior to the date of determination; or</w:t>
      </w:r>
    </w:p>
    <w:p>
      <w:pPr>
        <w:spacing w:after="0" w:line="185" w:lineRule="exact"/>
        <w:rPr>
          <w:sz w:val="20"/>
          <w:szCs w:val="20"/>
          <w:color w:val="auto"/>
        </w:rPr>
      </w:pPr>
    </w:p>
    <w:p>
      <w:pPr>
        <w:ind w:left="1900" w:right="2419" w:hanging="842"/>
        <w:spacing w:after="0" w:line="237" w:lineRule="auto"/>
        <w:tabs>
          <w:tab w:leader="none" w:pos="1880" w:val="left"/>
        </w:tabs>
        <w:rPr>
          <w:sz w:val="20"/>
          <w:szCs w:val="20"/>
          <w:color w:val="auto"/>
        </w:rPr>
      </w:pPr>
      <w:r>
        <w:rPr>
          <w:rFonts w:ascii="Courier New" w:cs="Courier New" w:eastAsia="Courier New" w:hAnsi="Courier New"/>
          <w:sz w:val="18"/>
          <w:szCs w:val="18"/>
          <w:color w:val="auto"/>
        </w:rPr>
        <w:t>2.19.2</w:t>
        <w:tab/>
        <w:t>If shares of Company Stock are not so listed, but trades of Shares are reported on the Nasdaq National Market, the last quoted sale price of a share on the Nasdaq National Market on the last trading day prior to the date of determination.</w:t>
      </w:r>
    </w:p>
    <w:p>
      <w:pPr>
        <w:spacing w:after="0" w:line="209" w:lineRule="exact"/>
        <w:rPr>
          <w:sz w:val="20"/>
          <w:szCs w:val="20"/>
          <w:color w:val="auto"/>
        </w:rPr>
      </w:pPr>
    </w:p>
    <w:p>
      <w:pPr>
        <w:ind w:left="1900" w:right="2519" w:hanging="842"/>
        <w:spacing w:after="0" w:line="236" w:lineRule="auto"/>
        <w:tabs>
          <w:tab w:leader="none" w:pos="1880" w:val="left"/>
        </w:tabs>
        <w:rPr>
          <w:sz w:val="20"/>
          <w:szCs w:val="20"/>
          <w:color w:val="auto"/>
        </w:rPr>
      </w:pPr>
      <w:r>
        <w:rPr>
          <w:rFonts w:ascii="Courier New" w:cs="Courier New" w:eastAsia="Courier New" w:hAnsi="Courier New"/>
          <w:sz w:val="18"/>
          <w:szCs w:val="18"/>
          <w:color w:val="auto"/>
        </w:rPr>
        <w:t>2.19.3</w:t>
        <w:tab/>
        <w:t>If shares of Company Stock are not so listed nor trades of Shares so reported, Fair Market value shall be determined by the Committee in good faith.</w:t>
      </w:r>
    </w:p>
    <w:p>
      <w:pPr>
        <w:spacing w:after="0" w:line="209"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2.20 "Former Eligible Employee" means an employee of a Participating Company who, as of any relevant date, does not satisfy the requirements of an "Eligible Employee" but who previously met such requirements under the Plan or the Prior Plan.</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2.21 "Grandfathered Participant" means an Inactive Participant who, on or before December 31, 1991, entered into a written agreement with the Company to terminate service to the Company or gives written notice of intention to terminate service to the Company, regardless of the actual date of termination of service.</w:t>
      </w:r>
    </w:p>
    <w:p>
      <w:pPr>
        <w:spacing w:after="0" w:line="209"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2.22 "Hardship" means a Participant's serious financial hardship, as determined by the Board on a uniform and nondiscriminatory basis pursuant to the Participant's request under Section 7.3.</w:t>
      </w:r>
    </w:p>
    <w:p>
      <w:pPr>
        <w:spacing w:after="0" w:line="209" w:lineRule="exact"/>
        <w:rPr>
          <w:sz w:val="20"/>
          <w:szCs w:val="20"/>
          <w:color w:val="auto"/>
        </w:rPr>
      </w:pPr>
    </w:p>
    <w:p>
      <w:pPr>
        <w:jc w:val="both"/>
        <w:ind w:right="2739" w:firstLine="527"/>
        <w:spacing w:after="0" w:line="236" w:lineRule="auto"/>
        <w:rPr>
          <w:sz w:val="20"/>
          <w:szCs w:val="20"/>
          <w:color w:val="auto"/>
        </w:rPr>
      </w:pPr>
      <w:r>
        <w:rPr>
          <w:rFonts w:ascii="Courier New" w:cs="Courier New" w:eastAsia="Courier New" w:hAnsi="Courier New"/>
          <w:sz w:val="18"/>
          <w:szCs w:val="18"/>
          <w:color w:val="auto"/>
        </w:rPr>
        <w:t>2.23 "Inactive Participant" means each Participant who is not in active service as an Outside Director and is not actively employed by a Participating Company.</w:t>
      </w:r>
    </w:p>
    <w:p>
      <w:pPr>
        <w:spacing w:after="0" w:line="20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2.24 "Income Fund"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20" w:right="1440" w:bottom="1440" w:gutter="0" w:footer="0" w:header="0"/>
        </w:sectPr>
      </w:pPr>
    </w:p>
    <w:bookmarkStart w:id="45" w:name="page46"/>
    <w:bookmarkEnd w:id="4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jc w:val="both"/>
        <w:ind w:right="2619" w:firstLine="527"/>
        <w:spacing w:after="0" w:line="236" w:lineRule="auto"/>
        <w:rPr>
          <w:sz w:val="20"/>
          <w:szCs w:val="20"/>
          <w:color w:val="auto"/>
        </w:rPr>
      </w:pPr>
      <w:r>
        <w:rPr>
          <w:rFonts w:ascii="Courier New" w:cs="Courier New" w:eastAsia="Courier New" w:hAnsi="Courier New"/>
          <w:sz w:val="18"/>
          <w:szCs w:val="18"/>
          <w:color w:val="auto"/>
        </w:rPr>
        <w:t>2.25 "Insider" means an Eligible Employee or Outside Director who is subject to the short-swing profit recapture rules of section 16(b) of the Securities Exchange Act of 1934, as amended.</w:t>
      </w:r>
    </w:p>
    <w:p>
      <w:pPr>
        <w:spacing w:after="0" w:line="209"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2.26 "New Key Employee" means each employee of a Participating Company hired on or after August 15, 1996 whose annual rate of pay on his date of hire is $125,000 or more.</w:t>
      </w:r>
    </w:p>
    <w:p>
      <w:pPr>
        <w:spacing w:after="0" w:line="209"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2.27 "Outside Director" means a member of the Board who is not an employee of a Participating Company.</w:t>
      </w:r>
    </w:p>
    <w:p>
      <w:pPr>
        <w:spacing w:after="0" w:line="208" w:lineRule="exact"/>
        <w:rPr>
          <w:sz w:val="20"/>
          <w:szCs w:val="20"/>
          <w:color w:val="auto"/>
        </w:rPr>
      </w:pPr>
    </w:p>
    <w:p>
      <w:pPr>
        <w:ind w:right="2419" w:firstLine="527"/>
        <w:spacing w:after="0" w:line="275" w:lineRule="auto"/>
        <w:rPr>
          <w:sz w:val="20"/>
          <w:szCs w:val="20"/>
          <w:color w:val="auto"/>
        </w:rPr>
      </w:pPr>
      <w:r>
        <w:rPr>
          <w:rFonts w:ascii="Courier New" w:cs="Courier New" w:eastAsia="Courier New" w:hAnsi="Courier New"/>
          <w:sz w:val="16"/>
          <w:szCs w:val="16"/>
          <w:color w:val="auto"/>
        </w:rPr>
        <w:t>2.28 "Participant" means each individual who has made an Election, and who has an undistributed amount credited to an Account under the Plan, including an Active Participant, a Deceased Participant, a Disabled Participant, a Grandfathered Participant and an Inactive Participant.</w:t>
      </w:r>
    </w:p>
    <w:p>
      <w:pPr>
        <w:spacing w:after="0" w:line="182" w:lineRule="exact"/>
        <w:rPr>
          <w:sz w:val="20"/>
          <w:szCs w:val="20"/>
          <w:color w:val="auto"/>
        </w:rPr>
      </w:pPr>
    </w:p>
    <w:p>
      <w:pPr>
        <w:ind w:right="2839" w:firstLine="527"/>
        <w:spacing w:after="0" w:line="236" w:lineRule="auto"/>
        <w:rPr>
          <w:sz w:val="20"/>
          <w:szCs w:val="20"/>
          <w:color w:val="auto"/>
        </w:rPr>
      </w:pPr>
      <w:r>
        <w:rPr>
          <w:rFonts w:ascii="Courier New" w:cs="Courier New" w:eastAsia="Courier New" w:hAnsi="Courier New"/>
          <w:sz w:val="18"/>
          <w:szCs w:val="18"/>
          <w:color w:val="auto"/>
        </w:rPr>
        <w:t>2.29 "Participating Company" means the Company and each Participating Company (as such term is defined therein) in The Comcast Corporation Retirement-Investment Plan, as amended.</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2.30 "Person" means an individual, a corporation, a partnership, an association, a trust or any other entity or organization.</w:t>
      </w:r>
    </w:p>
    <w:p>
      <w:pPr>
        <w:spacing w:after="0" w:line="208"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2.31 "Plan" means the Comcast Corporation 1996 Deferred Compensation Plan, as set forth herein, and as may be amended from time to time.</w:t>
      </w:r>
    </w:p>
    <w:p>
      <w:pPr>
        <w:spacing w:after="0" w:line="203"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"Plan Year" means the calendar year.</w:t>
      </w:r>
    </w:p>
    <w:p>
      <w:pPr>
        <w:spacing w:after="0" w:line="207" w:lineRule="exact"/>
        <w:rPr>
          <w:sz w:val="20"/>
          <w:szCs w:val="20"/>
          <w:color w:val="auto"/>
        </w:rPr>
      </w:pPr>
    </w:p>
    <w:p>
      <w:pPr>
        <w:ind w:right="2619" w:firstLine="527"/>
        <w:spacing w:after="0" w:line="279" w:lineRule="auto"/>
        <w:rPr>
          <w:sz w:val="20"/>
          <w:szCs w:val="20"/>
          <w:color w:val="auto"/>
        </w:rPr>
      </w:pPr>
      <w:r>
        <w:rPr>
          <w:rFonts w:ascii="Courier New" w:cs="Courier New" w:eastAsia="Courier New" w:hAnsi="Courier New"/>
          <w:sz w:val="16"/>
          <w:szCs w:val="16"/>
          <w:color w:val="auto"/>
        </w:rPr>
        <w:t>2.33 "Prime Rate" means the annual rate of interest identified by PNC Bank as its prime rate as of a Participant's employment termination date and as of the first day of each calendar year beginning thereafter.</w:t>
      </w:r>
    </w:p>
    <w:p>
      <w:pPr>
        <w:spacing w:after="0" w:line="178"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2.34 "Prior Plan" means the Comcast Corporation Deferred Compensation Plan.</w:t>
      </w:r>
    </w:p>
    <w:p>
      <w:pPr>
        <w:spacing w:after="0" w:line="203" w:lineRule="exact"/>
        <w:rPr>
          <w:sz w:val="20"/>
          <w:szCs w:val="20"/>
          <w:color w:val="auto"/>
        </w:rPr>
      </w:pPr>
    </w:p>
    <w:p>
      <w:pPr>
        <w:ind w:left="540"/>
        <w:spacing w:after="0"/>
        <w:tabs>
          <w:tab w:leader="none" w:pos="1260" w:val="left"/>
          <w:tab w:leader="none" w:pos="3260" w:val="left"/>
        </w:tabs>
        <w:rPr>
          <w:sz w:val="20"/>
          <w:szCs w:val="20"/>
          <w:color w:val="auto"/>
        </w:rPr>
      </w:pPr>
      <w:r>
        <w:rPr>
          <w:rFonts w:ascii="Courier New" w:cs="Courier New" w:eastAsia="Courier New" w:hAnsi="Courier New"/>
          <w:sz w:val="18"/>
          <w:szCs w:val="18"/>
          <w:color w:val="auto"/>
        </w:rPr>
        <w:t>2.35</w:t>
      </w:r>
      <w:r>
        <w:rPr>
          <w:sz w:val="20"/>
          <w:szCs w:val="20"/>
          <w:color w:val="auto"/>
        </w:rPr>
        <w:tab/>
      </w:r>
      <w:r>
        <w:rPr>
          <w:rFonts w:ascii="Courier New" w:cs="Courier New" w:eastAsia="Courier New" w:hAnsi="Courier New"/>
          <w:sz w:val="18"/>
          <w:szCs w:val="18"/>
          <w:color w:val="auto"/>
        </w:rPr>
        <w:t>"Roberts Family."</w:t>
      </w:r>
      <w:r>
        <w:rPr>
          <w:sz w:val="20"/>
          <w:szCs w:val="20"/>
          <w:color w:val="auto"/>
        </w:rPr>
        <w:tab/>
      </w:r>
      <w:r>
        <w:rPr>
          <w:rFonts w:ascii="Courier New" w:cs="Courier New" w:eastAsia="Courier New" w:hAnsi="Courier New"/>
          <w:sz w:val="16"/>
          <w:szCs w:val="16"/>
          <w:color w:val="auto"/>
        </w:rPr>
        <w:t>Each of the following is a member of the</w:t>
      </w:r>
    </w:p>
    <w:p>
      <w:pPr>
        <w:spacing w:after="0" w:line="238" w:lineRule="auto"/>
        <w:rPr>
          <w:sz w:val="20"/>
          <w:szCs w:val="20"/>
          <w:color w:val="auto"/>
        </w:rPr>
      </w:pPr>
      <w:r>
        <w:rPr>
          <w:rFonts w:ascii="Courier New" w:cs="Courier New" w:eastAsia="Courier New" w:hAnsi="Courier New"/>
          <w:sz w:val="18"/>
          <w:szCs w:val="18"/>
          <w:color w:val="auto"/>
        </w:rPr>
        <w:t>Roberts Family:</w:t>
      </w:r>
    </w:p>
    <w:p>
      <w:pPr>
        <w:spacing w:after="0" w:line="202" w:lineRule="exact"/>
        <w:rPr>
          <w:sz w:val="20"/>
          <w:szCs w:val="20"/>
          <w:color w:val="auto"/>
        </w:rPr>
      </w:pPr>
    </w:p>
    <w:p>
      <w:pPr>
        <w:ind w:left="1280" w:hanging="745"/>
        <w:spacing w:after="0"/>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Ralph J. Roberts;</w:t>
      </w:r>
    </w:p>
    <w:p>
      <w:pPr>
        <w:spacing w:after="0" w:line="201" w:lineRule="exact"/>
        <w:rPr>
          <w:rFonts w:ascii="Courier New" w:cs="Courier New" w:eastAsia="Courier New" w:hAnsi="Courier New"/>
          <w:sz w:val="18"/>
          <w:szCs w:val="18"/>
          <w:color w:val="auto"/>
        </w:rPr>
      </w:pPr>
    </w:p>
    <w:p>
      <w:pPr>
        <w:ind w:left="1280" w:hanging="745"/>
        <w:spacing w:after="0"/>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lineal descendant of Ralph J. Roberts; or</w:t>
      </w:r>
    </w:p>
    <w:p>
      <w:pPr>
        <w:spacing w:after="0" w:line="201" w:lineRule="exact"/>
        <w:rPr>
          <w:rFonts w:ascii="Courier New" w:cs="Courier New" w:eastAsia="Courier New" w:hAnsi="Courier New"/>
          <w:sz w:val="18"/>
          <w:szCs w:val="18"/>
          <w:color w:val="auto"/>
        </w:rPr>
      </w:pPr>
    </w:p>
    <w:p>
      <w:pPr>
        <w:ind w:left="3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47" w:name="page48"/>
    <w:bookmarkEnd w:id="4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ind w:right="2419" w:firstLine="535"/>
        <w:spacing w:after="0" w:line="235" w:lineRule="auto"/>
        <w:tabs>
          <w:tab w:leader="none" w:pos="126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trust established for the benefit of any of Ralph J. Roberts and/or a lineal descendant or descendants of Ralph J. Roberts.</w:t>
      </w:r>
    </w:p>
    <w:p>
      <w:pPr>
        <w:spacing w:after="0" w:line="208" w:lineRule="exact"/>
        <w:rPr>
          <w:sz w:val="20"/>
          <w:szCs w:val="20"/>
          <w:color w:val="auto"/>
        </w:rPr>
      </w:pPr>
    </w:p>
    <w:p>
      <w:pPr>
        <w:ind w:right="2519" w:firstLine="527"/>
        <w:spacing w:after="0" w:line="275" w:lineRule="auto"/>
        <w:rPr>
          <w:sz w:val="20"/>
          <w:szCs w:val="20"/>
          <w:color w:val="auto"/>
        </w:rPr>
      </w:pPr>
      <w:r>
        <w:rPr>
          <w:rFonts w:ascii="Courier New" w:cs="Courier New" w:eastAsia="Courier New" w:hAnsi="Courier New"/>
          <w:sz w:val="16"/>
          <w:szCs w:val="16"/>
          <w:color w:val="auto"/>
        </w:rPr>
        <w:t>2.36 "Severance Pay" means any amount identified by a Participating Company as severance pay, or any amount which is payable on account of periods beginning after the last date on which an employee (or former employee) is required to report for work for a Participating Company.</w:t>
      </w:r>
    </w:p>
    <w:p>
      <w:pPr>
        <w:spacing w:after="0" w:line="177"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2.37</w:t>
      </w:r>
      <w:r>
        <w:rPr>
          <w:sz w:val="20"/>
          <w:szCs w:val="20"/>
          <w:color w:val="auto"/>
        </w:rPr>
        <w:tab/>
      </w:r>
      <w:r>
        <w:rPr>
          <w:rFonts w:ascii="Courier New" w:cs="Courier New" w:eastAsia="Courier New" w:hAnsi="Courier New"/>
          <w:sz w:val="16"/>
          <w:szCs w:val="16"/>
          <w:color w:val="auto"/>
        </w:rPr>
        <w:t>"Terminating Event" means any of the following events:</w:t>
      </w:r>
    </w:p>
    <w:p>
      <w:pPr>
        <w:spacing w:after="0" w:line="201" w:lineRule="exact"/>
        <w:rPr>
          <w:sz w:val="20"/>
          <w:szCs w:val="20"/>
          <w:color w:val="auto"/>
        </w:rPr>
      </w:pPr>
    </w:p>
    <w:p>
      <w:pPr>
        <w:ind w:left="1060"/>
        <w:spacing w:after="0"/>
        <w:tabs>
          <w:tab w:leader="none" w:pos="1880" w:val="left"/>
        </w:tabs>
        <w:rPr>
          <w:sz w:val="20"/>
          <w:szCs w:val="20"/>
          <w:color w:val="auto"/>
        </w:rPr>
      </w:pPr>
      <w:r>
        <w:rPr>
          <w:rFonts w:ascii="Courier New" w:cs="Courier New" w:eastAsia="Courier New" w:hAnsi="Courier New"/>
          <w:sz w:val="18"/>
          <w:szCs w:val="18"/>
          <w:color w:val="auto"/>
        </w:rPr>
        <w:t>2.37.1</w:t>
      </w:r>
      <w:r>
        <w:rPr>
          <w:sz w:val="20"/>
          <w:szCs w:val="20"/>
          <w:color w:val="auto"/>
        </w:rPr>
        <w:tab/>
      </w:r>
      <w:r>
        <w:rPr>
          <w:rFonts w:ascii="Courier New" w:cs="Courier New" w:eastAsia="Courier New" w:hAnsi="Courier New"/>
          <w:sz w:val="16"/>
          <w:szCs w:val="16"/>
          <w:color w:val="auto"/>
        </w:rPr>
        <w:t>The liquidation of the Company; or</w:t>
      </w:r>
    </w:p>
    <w:p>
      <w:pPr>
        <w:spacing w:after="0" w:line="201" w:lineRule="exact"/>
        <w:rPr>
          <w:sz w:val="20"/>
          <w:szCs w:val="20"/>
          <w:color w:val="auto"/>
        </w:rPr>
      </w:pPr>
    </w:p>
    <w:p>
      <w:pPr>
        <w:ind w:left="1060"/>
        <w:spacing w:after="0"/>
        <w:tabs>
          <w:tab w:leader="none" w:pos="1880" w:val="left"/>
        </w:tabs>
        <w:rPr>
          <w:sz w:val="20"/>
          <w:szCs w:val="20"/>
          <w:color w:val="auto"/>
        </w:rPr>
      </w:pPr>
      <w:r>
        <w:rPr>
          <w:rFonts w:ascii="Courier New" w:cs="Courier New" w:eastAsia="Courier New" w:hAnsi="Courier New"/>
          <w:sz w:val="18"/>
          <w:szCs w:val="18"/>
          <w:color w:val="auto"/>
        </w:rPr>
        <w:t>2.37.2</w:t>
      </w:r>
      <w:r>
        <w:rPr>
          <w:sz w:val="20"/>
          <w:szCs w:val="20"/>
          <w:color w:val="auto"/>
        </w:rPr>
        <w:tab/>
      </w:r>
      <w:r>
        <w:rPr>
          <w:rFonts w:ascii="Courier New" w:cs="Courier New" w:eastAsia="Courier New" w:hAnsi="Courier New"/>
          <w:sz w:val="16"/>
          <w:szCs w:val="16"/>
          <w:color w:val="auto"/>
        </w:rPr>
        <w:t>A Change of Control.</w:t>
      </w:r>
    </w:p>
    <w:p>
      <w:pPr>
        <w:spacing w:after="0" w:line="207"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2.38 "Third Party" means any Person, together with such Person's Affiliates, provided that the term "Third Party" shall not include the Company, an Affiliate of the Company or any member or members of the Roberts Family.</w:t>
      </w:r>
    </w:p>
    <w:p>
      <w:pPr>
        <w:spacing w:after="0" w:line="202" w:lineRule="exact"/>
        <w:rPr>
          <w:sz w:val="20"/>
          <w:szCs w:val="20"/>
          <w:color w:val="auto"/>
        </w:rPr>
      </w:pPr>
    </w:p>
    <w:p>
      <w:pPr>
        <w:ind w:left="1060" w:hanging="525"/>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TO DEFER COMPENSATION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firstLine="527"/>
        <w:spacing w:after="0" w:line="270" w:lineRule="auto"/>
        <w:rPr>
          <w:sz w:val="20"/>
          <w:szCs w:val="20"/>
          <w:color w:val="auto"/>
        </w:rPr>
      </w:pPr>
      <w:r>
        <w:rPr>
          <w:rFonts w:ascii="Courier New" w:cs="Courier New" w:eastAsia="Courier New" w:hAnsi="Courier New"/>
          <w:sz w:val="16"/>
          <w:szCs w:val="16"/>
          <w:color w:val="auto"/>
        </w:rPr>
        <w:t>3.1 Elections. Each Outside Director and Eligible Employee shall have the right to defer all or any portion of the Compensation (including bonuses, if any) which he or she shall receive in the following Plan Year by filing an Election at the time and in the manner described in this Article 3; provided that Severance Pay shall be included as "Compensation" for purposes of this Section 3.1 only to the extent permitted by the Administrator in its sole discretion. The amount of Compensation deferred by a Participant for a Plan Year pursuant to an Election shall be withheld on a pro-rata basis from each periodic installment payment of the Participant's Compensation for the Plan Year (in accordance with the general pay practices of the Participating Companies), and credited to the Participant's Account in accordance with Section 5.1. Except to the extent permitted by the Administrator in its sole discretion, no Election filed by a Former Eligible Employee shall be valid or effective.</w:t>
      </w:r>
    </w:p>
    <w:p>
      <w:pPr>
        <w:spacing w:after="0" w:line="388"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3.2 Filing of Elections. An Election to defer all or any portion of the Compensation payable for the performance of services as an Outside Director or as an Eligible Employee shall be made on the form provided by the Administrator for this purpose. Except as provided in Section 3.3, no such Election shall be effective unless it is filed with the Administrator on or before the close of business on December 31 of the Plan Year preceding the Plan Year to which the Election applies.</w:t>
      </w:r>
    </w:p>
    <w:p>
      <w:pPr>
        <w:spacing w:after="0" w:line="211"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3.3 Filing of Elections by New Key Employees. Notwithstanding Section 3.1 and Section 3.2, a New Key Employee may elect to defer all or any portion of his or her compensation to be earned in the Plan Year in which the New Key Employee was hired, beginning with the payroll period next following the filing of an Election with the Administrator</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49" w:name="page50"/>
    <w:bookmarkEnd w:id="4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ind w:right="2519"/>
        <w:spacing w:after="0" w:line="275" w:lineRule="auto"/>
        <w:rPr>
          <w:sz w:val="20"/>
          <w:szCs w:val="20"/>
          <w:color w:val="auto"/>
        </w:rPr>
      </w:pPr>
      <w:r>
        <w:rPr>
          <w:rFonts w:ascii="Courier New" w:cs="Courier New" w:eastAsia="Courier New" w:hAnsi="Courier New"/>
          <w:sz w:val="16"/>
          <w:szCs w:val="16"/>
          <w:color w:val="auto"/>
        </w:rPr>
        <w:t>and before the close of such Plan Year by making and filing the Election with the Administrator within 30 days of such New Key Employee's date of hire. Elections by such New Key Employee for succeeding Plan Years shall be made in accordance with Section 3.1 and Section 3.2.</w:t>
      </w:r>
    </w:p>
    <w:p>
      <w:pPr>
        <w:spacing w:after="0" w:line="182"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3.4 Plan Years to which Elections May Apply. A separate Election may be made for each Plan Year as to which an Outside Director or Eligible Employee desires to defer all or any portion of his or her Compensation, but the failure of an Outside Director or Eligible Employee to make an Election for any Plan Year shall not affect such Employee's right to make an Election for any other Plan Year.</w:t>
      </w:r>
    </w:p>
    <w:p>
      <w:pPr>
        <w:spacing w:after="0" w:line="210"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3.5 Election of Distribution Date. Each Participant who elects to defer all or any portion of his or her Compensation for any Plan Year shall, on the Election, also elect the time of payment and form of distribution of the amount of the deferred Compensation to which the particular Election relates; provided, however, that, subject to acceleration pursuant to Section 3.6.3, Section 3.6.4, Section 7.1, Section 7.2 or Section 7.3, no distribution may be made before the end of the Plan Year next following the Plan Year within which the Election is filed with the Administrator. Each Participant may select a form of distribution in accordance with Article 4.</w:t>
      </w:r>
    </w:p>
    <w:p>
      <w:pPr>
        <w:spacing w:after="0" w:line="209"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6"/>
          <w:szCs w:val="16"/>
          <w:color w:val="auto"/>
        </w:rPr>
        <w:t>Designation of Payment Date.</w:t>
      </w:r>
    </w:p>
    <w:p>
      <w:pPr>
        <w:spacing w:after="0" w:line="207" w:lineRule="exact"/>
        <w:rPr>
          <w:sz w:val="20"/>
          <w:szCs w:val="20"/>
          <w:color w:val="auto"/>
        </w:rPr>
      </w:pPr>
    </w:p>
    <w:p>
      <w:pPr>
        <w:ind w:left="1800" w:right="2519" w:hanging="736"/>
        <w:spacing w:after="0" w:line="271" w:lineRule="auto"/>
        <w:tabs>
          <w:tab w:leader="none" w:pos="1780" w:val="left"/>
        </w:tabs>
        <w:rPr>
          <w:sz w:val="20"/>
          <w:szCs w:val="20"/>
          <w:color w:val="auto"/>
        </w:rPr>
      </w:pPr>
      <w:r>
        <w:rPr>
          <w:rFonts w:ascii="Courier New" w:cs="Courier New" w:eastAsia="Courier New" w:hAnsi="Courier New"/>
          <w:sz w:val="18"/>
          <w:szCs w:val="18"/>
          <w:color w:val="auto"/>
        </w:rPr>
        <w:t>3.6.1</w:t>
      </w:r>
      <w:r>
        <w:rPr>
          <w:sz w:val="20"/>
          <w:szCs w:val="20"/>
          <w:color w:val="auto"/>
        </w:rPr>
        <w:tab/>
      </w:r>
      <w:r>
        <w:rPr>
          <w:rFonts w:ascii="Courier New" w:cs="Courier New" w:eastAsia="Courier New" w:hAnsi="Courier New"/>
          <w:sz w:val="16"/>
          <w:szCs w:val="16"/>
          <w:color w:val="auto"/>
        </w:rPr>
        <w:t>The designation of the time for distribution of benefits to begin under the Plan may vary with each separate Election, provided that except as otherwise provided in Section 3.6.3 or 3.6.4, no portion of a Participant's Account subject to distribution in installments pursuant to Section 4.1.2 or Section 4.1.3 may be deferred to a later date after such distribution has begun.</w:t>
      </w:r>
    </w:p>
    <w:p>
      <w:pPr>
        <w:spacing w:after="0" w:line="188" w:lineRule="exact"/>
        <w:rPr>
          <w:sz w:val="20"/>
          <w:szCs w:val="20"/>
          <w:color w:val="auto"/>
        </w:rPr>
      </w:pPr>
    </w:p>
    <w:p>
      <w:pPr>
        <w:ind w:left="1800" w:right="2419" w:hanging="736"/>
        <w:spacing w:after="0" w:line="238" w:lineRule="auto"/>
        <w:tabs>
          <w:tab w:leader="none" w:pos="1780" w:val="left"/>
        </w:tabs>
        <w:rPr>
          <w:sz w:val="20"/>
          <w:szCs w:val="20"/>
          <w:color w:val="auto"/>
        </w:rPr>
      </w:pPr>
      <w:r>
        <w:rPr>
          <w:rFonts w:ascii="Courier New" w:cs="Courier New" w:eastAsia="Courier New" w:hAnsi="Courier New"/>
          <w:sz w:val="18"/>
          <w:szCs w:val="18"/>
          <w:color w:val="auto"/>
        </w:rPr>
        <w:t>3.6.2</w:t>
        <w:tab/>
        <w:t>Each Active Participant who has previously elected to receive a distribution of part or all of his or her Account, or who, pursuant to this Section 3.6.2, has elected to defer payment for an additional period from the originally-elected payment date, may elect to change the form of distribution or defer the time of payment of such amount to begin for a minimum of one additional year from the previously-elected payment date, by filing an Election with the Administrator on or before the close of business on June 30 of the Plan Year preceding the Plan Year in which the distribution would otherwise be made, provided that an Election applicable to the 1997 Plan Year shall not be effective unless it is filed with the Administrator on or before the close of business on October 15, 1996.</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51" w:name="page52"/>
    <w:bookmarkEnd w:id="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ind w:left="740" w:right="241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3.6.3</w:t>
        <w:tab/>
        <w:t>A Deceased Participant's estate or beneficiary to whom the right to payment under the Plan shall have passed may elect to change the form of distribution from the form of distribution that payment of the Deceased Participant's Account would otherwise be made; and</w:t>
      </w:r>
    </w:p>
    <w:p>
      <w:pPr>
        <w:spacing w:after="0" w:line="209" w:lineRule="exact"/>
        <w:rPr>
          <w:sz w:val="20"/>
          <w:szCs w:val="20"/>
          <w:color w:val="auto"/>
        </w:rPr>
      </w:pPr>
    </w:p>
    <w:p>
      <w:pPr>
        <w:ind w:left="1680" w:right="2419" w:hanging="947"/>
        <w:spacing w:after="0" w:line="237" w:lineRule="auto"/>
        <w:tabs>
          <w:tab w:leader="none" w:pos="1660" w:val="left"/>
        </w:tabs>
        <w:rPr>
          <w:sz w:val="20"/>
          <w:szCs w:val="20"/>
          <w:color w:val="auto"/>
        </w:rPr>
      </w:pPr>
      <w:r>
        <w:rPr>
          <w:rFonts w:ascii="Courier New" w:cs="Courier New" w:eastAsia="Courier New" w:hAnsi="Courier New"/>
          <w:sz w:val="18"/>
          <w:szCs w:val="18"/>
          <w:color w:val="auto"/>
        </w:rPr>
        <w:t>3.6.3.1</w:t>
        <w:tab/>
        <w:t>Defer the time of payment of the Deceased Participant's Account to begin for a minimum of one additional year from the date payment would otherwise begin (provided that if an Election is made pursuant to this Section 3.6.3.1, the Deceased Participant's Account shall be distributed in full on or before the fifth anniversary of the Deceased Participant's death); or</w:t>
      </w:r>
    </w:p>
    <w:p>
      <w:pPr>
        <w:spacing w:after="0" w:line="214" w:lineRule="exact"/>
        <w:rPr>
          <w:sz w:val="20"/>
          <w:szCs w:val="20"/>
          <w:color w:val="auto"/>
        </w:rPr>
      </w:pPr>
    </w:p>
    <w:p>
      <w:pPr>
        <w:ind w:left="1680" w:right="2419" w:hanging="947"/>
        <w:spacing w:after="0" w:line="237" w:lineRule="auto"/>
        <w:tabs>
          <w:tab w:leader="none" w:pos="1660" w:val="left"/>
        </w:tabs>
        <w:rPr>
          <w:sz w:val="20"/>
          <w:szCs w:val="20"/>
          <w:color w:val="auto"/>
        </w:rPr>
      </w:pPr>
      <w:r>
        <w:rPr>
          <w:rFonts w:ascii="Courier New" w:cs="Courier New" w:eastAsia="Courier New" w:hAnsi="Courier New"/>
          <w:sz w:val="18"/>
          <w:szCs w:val="18"/>
          <w:color w:val="auto"/>
        </w:rPr>
        <w:t>3.6.3.2</w:t>
        <w:tab/>
        <w:t>Accelerate the time of payment of such amount to begin from the date payment would otherwise be made to January 2nd of the calendar year beginning after the Deceased Participant's death.</w:t>
      </w:r>
    </w:p>
    <w:p>
      <w:pPr>
        <w:spacing w:after="0" w:line="209" w:lineRule="exact"/>
        <w:rPr>
          <w:sz w:val="20"/>
          <w:szCs w:val="20"/>
          <w:color w:val="auto"/>
        </w:rPr>
      </w:pPr>
    </w:p>
    <w:p>
      <w:pPr>
        <w:ind w:left="740" w:right="2419"/>
        <w:spacing w:after="0" w:line="270" w:lineRule="auto"/>
        <w:rPr>
          <w:sz w:val="20"/>
          <w:szCs w:val="20"/>
          <w:color w:val="auto"/>
        </w:rPr>
      </w:pPr>
      <w:r>
        <w:rPr>
          <w:rFonts w:ascii="Courier New" w:cs="Courier New" w:eastAsia="Courier New" w:hAnsi="Courier New"/>
          <w:sz w:val="16"/>
          <w:szCs w:val="16"/>
          <w:color w:val="auto"/>
        </w:rPr>
        <w:t>An Election pursuant to this Section 3.6.3 must be filed with the Administrator on or before the close of business on the later of (i) June 30 of the Plan Year preceding the Plan Year in which the distribution would otherwise be made or commence, or (ii) the 60th day following the Participant's death, but in no event later than December 31 of the calendar year preceding the calendar year in which the distribution would otherwise be made or commence. Such estate or beneficiary, as applicable, shall be entitled to one and only one Election pursuant to this Section 3.6.3 with respect to a Participant's Account, but shall otherwise be treated as the Participant for all other purposes of the Plan.</w:t>
      </w:r>
    </w:p>
    <w:p>
      <w:pPr>
        <w:spacing w:after="0" w:line="38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3.6.4</w:t>
      </w:r>
      <w:r>
        <w:rPr>
          <w:sz w:val="20"/>
          <w:szCs w:val="20"/>
          <w:color w:val="auto"/>
        </w:rPr>
        <w:tab/>
      </w:r>
      <w:r>
        <w:rPr>
          <w:rFonts w:ascii="Courier New" w:cs="Courier New" w:eastAsia="Courier New" w:hAnsi="Courier New"/>
          <w:sz w:val="16"/>
          <w:szCs w:val="16"/>
          <w:color w:val="auto"/>
        </w:rPr>
        <w:t>A Disabled Participant may elect to:</w:t>
      </w:r>
    </w:p>
    <w:p>
      <w:pPr>
        <w:spacing w:after="0" w:line="207" w:lineRule="exact"/>
        <w:rPr>
          <w:sz w:val="20"/>
          <w:szCs w:val="20"/>
          <w:color w:val="auto"/>
        </w:rPr>
      </w:pPr>
    </w:p>
    <w:p>
      <w:pPr>
        <w:ind w:left="1680" w:right="2419" w:hanging="947"/>
        <w:spacing w:after="0" w:line="237" w:lineRule="auto"/>
        <w:tabs>
          <w:tab w:leader="none" w:pos="1660" w:val="left"/>
        </w:tabs>
        <w:rPr>
          <w:sz w:val="20"/>
          <w:szCs w:val="20"/>
          <w:color w:val="auto"/>
        </w:rPr>
      </w:pPr>
      <w:r>
        <w:rPr>
          <w:rFonts w:ascii="Courier New" w:cs="Courier New" w:eastAsia="Courier New" w:hAnsi="Courier New"/>
          <w:sz w:val="18"/>
          <w:szCs w:val="18"/>
          <w:color w:val="auto"/>
        </w:rPr>
        <w:t>3.6.4.1</w:t>
        <w:tab/>
        <w:t>Change the form of distribution from the form of distribution that payment of the Disabled Participant's Account would otherwise be made; and</w:t>
      </w:r>
    </w:p>
    <w:p>
      <w:pPr>
        <w:spacing w:after="0" w:line="207" w:lineRule="exact"/>
        <w:rPr>
          <w:sz w:val="20"/>
          <w:szCs w:val="20"/>
          <w:color w:val="auto"/>
        </w:rPr>
      </w:pPr>
    </w:p>
    <w:p>
      <w:pPr>
        <w:ind w:left="1680" w:right="2619" w:hanging="947"/>
        <w:spacing w:after="0" w:line="237" w:lineRule="auto"/>
        <w:tabs>
          <w:tab w:leader="none" w:pos="1660" w:val="left"/>
        </w:tabs>
        <w:rPr>
          <w:sz w:val="20"/>
          <w:szCs w:val="20"/>
          <w:color w:val="auto"/>
        </w:rPr>
      </w:pPr>
      <w:r>
        <w:rPr>
          <w:rFonts w:ascii="Courier New" w:cs="Courier New" w:eastAsia="Courier New" w:hAnsi="Courier New"/>
          <w:sz w:val="18"/>
          <w:szCs w:val="18"/>
          <w:color w:val="auto"/>
        </w:rPr>
        <w:t>3.6.4.2</w:t>
        <w:tab/>
        <w:t>Accelerate the time of payment of the Disabled Participant's Account to begin from the date payment would otherwise be made to January 2nd of the calendar year beginning after the Participant became disabled.</w:t>
      </w:r>
    </w:p>
    <w:p>
      <w:pPr>
        <w:spacing w:after="0" w:line="209" w:lineRule="exact"/>
        <w:rPr>
          <w:sz w:val="20"/>
          <w:szCs w:val="20"/>
          <w:color w:val="auto"/>
        </w:rPr>
      </w:pPr>
    </w:p>
    <w:p>
      <w:pPr>
        <w:jc w:val="both"/>
        <w:ind w:left="740" w:right="2419"/>
        <w:spacing w:after="0" w:line="236" w:lineRule="auto"/>
        <w:rPr>
          <w:sz w:val="20"/>
          <w:szCs w:val="20"/>
          <w:color w:val="auto"/>
        </w:rPr>
      </w:pPr>
      <w:r>
        <w:rPr>
          <w:rFonts w:ascii="Courier New" w:cs="Courier New" w:eastAsia="Courier New" w:hAnsi="Courier New"/>
          <w:sz w:val="18"/>
          <w:szCs w:val="18"/>
          <w:color w:val="auto"/>
        </w:rPr>
        <w:t>An Election pursuant to this Section 3.6.4 must be filed with the Administrator on or before the close of business on the later of (i)</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159"/>
          </w:cols>
          <w:pgMar w:left="1300" w:top="723" w:right="1440" w:bottom="1440" w:gutter="0" w:footer="0" w:header="0"/>
        </w:sectPr>
      </w:pPr>
    </w:p>
    <w:bookmarkStart w:id="53" w:name="page54"/>
    <w:bookmarkEnd w:id="5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ind w:left="600" w:right="2419"/>
        <w:spacing w:after="0" w:line="268" w:lineRule="auto"/>
        <w:rPr>
          <w:sz w:val="20"/>
          <w:szCs w:val="20"/>
          <w:color w:val="auto"/>
        </w:rPr>
      </w:pPr>
      <w:r>
        <w:rPr>
          <w:rFonts w:ascii="Courier New" w:cs="Courier New" w:eastAsia="Courier New" w:hAnsi="Courier New"/>
          <w:sz w:val="16"/>
          <w:szCs w:val="16"/>
          <w:color w:val="auto"/>
        </w:rPr>
        <w:t>June 30 of the Plan Year preceding the Plan Year in which the distribution would otherwise be made or commence, or</w:t>
      </w:r>
    </w:p>
    <w:p>
      <w:pPr>
        <w:ind w:left="600" w:right="2419" w:hanging="1"/>
        <w:spacing w:after="0" w:line="272" w:lineRule="auto"/>
        <w:tabs>
          <w:tab w:leader="none" w:pos="1127"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60th day following the date the Participant becomes disabled, but in no event later than December 31 of the calendar year preceding the calendar year in which the distribution would otherwise be made or commence. A Disabled Participant shall be entitled to one and only one Election pursuant to this Section 3.6.4.</w:t>
      </w:r>
    </w:p>
    <w:p>
      <w:pPr>
        <w:spacing w:after="0" w:line="186" w:lineRule="exact"/>
        <w:rPr>
          <w:sz w:val="20"/>
          <w:szCs w:val="20"/>
          <w:color w:val="auto"/>
        </w:rPr>
      </w:pPr>
    </w:p>
    <w:p>
      <w:pPr>
        <w:ind w:left="600" w:right="2419" w:hanging="736"/>
        <w:spacing w:after="0" w:line="269" w:lineRule="auto"/>
        <w:tabs>
          <w:tab w:leader="none" w:pos="580" w:val="left"/>
        </w:tabs>
        <w:rPr>
          <w:sz w:val="20"/>
          <w:szCs w:val="20"/>
          <w:color w:val="auto"/>
        </w:rPr>
      </w:pPr>
      <w:r>
        <w:rPr>
          <w:rFonts w:ascii="Courier New" w:cs="Courier New" w:eastAsia="Courier New" w:hAnsi="Courier New"/>
          <w:sz w:val="18"/>
          <w:szCs w:val="18"/>
          <w:color w:val="auto"/>
        </w:rPr>
        <w:t>3.6.5</w:t>
      </w:r>
      <w:r>
        <w:rPr>
          <w:sz w:val="20"/>
          <w:szCs w:val="20"/>
          <w:color w:val="auto"/>
        </w:rPr>
        <w:tab/>
      </w:r>
      <w:r>
        <w:rPr>
          <w:rFonts w:ascii="Courier New" w:cs="Courier New" w:eastAsia="Courier New" w:hAnsi="Courier New"/>
          <w:sz w:val="16"/>
          <w:szCs w:val="16"/>
          <w:color w:val="auto"/>
        </w:rPr>
        <w:t>Except as provided in Section 3.6.4 or Section 3.6.6, if permitted by the Administrator in its sole discretion, an Inactive Participant who has previously elected to receive a distribution of part or all of his her Account, or who, pursuant to this Section 3.6.5, has elected to defer payment for an additional period from the originally elected payment date, may elect to defer the payment of such amount for a minimum of one additional year from the previously-elected payment date, but not later than the date permitted by the Administrator, by filing an Election with the Administrator on or before the close of business on June 30 of the Plan Year preceding the Plan Year in which the distribution would otherwise be made, provided that an Election applicable to the 1997 Plan Year shall not be effective unless it is filed with the Administrator on or before the close of business on October 15, 1996.</w:t>
      </w:r>
    </w:p>
    <w:p>
      <w:pPr>
        <w:spacing w:after="0" w:line="396" w:lineRule="exact"/>
        <w:rPr>
          <w:sz w:val="20"/>
          <w:szCs w:val="20"/>
          <w:color w:val="auto"/>
        </w:rPr>
      </w:pPr>
    </w:p>
    <w:p>
      <w:pPr>
        <w:ind w:left="600" w:right="2419" w:hanging="736"/>
        <w:spacing w:after="0" w:line="237" w:lineRule="auto"/>
        <w:tabs>
          <w:tab w:leader="none" w:pos="580" w:val="left"/>
        </w:tabs>
        <w:rPr>
          <w:sz w:val="20"/>
          <w:szCs w:val="20"/>
          <w:color w:val="auto"/>
        </w:rPr>
      </w:pPr>
      <w:r>
        <w:rPr>
          <w:rFonts w:ascii="Courier New" w:cs="Courier New" w:eastAsia="Courier New" w:hAnsi="Courier New"/>
          <w:sz w:val="18"/>
          <w:szCs w:val="18"/>
          <w:color w:val="auto"/>
        </w:rPr>
        <w:t>3.6.6</w:t>
        <w:tab/>
        <w:t>Except as provided in Section 3.6.4, No Grandfathered Participant who has previously elected to receive a distribution of part or all of his or her Account, or who, pursuant to this Section 3.6.6, has elected to defer payment for an additional period from the originally-elected payment date, may elect to defer the payment of such amount to any subsequent date.</w:t>
      </w:r>
    </w:p>
    <w:p>
      <w:pPr>
        <w:spacing w:after="0" w:line="211" w:lineRule="exact"/>
        <w:rPr>
          <w:sz w:val="20"/>
          <w:szCs w:val="20"/>
          <w:color w:val="auto"/>
        </w:rPr>
      </w:pPr>
    </w:p>
    <w:p>
      <w:pPr>
        <w:ind w:left="600" w:right="2419" w:hanging="736"/>
        <w:spacing w:after="0" w:line="238" w:lineRule="auto"/>
        <w:tabs>
          <w:tab w:leader="none" w:pos="580" w:val="left"/>
        </w:tabs>
        <w:rPr>
          <w:sz w:val="20"/>
          <w:szCs w:val="20"/>
          <w:color w:val="auto"/>
        </w:rPr>
      </w:pPr>
      <w:r>
        <w:rPr>
          <w:rFonts w:ascii="Courier New" w:cs="Courier New" w:eastAsia="Courier New" w:hAnsi="Courier New"/>
          <w:sz w:val="18"/>
          <w:szCs w:val="18"/>
          <w:color w:val="auto"/>
        </w:rPr>
        <w:t>3.6.7</w:t>
        <w:tab/>
        <w:t>Subject to acceleration pursuant to Section 3.6.3, Section 3.6.4, Section 7.1, Section 7.2 or Section 7.3, no distribution of the amounts deferred by a Participant for any Plan Year shall be made before the payment date designated by the Participant on the most recently filed Election with respect to such deferred amounts. Distribution of the amounts deferred for any Plan Year by a Participant (other than a Grandfathered Participant and an Inactive Participant who makes an Election under Section 3.6.5) who ceases to be an Active Participant shall be made on the payment date designated by the Participant on the last Election filed with respect to such deferred amounts before the Participant ceased to be an Active Participant.</w:t>
      </w:r>
    </w:p>
    <w:p>
      <w:pPr>
        <w:spacing w:after="0" w:line="202" w:lineRule="exact"/>
        <w:rPr>
          <w:sz w:val="20"/>
          <w:szCs w:val="20"/>
          <w:color w:val="auto"/>
        </w:rPr>
      </w:pPr>
    </w:p>
    <w:p>
      <w:pPr>
        <w:ind w:left="21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019"/>
          </w:cols>
          <w:pgMar w:left="1440" w:top="723" w:right="1440" w:bottom="1440" w:gutter="0" w:footer="0" w:header="0"/>
        </w:sectPr>
      </w:pPr>
    </w:p>
    <w:bookmarkStart w:id="55" w:name="page56"/>
    <w:bookmarkEnd w:id="55"/>
    <w:p>
      <w:pPr>
        <w:ind w:right="2519" w:firstLine="527"/>
        <w:spacing w:after="0" w:line="237" w:lineRule="auto"/>
        <w:rPr>
          <w:sz w:val="20"/>
          <w:szCs w:val="20"/>
          <w:color w:val="auto"/>
        </w:rPr>
      </w:pPr>
      <w:r>
        <w:rPr>
          <w:rFonts w:ascii="Courier New" w:cs="Courier New" w:eastAsia="Courier New" w:hAnsi="Courier New"/>
          <w:sz w:val="18"/>
          <w:szCs w:val="18"/>
          <w:color w:val="auto"/>
        </w:rPr>
        <w:t>3.7 Distribution in Full Upon Terminating Event. The Company shall give Participants at least thirty (30) days' notice (or, if not practicable, such shorter notice as may be reasonably practicable) prior to the anticipated date of the consummation of a Terminating Event. The Committee may, in its discretion, provide in such notice that notwithstanding any other provision of the Plan or the terms of any Election, upon the consummation of a Terminating Event, the Account balance of each Participant shall be distributed in full.</w:t>
      </w:r>
    </w:p>
    <w:p>
      <w:pPr>
        <w:spacing w:after="0" w:line="207" w:lineRule="exact"/>
        <w:rPr>
          <w:sz w:val="20"/>
          <w:szCs w:val="20"/>
          <w:color w:val="auto"/>
        </w:rPr>
      </w:pPr>
    </w:p>
    <w:p>
      <w:pPr>
        <w:ind w:left="1060" w:hanging="525"/>
        <w:spacing w:after="0"/>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FORMS OF DISTRIBUTION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4.1 Forms of Distribution. Amounts credited to an Account shall be distributed, pursuant to an Election, from among the following forms of distribution:</w:t>
      </w:r>
    </w:p>
    <w:p>
      <w:pPr>
        <w:spacing w:after="0" w:line="203"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4.1.1</w:t>
      </w:r>
      <w:r>
        <w:rPr>
          <w:sz w:val="20"/>
          <w:szCs w:val="20"/>
          <w:color w:val="auto"/>
        </w:rPr>
        <w:tab/>
      </w:r>
      <w:r>
        <w:rPr>
          <w:rFonts w:ascii="Courier New" w:cs="Courier New" w:eastAsia="Courier New" w:hAnsi="Courier New"/>
          <w:sz w:val="16"/>
          <w:szCs w:val="16"/>
          <w:color w:val="auto"/>
        </w:rPr>
        <w:t>A lump sum payment.</w:t>
      </w:r>
    </w:p>
    <w:p>
      <w:pPr>
        <w:spacing w:after="0" w:line="207" w:lineRule="exact"/>
        <w:rPr>
          <w:sz w:val="20"/>
          <w:szCs w:val="20"/>
          <w:color w:val="auto"/>
        </w:rPr>
      </w:pPr>
    </w:p>
    <w:p>
      <w:pPr>
        <w:ind w:left="1800" w:right="251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4.1.2</w:t>
        <w:tab/>
        <w:t>Substantially equal annual installments over a five (5), ten (10) or fifteen (15) year period.</w:t>
      </w:r>
    </w:p>
    <w:p>
      <w:pPr>
        <w:spacing w:after="0" w:line="208" w:lineRule="exact"/>
        <w:rPr>
          <w:sz w:val="20"/>
          <w:szCs w:val="20"/>
          <w:color w:val="auto"/>
        </w:rPr>
      </w:pPr>
    </w:p>
    <w:p>
      <w:pPr>
        <w:ind w:left="1800" w:right="273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4.1.3</w:t>
        <w:tab/>
        <w:t>Substantially equal monthly installments over a period not exceeding fifteen (15) years.</w:t>
      </w:r>
    </w:p>
    <w:p>
      <w:pPr>
        <w:spacing w:after="0" w:line="20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Notwithstanding any Election to the contrary, distributions pursuant to Elections made after December 10, 1996 shall be made in the form of a lump sum payment unless the portion of a Participant's Account subject to distribution pursuant to Section 4.1.2 or Section 4.1.3, as of both the date of the Election and the benefit commencement date, is more than $10,000.</w:t>
      </w:r>
    </w:p>
    <w:p>
      <w:pPr>
        <w:spacing w:after="0" w:line="210" w:lineRule="exact"/>
        <w:rPr>
          <w:sz w:val="20"/>
          <w:szCs w:val="20"/>
          <w:color w:val="auto"/>
        </w:rPr>
      </w:pPr>
    </w:p>
    <w:p>
      <w:pPr>
        <w:ind w:right="2619" w:firstLine="527"/>
        <w:spacing w:after="0" w:line="271" w:lineRule="auto"/>
        <w:rPr>
          <w:sz w:val="20"/>
          <w:szCs w:val="20"/>
          <w:color w:val="auto"/>
        </w:rPr>
      </w:pPr>
      <w:r>
        <w:rPr>
          <w:rFonts w:ascii="Courier New" w:cs="Courier New" w:eastAsia="Courier New" w:hAnsi="Courier New"/>
          <w:sz w:val="16"/>
          <w:szCs w:val="16"/>
          <w:color w:val="auto"/>
        </w:rPr>
        <w:t>4.2 Valuation of Account For Purposes of Distribution. The amount of any distribution made pursuant to Section 4.1 shall be based on the value of the Participant's Account on the date of distribution and the applicable distribution period. For this purpose, the value of a Participant's Account shall be calculated by crediting income, gains and losses under the Company Stock Fund and the Income Fund, as applicable, through the date immediately preceding the date of distribution.</w:t>
      </w:r>
    </w:p>
    <w:p>
      <w:pPr>
        <w:spacing w:after="0" w:line="182" w:lineRule="exact"/>
        <w:rPr>
          <w:sz w:val="20"/>
          <w:szCs w:val="20"/>
          <w:color w:val="auto"/>
        </w:rPr>
      </w:pPr>
    </w:p>
    <w:p>
      <w:pPr>
        <w:ind w:left="1060" w:hanging="525"/>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BOOK ACCOUNTS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5.1 Deferred Compensation Account. A deferred Compensation Account shall be established for each Outside Director and Eligible Employee when such Outside Director or Eligible Employee becomes a Participant. The balance of each Participant's Account as of January 1, 1997 shall include the balance of such Participant's account under the Prior Plan as of December 31, 1996. Compensation deferred pursuant to the Plan shall be credited to the Account on the date such Compensation would otherwise have been payable to the Participant. Income, gains and losses on the balance of the Account shall be credited to the Account as provided in Section 5.2.</w:t>
      </w: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56" w:name="page57"/>
    <w:bookmarkEnd w:id="5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7" w:name="page58"/>
    <w:bookmarkEnd w:id="57"/>
    <w:p>
      <w:pPr>
        <w:spacing w:after="0"/>
        <w:tabs>
          <w:tab w:leader="none" w:pos="50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Crediting of Income, Gains and Losses on Accounts.</w:t>
      </w:r>
    </w:p>
    <w:p>
      <w:pPr>
        <w:spacing w:after="0" w:line="207" w:lineRule="exact"/>
        <w:rPr>
          <w:sz w:val="20"/>
          <w:szCs w:val="20"/>
          <w:color w:val="auto"/>
        </w:rPr>
      </w:pPr>
    </w:p>
    <w:p>
      <w:pPr>
        <w:ind w:left="1260" w:right="2419" w:hanging="736"/>
        <w:spacing w:after="0" w:line="237" w:lineRule="auto"/>
        <w:tabs>
          <w:tab w:leader="none" w:pos="1240" w:val="left"/>
        </w:tabs>
        <w:rPr>
          <w:sz w:val="20"/>
          <w:szCs w:val="20"/>
          <w:color w:val="auto"/>
        </w:rPr>
      </w:pPr>
      <w:r>
        <w:rPr>
          <w:rFonts w:ascii="Courier New" w:cs="Courier New" w:eastAsia="Courier New" w:hAnsi="Courier New"/>
          <w:sz w:val="18"/>
          <w:szCs w:val="18"/>
          <w:color w:val="auto"/>
        </w:rPr>
        <w:t>5.2.1</w:t>
        <w:tab/>
        <w:t>In General. Except as otherwise provided in this Section 5.2, the Administrator shall credit income, gains and losses with respect to each Participant's Account as if it were invested in the Income Fund.</w:t>
      </w:r>
    </w:p>
    <w:p>
      <w:pPr>
        <w:spacing w:after="0" w:line="202" w:lineRule="exact"/>
        <w:rPr>
          <w:sz w:val="20"/>
          <w:szCs w:val="20"/>
          <w:color w:val="auto"/>
        </w:rPr>
      </w:pPr>
    </w:p>
    <w:p>
      <w:pPr>
        <w:ind w:left="520"/>
        <w:spacing w:after="0"/>
        <w:tabs>
          <w:tab w:leader="none" w:pos="1240" w:val="left"/>
          <w:tab w:leader="none" w:pos="4180" w:val="left"/>
        </w:tabs>
        <w:rPr>
          <w:sz w:val="20"/>
          <w:szCs w:val="20"/>
          <w:color w:val="auto"/>
        </w:rPr>
      </w:pPr>
      <w:r>
        <w:rPr>
          <w:rFonts w:ascii="Courier New" w:cs="Courier New" w:eastAsia="Courier New" w:hAnsi="Courier New"/>
          <w:sz w:val="18"/>
          <w:szCs w:val="18"/>
          <w:color w:val="auto"/>
        </w:rPr>
        <w:t>5.2.2</w:t>
        <w:tab/>
        <w:t>Investment Fund Elections.</w:t>
      </w:r>
      <w:r>
        <w:rPr>
          <w:sz w:val="20"/>
          <w:szCs w:val="20"/>
          <w:color w:val="auto"/>
        </w:rPr>
        <w:tab/>
      </w:r>
      <w:r>
        <w:rPr>
          <w:rFonts w:ascii="Courier New" w:cs="Courier New" w:eastAsia="Courier New" w:hAnsi="Courier New"/>
          <w:sz w:val="16"/>
          <w:szCs w:val="16"/>
          <w:color w:val="auto"/>
        </w:rPr>
        <w:t>Effective January 1, 1997:</w:t>
      </w:r>
    </w:p>
    <w:p>
      <w:pPr>
        <w:spacing w:after="0" w:line="207" w:lineRule="exact"/>
        <w:rPr>
          <w:sz w:val="20"/>
          <w:szCs w:val="20"/>
          <w:color w:val="auto"/>
        </w:rPr>
      </w:pPr>
    </w:p>
    <w:p>
      <w:pPr>
        <w:ind w:left="2200" w:right="2519" w:hanging="947"/>
        <w:spacing w:after="0" w:line="271" w:lineRule="auto"/>
        <w:tabs>
          <w:tab w:leader="none" w:pos="2180" w:val="left"/>
        </w:tabs>
        <w:rPr>
          <w:sz w:val="20"/>
          <w:szCs w:val="20"/>
          <w:color w:val="auto"/>
        </w:rPr>
      </w:pPr>
      <w:r>
        <w:rPr>
          <w:rFonts w:ascii="Courier New" w:cs="Courier New" w:eastAsia="Courier New" w:hAnsi="Courier New"/>
          <w:sz w:val="18"/>
          <w:szCs w:val="18"/>
          <w:color w:val="auto"/>
        </w:rPr>
        <w:t>5.2.2.1</w:t>
      </w:r>
      <w:r>
        <w:rPr>
          <w:sz w:val="20"/>
          <w:szCs w:val="20"/>
          <w:color w:val="auto"/>
        </w:rPr>
        <w:tab/>
      </w:r>
      <w:r>
        <w:rPr>
          <w:rFonts w:ascii="Courier New" w:cs="Courier New" w:eastAsia="Courier New" w:hAnsi="Courier New"/>
          <w:sz w:val="16"/>
          <w:szCs w:val="16"/>
          <w:color w:val="auto"/>
        </w:rPr>
        <w:t>Each Participant, other than a Participant who is an Insider, may elect to have all or any portion of his Account (to the extent credited through the December 31 preceding the effective date of such Election) credited with income, gains and losses as if it were invested in the Company Stock Fund or the Income Fund.</w:t>
      </w:r>
    </w:p>
    <w:p>
      <w:pPr>
        <w:spacing w:after="0" w:line="188" w:lineRule="exact"/>
        <w:rPr>
          <w:sz w:val="20"/>
          <w:szCs w:val="20"/>
          <w:color w:val="auto"/>
        </w:rPr>
      </w:pPr>
    </w:p>
    <w:p>
      <w:pPr>
        <w:ind w:left="2200" w:right="2519" w:hanging="947"/>
        <w:spacing w:after="0" w:line="270" w:lineRule="auto"/>
        <w:tabs>
          <w:tab w:leader="none" w:pos="2180" w:val="left"/>
        </w:tabs>
        <w:rPr>
          <w:sz w:val="20"/>
          <w:szCs w:val="20"/>
          <w:color w:val="auto"/>
        </w:rPr>
      </w:pPr>
      <w:r>
        <w:rPr>
          <w:rFonts w:ascii="Courier New" w:cs="Courier New" w:eastAsia="Courier New" w:hAnsi="Courier New"/>
          <w:sz w:val="18"/>
          <w:szCs w:val="18"/>
          <w:color w:val="auto"/>
        </w:rPr>
        <w:t>5.2.2.2</w:t>
      </w:r>
      <w:r>
        <w:rPr>
          <w:sz w:val="20"/>
          <w:szCs w:val="20"/>
          <w:color w:val="auto"/>
        </w:rPr>
        <w:tab/>
      </w:r>
      <w:r>
        <w:rPr>
          <w:rFonts w:ascii="Courier New" w:cs="Courier New" w:eastAsia="Courier New" w:hAnsi="Courier New"/>
          <w:sz w:val="16"/>
          <w:szCs w:val="16"/>
          <w:color w:val="auto"/>
        </w:rPr>
        <w:t>An investment fund Election shall continue in effect until revoked or superseded, provided that notwithstanding any investment fund Election to the contrary, as of the valuation date (as determined under Section 4.2) for the distribution of all or any portion of a Participant's Account that is subject to distribution in the form of installments described in Section 4.1.2 or 4.1.2, such Account, or portion thereof, shall be deemed invested in the Income Fund (and transferred from the Company Stock Fund to the Income Fund, to the extent necessary) until such Account, or portion thereof, is distributed in full.</w:t>
      </w:r>
    </w:p>
    <w:p>
      <w:pPr>
        <w:spacing w:after="0" w:line="388" w:lineRule="exact"/>
        <w:rPr>
          <w:sz w:val="20"/>
          <w:szCs w:val="20"/>
          <w:color w:val="auto"/>
        </w:rPr>
      </w:pPr>
    </w:p>
    <w:p>
      <w:pPr>
        <w:ind w:left="2200" w:right="2419" w:hanging="947"/>
        <w:spacing w:after="0" w:line="237" w:lineRule="auto"/>
        <w:tabs>
          <w:tab w:leader="none" w:pos="2180" w:val="left"/>
        </w:tabs>
        <w:rPr>
          <w:sz w:val="20"/>
          <w:szCs w:val="20"/>
          <w:color w:val="auto"/>
        </w:rPr>
      </w:pPr>
      <w:r>
        <w:rPr>
          <w:rFonts w:ascii="Courier New" w:cs="Courier New" w:eastAsia="Courier New" w:hAnsi="Courier New"/>
          <w:sz w:val="18"/>
          <w:szCs w:val="18"/>
          <w:color w:val="auto"/>
        </w:rPr>
        <w:t>5.2.2.3</w:t>
        <w:tab/>
        <w:t>In the absence of an effective Election, the Participant shall be deemed to have elected to have the Account credited with income, gains and losses as if it were invested in the Income Fund.</w:t>
      </w:r>
    </w:p>
    <w:p>
      <w:pPr>
        <w:spacing w:after="0" w:line="203" w:lineRule="exact"/>
        <w:rPr>
          <w:sz w:val="20"/>
          <w:szCs w:val="20"/>
          <w:color w:val="auto"/>
        </w:rPr>
      </w:pPr>
    </w:p>
    <w:p>
      <w:pPr>
        <w:ind w:left="1260"/>
        <w:spacing w:after="0"/>
        <w:tabs>
          <w:tab w:leader="none" w:pos="2180" w:val="left"/>
        </w:tabs>
        <w:rPr>
          <w:sz w:val="20"/>
          <w:szCs w:val="20"/>
          <w:color w:val="auto"/>
        </w:rPr>
      </w:pPr>
      <w:r>
        <w:rPr>
          <w:rFonts w:ascii="Courier New" w:cs="Courier New" w:eastAsia="Courier New" w:hAnsi="Courier New"/>
          <w:sz w:val="18"/>
          <w:szCs w:val="18"/>
          <w:color w:val="auto"/>
        </w:rPr>
        <w:t>5.2.2.4</w:t>
      </w:r>
      <w:r>
        <w:rPr>
          <w:sz w:val="20"/>
          <w:szCs w:val="20"/>
          <w:color w:val="auto"/>
        </w:rPr>
        <w:tab/>
      </w:r>
      <w:r>
        <w:rPr>
          <w:rFonts w:ascii="Courier New" w:cs="Courier New" w:eastAsia="Courier New" w:hAnsi="Courier New"/>
          <w:sz w:val="16"/>
          <w:szCs w:val="16"/>
          <w:color w:val="auto"/>
        </w:rPr>
        <w:t>Investment fund Elections under this Section</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5.2.2 shall be effective as of the first day of</w:t>
      </w:r>
    </w:p>
    <w:p>
      <w:pPr>
        <w:spacing w:after="0" w:line="2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each Plan Year beginning on and after January 1,</w:t>
      </w:r>
    </w:p>
    <w:p>
      <w:pPr>
        <w:spacing w:after="0" w:line="16" w:lineRule="exact"/>
        <w:rPr>
          <w:sz w:val="20"/>
          <w:szCs w:val="20"/>
          <w:color w:val="auto"/>
        </w:rPr>
      </w:pPr>
    </w:p>
    <w:p>
      <w:pPr>
        <w:ind w:left="2200"/>
        <w:spacing w:after="0"/>
        <w:rPr>
          <w:sz w:val="20"/>
          <w:szCs w:val="20"/>
          <w:color w:val="auto"/>
        </w:rPr>
      </w:pPr>
      <w:r>
        <w:rPr>
          <w:rFonts w:ascii="Courier New" w:cs="Courier New" w:eastAsia="Courier New" w:hAnsi="Courier New"/>
          <w:sz w:val="18"/>
          <w:szCs w:val="18"/>
          <w:color w:val="auto"/>
        </w:rPr>
        <w:t>1997, provided that the election is filed with</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the Committee on or before the close of business</w:t>
      </w:r>
    </w:p>
    <w:p>
      <w:pPr>
        <w:spacing w:after="0" w:line="16" w:lineRule="exact"/>
        <w:rPr>
          <w:sz w:val="20"/>
          <w:szCs w:val="20"/>
          <w:color w:val="auto"/>
        </w:rPr>
      </w:pPr>
    </w:p>
    <w:p>
      <w:pPr>
        <w:ind w:left="2200"/>
        <w:spacing w:after="0"/>
        <w:rPr>
          <w:sz w:val="20"/>
          <w:szCs w:val="20"/>
          <w:color w:val="auto"/>
        </w:rPr>
      </w:pPr>
      <w:r>
        <w:rPr>
          <w:rFonts w:ascii="Courier New" w:cs="Courier New" w:eastAsia="Courier New" w:hAnsi="Courier New"/>
          <w:sz w:val="18"/>
          <w:szCs w:val="18"/>
          <w:color w:val="auto"/>
        </w:rPr>
        <w:t>on December 31 of the Plan Year preceding such</w:t>
      </w:r>
    </w:p>
    <w:p>
      <w:pPr>
        <w:ind w:left="2200"/>
        <w:spacing w:after="0"/>
        <w:tabs>
          <w:tab w:leader="none" w:pos="3460" w:val="left"/>
        </w:tabs>
        <w:rPr>
          <w:sz w:val="20"/>
          <w:szCs w:val="20"/>
          <w:color w:val="auto"/>
        </w:rPr>
      </w:pPr>
      <w:r>
        <w:rPr>
          <w:rFonts w:ascii="Courier New" w:cs="Courier New" w:eastAsia="Courier New" w:hAnsi="Courier New"/>
          <w:sz w:val="18"/>
          <w:szCs w:val="18"/>
          <w:color w:val="auto"/>
        </w:rPr>
        <w:t>Plan Year.</w:t>
      </w:r>
      <w:r>
        <w:rPr>
          <w:sz w:val="20"/>
          <w:szCs w:val="20"/>
          <w:color w:val="auto"/>
        </w:rPr>
        <w:tab/>
      </w:r>
      <w:r>
        <w:rPr>
          <w:rFonts w:ascii="Courier New" w:cs="Courier New" w:eastAsia="Courier New" w:hAnsi="Courier New"/>
          <w:sz w:val="16"/>
          <w:szCs w:val="16"/>
          <w:color w:val="auto"/>
        </w:rPr>
        <w:t>A Participant may only make an</w:t>
      </w:r>
    </w:p>
    <w:p>
      <w:pPr>
        <w:ind w:left="2200"/>
        <w:spacing w:after="0"/>
        <w:rPr>
          <w:sz w:val="20"/>
          <w:szCs w:val="20"/>
          <w:color w:val="auto"/>
        </w:rPr>
      </w:pPr>
      <w:r>
        <w:rPr>
          <w:rFonts w:ascii="Courier New" w:cs="Courier New" w:eastAsia="Courier New" w:hAnsi="Courier New"/>
          <w:sz w:val="18"/>
          <w:szCs w:val="18"/>
          <w:color w:val="auto"/>
        </w:rPr>
        <w:t>investment fund Election with respect to the</w:t>
      </w:r>
    </w:p>
    <w:p>
      <w:pPr>
        <w:spacing w:after="0" w:line="3"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Participant's accumulated Account as of December</w:t>
      </w:r>
    </w:p>
    <w:p>
      <w:pPr>
        <w:spacing w:after="0" w:line="16" w:lineRule="exact"/>
        <w:rPr>
          <w:sz w:val="20"/>
          <w:szCs w:val="20"/>
          <w:color w:val="auto"/>
        </w:rPr>
      </w:pPr>
    </w:p>
    <w:p>
      <w:pPr>
        <w:ind w:left="2200"/>
        <w:spacing w:after="0"/>
        <w:rPr>
          <w:sz w:val="20"/>
          <w:szCs w:val="20"/>
          <w:color w:val="auto"/>
        </w:rPr>
      </w:pPr>
      <w:r>
        <w:rPr>
          <w:rFonts w:ascii="Courier New" w:cs="Courier New" w:eastAsia="Courier New" w:hAnsi="Courier New"/>
          <w:sz w:val="18"/>
          <w:szCs w:val="18"/>
          <w:color w:val="auto"/>
        </w:rPr>
        <w:t>31, and not with respect to Compensation to be</w:t>
      </w:r>
    </w:p>
    <w:p>
      <w:pPr>
        <w:ind w:left="2200"/>
        <w:spacing w:after="0" w:line="238" w:lineRule="auto"/>
        <w:rPr>
          <w:sz w:val="20"/>
          <w:szCs w:val="20"/>
          <w:color w:val="auto"/>
        </w:rPr>
      </w:pPr>
      <w:r>
        <w:rPr>
          <w:rFonts w:ascii="Courier New" w:cs="Courier New" w:eastAsia="Courier New" w:hAnsi="Courier New"/>
          <w:sz w:val="18"/>
          <w:szCs w:val="18"/>
          <w:color w:val="auto"/>
        </w:rPr>
        <w:t>deferred for a Plan Year.</w:t>
      </w:r>
    </w:p>
    <w:p>
      <w:pPr>
        <w:spacing w:after="0" w:line="202"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679"/>
          </w:cols>
          <w:pgMar w:left="780" w:top="717" w:right="1440" w:bottom="1440" w:gutter="0" w:footer="0" w:header="0"/>
        </w:sectPr>
      </w:pPr>
    </w:p>
    <w:bookmarkStart w:id="58" w:name="page59"/>
    <w:bookmarkEnd w:id="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ind w:left="2740" w:right="2419" w:hanging="947"/>
        <w:spacing w:after="0" w:line="272" w:lineRule="auto"/>
        <w:tabs>
          <w:tab w:leader="none" w:pos="2720" w:val="left"/>
        </w:tabs>
        <w:rPr>
          <w:sz w:val="20"/>
          <w:szCs w:val="20"/>
          <w:color w:val="auto"/>
        </w:rPr>
      </w:pPr>
      <w:r>
        <w:rPr>
          <w:rFonts w:ascii="Courier New" w:cs="Courier New" w:eastAsia="Courier New" w:hAnsi="Courier New"/>
          <w:sz w:val="18"/>
          <w:szCs w:val="18"/>
          <w:color w:val="auto"/>
        </w:rPr>
        <w:t>5.2.2.5</w:t>
      </w:r>
      <w:r>
        <w:rPr>
          <w:sz w:val="20"/>
          <w:szCs w:val="20"/>
          <w:color w:val="auto"/>
        </w:rPr>
        <w:tab/>
      </w:r>
      <w:r>
        <w:rPr>
          <w:rFonts w:ascii="Courier New" w:cs="Courier New" w:eastAsia="Courier New" w:hAnsi="Courier New"/>
          <w:sz w:val="16"/>
          <w:szCs w:val="16"/>
          <w:color w:val="auto"/>
        </w:rPr>
        <w:t>If a Participant who was not an Insider becomes an Insider, then, notwithstanding the foregoing, such Participant may elect to transfer the portion of his Account, if any, deemed invested in the Company Stock Fund to be deemed invested in the Income Fund, effective as of the first day of any calendar month beginning after such Participant becomes an Insider.</w:t>
      </w:r>
    </w:p>
    <w:p>
      <w:pPr>
        <w:spacing w:after="0" w:line="385" w:lineRule="exact"/>
        <w:rPr>
          <w:sz w:val="20"/>
          <w:szCs w:val="20"/>
          <w:color w:val="auto"/>
        </w:rPr>
      </w:pPr>
    </w:p>
    <w:p>
      <w:pPr>
        <w:ind w:left="1800" w:right="2419" w:hanging="736"/>
        <w:spacing w:after="0" w:line="270" w:lineRule="auto"/>
        <w:tabs>
          <w:tab w:leader="none" w:pos="1780" w:val="left"/>
        </w:tabs>
        <w:rPr>
          <w:sz w:val="20"/>
          <w:szCs w:val="20"/>
          <w:color w:val="auto"/>
        </w:rPr>
      </w:pPr>
      <w:r>
        <w:rPr>
          <w:rFonts w:ascii="Courier New" w:cs="Courier New" w:eastAsia="Courier New" w:hAnsi="Courier New"/>
          <w:sz w:val="18"/>
          <w:szCs w:val="18"/>
          <w:color w:val="auto"/>
        </w:rPr>
        <w:t>5.2.3</w:t>
      </w:r>
      <w:r>
        <w:rPr>
          <w:sz w:val="20"/>
          <w:szCs w:val="20"/>
          <w:color w:val="auto"/>
        </w:rPr>
        <w:tab/>
      </w:r>
      <w:r>
        <w:rPr>
          <w:rFonts w:ascii="Courier New" w:cs="Courier New" w:eastAsia="Courier New" w:hAnsi="Courier New"/>
          <w:sz w:val="16"/>
          <w:szCs w:val="16"/>
          <w:color w:val="auto"/>
        </w:rPr>
        <w:t>Timing of Credits. Compensation deferred pursuant to the Plan shall be deemed invested in the Income Fund on the date such Compensation would otherwise have been payable to the Participant. Accumulated Account balances subject to an investment fund Election under Section 5.2.2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392"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5.3 Status of Deferred Amounts. Regardless of whether or not the Company is a Participant's employer, all Compensation deferred under this Plan shall continue for all purposes to be a part of the general funds of the Company.</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5.4 Participants' Status as General Creditors. Regardless of whether or not the Company is a Participant's employer, an Account shall at all times represent the general obligation of the Company. The Participant shall be a general creditor of the Company with respect to this obligation, and shall not have a secured or preferred position with respect to his or her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209" w:lineRule="exact"/>
        <w:rPr>
          <w:sz w:val="20"/>
          <w:szCs w:val="20"/>
          <w:color w:val="auto"/>
        </w:rPr>
      </w:pPr>
    </w:p>
    <w:p>
      <w:pPr>
        <w:ind w:left="1060" w:hanging="525"/>
        <w:spacing w:after="0"/>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NON-ASSIGNABILITY, ETC.</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firstLine="316"/>
        <w:spacing w:after="0" w:line="237" w:lineRule="auto"/>
        <w:rPr>
          <w:sz w:val="20"/>
          <w:szCs w:val="20"/>
          <w:color w:val="auto"/>
        </w:rPr>
      </w:pPr>
      <w:r>
        <w:rPr>
          <w:rFonts w:ascii="Courier New" w:cs="Courier New" w:eastAsia="Courier New" w:hAnsi="Courier New"/>
          <w:sz w:val="18"/>
          <w:szCs w:val="18"/>
          <w:color w:val="auto"/>
        </w:rPr>
        <w:t>The right of each Participant in or to any account, benefit or payment hereunder shall not be subject in any manner to attachment or other legal process for the debts of such Participant; and no Account, benefit or payment shall be subject to anticipation, alienation, sale, transfer, assignment or encumbrance.</w:t>
      </w:r>
    </w:p>
    <w:p>
      <w:pPr>
        <w:spacing w:after="0" w:line="203" w:lineRule="exact"/>
        <w:rPr>
          <w:sz w:val="20"/>
          <w:szCs w:val="20"/>
          <w:color w:val="auto"/>
        </w:rPr>
      </w:pPr>
    </w:p>
    <w:p>
      <w:pPr>
        <w:ind w:left="1060" w:hanging="525"/>
        <w:spacing w:after="0"/>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OR DISABILITY OF PARTICIPANT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7.1 Death of Participant. A Deceased Participant's Account shall be distributed in accordance with the last Election made by the Deceased Participant before the</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60" w:name="page61"/>
    <w:bookmarkEnd w:id="6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ind w:right="2519"/>
        <w:spacing w:after="0" w:line="237" w:lineRule="auto"/>
        <w:rPr>
          <w:sz w:val="20"/>
          <w:szCs w:val="20"/>
          <w:color w:val="auto"/>
        </w:rPr>
      </w:pPr>
      <w:r>
        <w:rPr>
          <w:rFonts w:ascii="Courier New" w:cs="Courier New" w:eastAsia="Courier New" w:hAnsi="Courier New"/>
          <w:sz w:val="18"/>
          <w:szCs w:val="18"/>
          <w:color w:val="auto"/>
        </w:rPr>
        <w:t>Deceased Participant's death, unless the Deceased Participant's estate or beneficiary to whom the right to payment under the Plan shall have passed timely elects to accelerate or defer the time or change the form of payment pursuant to Section 3.6.3.</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7.2 Disability of Participant. A Disabled Participant's Account shall be distributed in accordance with the last Election made by the Disabled Participant before the Disabled Participant's termination of service or date of disability, as applicable, unless the Disabled Participant timely elects to accelerate the time or change the form of payment pursuant to Section 3.6.4.</w:t>
      </w:r>
    </w:p>
    <w:p>
      <w:pPr>
        <w:spacing w:after="0" w:line="210"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7.3 Hardship Distributions. Notwithstanding the terms of an Election, if, at the Participant's request, the Board determines that the Participant has incurred a Hardship, the Board may, in its discretion, authorize the immediate distribution of all or any portion of the Participant's Account.</w:t>
      </w:r>
    </w:p>
    <w:p>
      <w:pPr>
        <w:spacing w:after="0" w:line="20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7.4 Designation of Beneficiaries. Each Participant shall have the right to designate one or more beneficiaries to receive distributions in the event of the Participant's death by filing with the Administrator a beneficiary designation on the form provided by the Administrator for such purpose. The designation of beneficiary or beneficiaries may be changed by a Participant at any time prior to his or her death by the delivery to the Administrator of a new beneficiary designation form. If no beneficiary shall have been designated, or if no designated beneficiary shall survive the Participant, the Participant's estate shall be deemed to be the beneficiary.</w:t>
      </w:r>
    </w:p>
    <w:p>
      <w:pPr>
        <w:spacing w:after="0" w:line="209" w:lineRule="exact"/>
        <w:rPr>
          <w:sz w:val="20"/>
          <w:szCs w:val="20"/>
          <w:color w:val="auto"/>
        </w:rPr>
      </w:pPr>
    </w:p>
    <w:p>
      <w:pPr>
        <w:ind w:left="1060" w:hanging="525"/>
        <w:spacing w:after="0"/>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8.1 Authority of Committee. The Committee shall have full and exclusive authority to construe, interpret and administer this Plan and the Committee's construction and interpretation thereof shall be binding and conclusive on all persons for all purposes.</w:t>
      </w:r>
    </w:p>
    <w:p>
      <w:pPr>
        <w:spacing w:after="0" w:line="200" w:lineRule="exact"/>
        <w:rPr>
          <w:sz w:val="20"/>
          <w:szCs w:val="20"/>
          <w:color w:val="auto"/>
        </w:rPr>
      </w:pPr>
    </w:p>
    <w:p>
      <w:pPr>
        <w:spacing w:after="0" w:line="210"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8.2 Claims Procedure. The Committee shall administer a reasonable claims procedure with respect to the Plan in accordance with Department of Labor Regulation section 2560.503-1, or any successor provision.</w:t>
      </w:r>
    </w:p>
    <w:p>
      <w:pPr>
        <w:spacing w:after="0" w:line="203" w:lineRule="exact"/>
        <w:rPr>
          <w:sz w:val="20"/>
          <w:szCs w:val="20"/>
          <w:color w:val="auto"/>
        </w:rPr>
      </w:pPr>
    </w:p>
    <w:p>
      <w:pPr>
        <w:ind w:left="1060" w:hanging="525"/>
        <w:spacing w:after="0"/>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OR TERMINATION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firstLine="527"/>
        <w:spacing w:after="0" w:line="273" w:lineRule="auto"/>
        <w:rPr>
          <w:sz w:val="20"/>
          <w:szCs w:val="20"/>
          <w:color w:val="auto"/>
        </w:rPr>
      </w:pPr>
      <w:r>
        <w:rPr>
          <w:rFonts w:ascii="Courier New" w:cs="Courier New" w:eastAsia="Courier New" w:hAnsi="Courier New"/>
          <w:sz w:val="16"/>
          <w:szCs w:val="16"/>
          <w:color w:val="auto"/>
        </w:rPr>
        <w:t>9.1 Amendment or Termination. Except as otherwise provided by Section 9.2, the Company, by action of the Board or by action of the Committee, reserves the right at any time, or from time to time, to amend or modify this Plan. The Company, by action of the Board, reserves the right at any time, or from time to time terminate this Plan.</w:t>
      </w:r>
    </w:p>
    <w:p>
      <w:pPr>
        <w:spacing w:after="0" w:line="185" w:lineRule="exact"/>
        <w:rPr>
          <w:sz w:val="20"/>
          <w:szCs w:val="20"/>
          <w:color w:val="auto"/>
        </w:rPr>
      </w:pPr>
    </w:p>
    <w:p>
      <w:pPr>
        <w:ind w:right="2939" w:firstLine="527"/>
        <w:spacing w:after="0" w:line="236" w:lineRule="auto"/>
        <w:rPr>
          <w:sz w:val="20"/>
          <w:szCs w:val="20"/>
          <w:color w:val="auto"/>
        </w:rPr>
      </w:pPr>
      <w:r>
        <w:rPr>
          <w:rFonts w:ascii="Courier New" w:cs="Courier New" w:eastAsia="Courier New" w:hAnsi="Courier New"/>
          <w:sz w:val="18"/>
          <w:szCs w:val="18"/>
          <w:color w:val="auto"/>
        </w:rPr>
        <w:t>9.2 Amendment of Rate of Credited Earnings. No amendment shall change the Applicable Interest Rate with respect to the portion of a Participant's Account that is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62" w:name="page63"/>
    <w:bookmarkEnd w:id="6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ind w:right="2419"/>
        <w:spacing w:after="0" w:line="237" w:lineRule="auto"/>
        <w:rPr>
          <w:sz w:val="20"/>
          <w:szCs w:val="20"/>
          <w:color w:val="auto"/>
        </w:rPr>
      </w:pPr>
      <w:r>
        <w:rPr>
          <w:rFonts w:ascii="Courier New" w:cs="Courier New" w:eastAsia="Courier New" w:hAnsi="Courier New"/>
          <w:sz w:val="18"/>
          <w:szCs w:val="18"/>
          <w:color w:val="auto"/>
        </w:rPr>
        <w:t>attributable to an Election made with respect to Compensation earned in a Plan Year and filed with the Administrator before the date of adoption of such amendment by the Board. For purposes of this Section 9.2, an Election to defer the payment of part or all of an Account for an additional period after a previously-elected payment date (as described in Section 3.6) shall be treated as a separate Election from any previous Election with respect to such Account.</w:t>
      </w:r>
    </w:p>
    <w:p>
      <w:pPr>
        <w:spacing w:after="0" w:line="205" w:lineRule="exact"/>
        <w:rPr>
          <w:sz w:val="20"/>
          <w:szCs w:val="20"/>
          <w:color w:val="auto"/>
        </w:rPr>
      </w:pPr>
    </w:p>
    <w:p>
      <w:pPr>
        <w:ind w:left="1160" w:hanging="625"/>
        <w:spacing w:after="0"/>
        <w:tabs>
          <w:tab w:leader="none" w:pos="11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PROVISIONS</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10.1 No Right to Continued Employment. Nothing contained herein shall be construed as conferring upon any Participant the right to remain in service as an Outside Director or in the employment of a Participating Company as an executive or in any other capacity.</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10.2 Governing Law. This Plan shall be interpreted under the laws of the Commonwealth of Pennsylvania.</w:t>
      </w:r>
    </w:p>
    <w:p>
      <w:pPr>
        <w:spacing w:after="0" w:line="203" w:lineRule="exact"/>
        <w:rPr>
          <w:sz w:val="20"/>
          <w:szCs w:val="20"/>
          <w:color w:val="auto"/>
        </w:rPr>
      </w:pPr>
    </w:p>
    <w:p>
      <w:pPr>
        <w:ind w:left="1160" w:hanging="625"/>
        <w:spacing w:after="0"/>
        <w:tabs>
          <w:tab w:leader="none" w:pos="11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The effective date of the Plan this amendment and restatement of the Plan shall be December 10, 1996.</w:t>
      </w:r>
    </w:p>
    <w:p>
      <w:pPr>
        <w:spacing w:after="0" w:line="208" w:lineRule="exact"/>
        <w:rPr>
          <w:sz w:val="20"/>
          <w:szCs w:val="20"/>
          <w:color w:val="auto"/>
        </w:rPr>
      </w:pPr>
    </w:p>
    <w:p>
      <w:pPr>
        <w:ind w:right="2419" w:firstLine="211"/>
        <w:spacing w:after="0" w:line="236" w:lineRule="auto"/>
        <w:rPr>
          <w:sz w:val="20"/>
          <w:szCs w:val="20"/>
          <w:color w:val="auto"/>
        </w:rPr>
      </w:pPr>
      <w:r>
        <w:rPr>
          <w:rFonts w:ascii="Courier New" w:cs="Courier New" w:eastAsia="Courier New" w:hAnsi="Courier New"/>
          <w:sz w:val="18"/>
          <w:szCs w:val="18"/>
          <w:color w:val="auto"/>
        </w:rPr>
        <w:t>IN WITNESS WHEREOF, COMCAST CORPORATION has caused this Plan to be executed by its officers thereunto duly authorized, and its corporate seal to be affixed hereto, as of the 10th day of December, 1996.</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ATTEST:</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64" w:name="page65"/>
    <w:bookmarkEnd w:id="64"/>
    <w:p>
      <w:pPr>
        <w:ind w:left="6120"/>
        <w:spacing w:after="0"/>
        <w:rPr>
          <w:sz w:val="20"/>
          <w:szCs w:val="20"/>
          <w:color w:val="auto"/>
        </w:rPr>
      </w:pPr>
      <w:r>
        <w:rPr>
          <w:rFonts w:ascii="Courier New" w:cs="Courier New" w:eastAsia="Courier New" w:hAnsi="Courier New"/>
          <w:sz w:val="18"/>
          <w:szCs w:val="18"/>
          <w:color w:val="auto"/>
        </w:rPr>
        <w:t>Exhibit 23.1</w:t>
      </w:r>
    </w:p>
    <w:p>
      <w:pPr>
        <w:ind w:left="61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INDEPENDENT AUDITORS' CONSENT</w:t>
      </w:r>
    </w:p>
    <w:p>
      <w:pPr>
        <w:spacing w:after="0" w:line="207"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Comcast Corporation on Form S-8 of our report dated February 29, 1996 appearing in the Annual Report on Form 10-K of Comcast Corporation for the year ended December 31, 1995, and to the reference to us under the heading "Experts" in this Registration Statement.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38" w:lineRule="auto"/>
        <w:rPr>
          <w:sz w:val="20"/>
          <w:szCs w:val="20"/>
          <w:color w:val="auto"/>
        </w:rPr>
      </w:pPr>
      <w:r>
        <w:rPr>
          <w:rFonts w:ascii="Courier New" w:cs="Courier New" w:eastAsia="Courier New" w:hAnsi="Courier New"/>
          <w:sz w:val="18"/>
          <w:szCs w:val="18"/>
          <w:color w:val="auto"/>
        </w:rPr>
        <w:t>Philadelphia, Pennsylvania</w:t>
      </w:r>
    </w:p>
    <w:p>
      <w:pPr>
        <w:spacing w:after="0"/>
        <w:rPr>
          <w:sz w:val="20"/>
          <w:szCs w:val="20"/>
          <w:color w:val="auto"/>
        </w:rPr>
      </w:pPr>
      <w:r>
        <w:rPr>
          <w:rFonts w:ascii="Courier New" w:cs="Courier New" w:eastAsia="Courier New" w:hAnsi="Courier New"/>
          <w:sz w:val="18"/>
          <w:szCs w:val="18"/>
          <w:color w:val="auto"/>
        </w:rPr>
        <w:t>December 20, 1996</w:t>
      </w:r>
    </w:p>
    <w:p>
      <w:pPr>
        <w:sectPr>
          <w:pgSz w:w="11900" w:h="16838" w:orient="portrait"/>
          <w:cols w:equalWidth="0" w:num="1">
            <w:col w:w="10219"/>
          </w:cols>
          <w:pgMar w:left="240" w:top="541" w:right="1440" w:bottom="1440" w:gutter="0" w:footer="0" w:header="0"/>
        </w:sectPr>
      </w:pPr>
    </w:p>
    <w:bookmarkStart w:id="65" w:name="page66"/>
    <w:bookmarkEnd w:id="65"/>
    <w:p>
      <w:pPr>
        <w:ind w:left="6120"/>
        <w:spacing w:after="0"/>
        <w:rPr>
          <w:sz w:val="20"/>
          <w:szCs w:val="20"/>
          <w:color w:val="auto"/>
        </w:rPr>
      </w:pPr>
      <w:r>
        <w:rPr>
          <w:rFonts w:ascii="Courier New" w:cs="Courier New" w:eastAsia="Courier New" w:hAnsi="Courier New"/>
          <w:sz w:val="18"/>
          <w:szCs w:val="18"/>
          <w:color w:val="auto"/>
        </w:rPr>
        <w:t>Exhibit 23.2</w:t>
      </w:r>
    </w:p>
    <w:p>
      <w:pPr>
        <w:ind w:left="61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INDEPENDENT AUDITORS' CONSENT</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of Comcast Corporation on Form S-8 of our report dated February 22, 1996 relating to the combined financial statements of Scripps Cable, appearing in the Amendment Number 5 dated July 18, 1996 to the Current Report on Form 8-K of The E.W. Scripps Company dated December 28, 1995, and to the reference to us under the heading "Experts" in this Registration Statement.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38" w:lineRule="auto"/>
        <w:rPr>
          <w:sz w:val="20"/>
          <w:szCs w:val="20"/>
          <w:color w:val="auto"/>
        </w:rPr>
      </w:pPr>
      <w:r>
        <w:rPr>
          <w:rFonts w:ascii="Courier New" w:cs="Courier New" w:eastAsia="Courier New" w:hAnsi="Courier New"/>
          <w:sz w:val="18"/>
          <w:szCs w:val="18"/>
          <w:color w:val="auto"/>
        </w:rPr>
        <w:t>Cincinnati, Ohio</w:t>
      </w:r>
    </w:p>
    <w:p>
      <w:pPr>
        <w:spacing w:after="0"/>
        <w:rPr>
          <w:sz w:val="20"/>
          <w:szCs w:val="20"/>
          <w:color w:val="auto"/>
        </w:rPr>
      </w:pPr>
      <w:r>
        <w:rPr>
          <w:rFonts w:ascii="Courier New" w:cs="Courier New" w:eastAsia="Courier New" w:hAnsi="Courier New"/>
          <w:sz w:val="18"/>
          <w:szCs w:val="18"/>
          <w:color w:val="auto"/>
        </w:rPr>
        <w:t>December 20, 1996</w:t>
      </w:r>
    </w:p>
    <w:p>
      <w:pPr>
        <w:sectPr>
          <w:pgSz w:w="11900" w:h="16838" w:orient="portrait"/>
          <w:cols w:equalWidth="0" w:num="1">
            <w:col w:w="10219"/>
          </w:cols>
          <w:pgMar w:left="240" w:top="339" w:right="1440" w:bottom="1440" w:gutter="0" w:footer="0" w:header="0"/>
        </w:sectPr>
      </w:pPr>
    </w:p>
    <w:bookmarkStart w:id="66" w:name="page67"/>
    <w:bookmarkEnd w:id="66"/>
    <w:p>
      <w:pPr>
        <w:ind w:left="6120"/>
        <w:spacing w:after="0"/>
        <w:rPr>
          <w:sz w:val="20"/>
          <w:szCs w:val="20"/>
          <w:color w:val="auto"/>
        </w:rPr>
      </w:pPr>
      <w:r>
        <w:rPr>
          <w:rFonts w:ascii="Courier New" w:cs="Courier New" w:eastAsia="Courier New" w:hAnsi="Courier New"/>
          <w:sz w:val="18"/>
          <w:szCs w:val="18"/>
          <w:color w:val="auto"/>
        </w:rPr>
        <w:t>Exhibit 23.3</w:t>
      </w:r>
    </w:p>
    <w:p>
      <w:pPr>
        <w:ind w:left="61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QVC, Inc.:</w:t>
      </w:r>
    </w:p>
    <w:p>
      <w:pPr>
        <w:spacing w:after="0" w:line="20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on Form S-8 of Comcast Corporation of our report dated February 2, 1996, with respect to the consolidated balance sheet of QVC, Inc. and subsidiaries as</w:t>
      </w:r>
    </w:p>
    <w:p>
      <w:pPr>
        <w:spacing w:after="0" w:line="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of December 31, 1995, and the related consolidated statements of operations, shareholders' equity, and cash flows for the eleven-month period ended December 31, 1995, which report is included as an exhibit to the Annual Report on Form 10-K of Comcast Corporation for the year ended December 31, 1995 which Form 10-K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KPMG PEAT MARWICK LLP</w:t>
      </w:r>
    </w:p>
    <w:p>
      <w:pPr>
        <w:spacing w:after="0" w:line="238" w:lineRule="auto"/>
        <w:rPr>
          <w:sz w:val="20"/>
          <w:szCs w:val="20"/>
          <w:color w:val="auto"/>
        </w:rPr>
      </w:pPr>
      <w:r>
        <w:rPr>
          <w:rFonts w:ascii="Courier New" w:cs="Courier New" w:eastAsia="Courier New" w:hAnsi="Courier New"/>
          <w:sz w:val="18"/>
          <w:szCs w:val="18"/>
          <w:color w:val="auto"/>
        </w:rPr>
        <w:t>Philadelphia, Pennsylvania</w:t>
      </w:r>
    </w:p>
    <w:p>
      <w:pPr>
        <w:spacing w:after="0"/>
        <w:rPr>
          <w:sz w:val="20"/>
          <w:szCs w:val="20"/>
          <w:color w:val="auto"/>
        </w:rPr>
      </w:pPr>
      <w:r>
        <w:rPr>
          <w:rFonts w:ascii="Courier New" w:cs="Courier New" w:eastAsia="Courier New" w:hAnsi="Courier New"/>
          <w:sz w:val="18"/>
          <w:szCs w:val="18"/>
          <w:color w:val="auto"/>
        </w:rPr>
        <w:t>December 20, 1996</w:t>
      </w:r>
    </w:p>
    <w:p>
      <w:pPr>
        <w:sectPr>
          <w:pgSz w:w="11900" w:h="16838" w:orient="portrait"/>
          <w:cols w:equalWidth="0" w:num="1">
            <w:col w:w="10219"/>
          </w:cols>
          <w:pgMar w:left="240" w:top="541" w:right="1440" w:bottom="1440" w:gutter="0" w:footer="0" w:header="0"/>
        </w:sectPr>
      </w:pPr>
    </w:p>
    <w:bookmarkStart w:id="67" w:name="page68"/>
    <w:bookmarkEnd w:id="67"/>
    <w:p>
      <w:pPr>
        <w:ind w:left="6120"/>
        <w:spacing w:after="0"/>
        <w:rPr>
          <w:sz w:val="20"/>
          <w:szCs w:val="20"/>
          <w:color w:val="auto"/>
        </w:rPr>
      </w:pPr>
      <w:r>
        <w:rPr>
          <w:rFonts w:ascii="Courier New" w:cs="Courier New" w:eastAsia="Courier New" w:hAnsi="Courier New"/>
          <w:sz w:val="18"/>
          <w:szCs w:val="18"/>
          <w:color w:val="auto"/>
        </w:rPr>
        <w:t>Exhibit 23.4</w:t>
      </w:r>
    </w:p>
    <w:p>
      <w:pPr>
        <w:ind w:left="61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independent public accountants, we hereby consent to the incorporation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reference in this registration statement of our report dated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17, 1995 on the consolidated financial statements of Garden State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Cablevision, L. P., included in Comcast Corporation's Form 10-K for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December 31, 1995 and to all references to our Firm included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registration statement.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ANDERSEN LLP</w:t>
      </w:r>
    </w:p>
    <w:p>
      <w:pPr>
        <w:spacing w:after="0" w:line="238" w:lineRule="auto"/>
        <w:rPr>
          <w:sz w:val="20"/>
          <w:szCs w:val="20"/>
          <w:color w:val="auto"/>
        </w:rPr>
      </w:pPr>
      <w:r>
        <w:rPr>
          <w:rFonts w:ascii="Courier New" w:cs="Courier New" w:eastAsia="Courier New" w:hAnsi="Courier New"/>
          <w:sz w:val="18"/>
          <w:szCs w:val="18"/>
          <w:color w:val="auto"/>
        </w:rPr>
        <w:t>Philadelphia, Pa.,</w:t>
      </w:r>
    </w:p>
    <w:p>
      <w:pPr>
        <w:ind w:left="220"/>
        <w:spacing w:after="0"/>
        <w:rPr>
          <w:sz w:val="20"/>
          <w:szCs w:val="20"/>
          <w:color w:val="auto"/>
        </w:rPr>
      </w:pPr>
      <w:r>
        <w:rPr>
          <w:rFonts w:ascii="Courier New" w:cs="Courier New" w:eastAsia="Courier New" w:hAnsi="Courier New"/>
          <w:sz w:val="18"/>
          <w:szCs w:val="18"/>
          <w:color w:val="auto"/>
        </w:rPr>
        <w:t>December 20, 1996</w:t>
      </w:r>
    </w:p>
    <w:p>
      <w:pPr>
        <w:sectPr>
          <w:pgSz w:w="11900" w:h="16838" w:orient="portrait"/>
          <w:cols w:equalWidth="0" w:num="1">
            <w:col w:w="10219"/>
          </w:cols>
          <w:pgMar w:left="240" w:top="541" w:right="1440" w:bottom="1440" w:gutter="0" w:footer="0" w:header="0"/>
        </w:sectPr>
      </w:pPr>
    </w:p>
    <w:bookmarkStart w:id="68" w:name="page69"/>
    <w:bookmarkEnd w:id="68"/>
    <w:p>
      <w:pPr>
        <w:ind w:left="6120"/>
        <w:spacing w:after="0"/>
        <w:rPr>
          <w:sz w:val="20"/>
          <w:szCs w:val="20"/>
          <w:color w:val="auto"/>
        </w:rPr>
      </w:pPr>
      <w:r>
        <w:rPr>
          <w:rFonts w:ascii="Courier New" w:cs="Courier New" w:eastAsia="Courier New" w:hAnsi="Courier New"/>
          <w:sz w:val="18"/>
          <w:szCs w:val="18"/>
          <w:color w:val="auto"/>
        </w:rPr>
        <w:t>Exhibit 23.5</w:t>
      </w:r>
    </w:p>
    <w:p>
      <w:pPr>
        <w:ind w:left="61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in this registration statement of our report dated February 17, 1995 on the consolidated financial statements of Comcast International Holdings, Inc. included in Comcast Corporation's Form 10-K for the year ended December 31, 1995 and to all references to our Firm included in this registration statement.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ANDERSEN LLP</w:t>
      </w:r>
    </w:p>
    <w:p>
      <w:pPr>
        <w:spacing w:after="0" w:line="238" w:lineRule="auto"/>
        <w:rPr>
          <w:sz w:val="20"/>
          <w:szCs w:val="20"/>
          <w:color w:val="auto"/>
        </w:rPr>
      </w:pPr>
      <w:r>
        <w:rPr>
          <w:rFonts w:ascii="Courier New" w:cs="Courier New" w:eastAsia="Courier New" w:hAnsi="Courier New"/>
          <w:sz w:val="18"/>
          <w:szCs w:val="18"/>
          <w:color w:val="auto"/>
        </w:rPr>
        <w:t>Philadelphia, Pa.,</w:t>
      </w:r>
    </w:p>
    <w:p>
      <w:pPr>
        <w:ind w:left="220"/>
        <w:spacing w:after="0"/>
        <w:rPr>
          <w:sz w:val="20"/>
          <w:szCs w:val="20"/>
          <w:color w:val="auto"/>
        </w:rPr>
      </w:pPr>
      <w:r>
        <w:rPr>
          <w:rFonts w:ascii="Courier New" w:cs="Courier New" w:eastAsia="Courier New" w:hAnsi="Courier New"/>
          <w:sz w:val="18"/>
          <w:szCs w:val="18"/>
          <w:color w:val="auto"/>
        </w:rPr>
        <w:t>December 20, 1996</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lvl w:ilvl="1">
      <w:lvlJc w:val="left"/>
      <w:lvlText w:val="(%2)"/>
      <w:numFmt w:val="decimal"/>
      <w:start w:val="215"/>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
    <w:nsid w:val="7C83E45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1"/>
    </w:lvl>
  </w:abstractNum>
  <w:abstractNum w:abstractNumId="9">
    <w:nsid w:val="257130A3"/>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0">
    <w:nsid w:val="62BBD95A"/>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1">
    <w:nsid w:val="436C6125"/>
    <w:multiLevelType w:val="hybridMultilevel"/>
    <w:lvl w:ilvl="0">
      <w:lvlJc w:val="left"/>
      <w:lvlText w:val="(%1)"/>
      <w:numFmt w:val="lowerLetter"/>
      <w:start w:val="8"/>
    </w:lvl>
  </w:abstractNum>
  <w:abstractNum w:abstractNumId="12">
    <w:nsid w:val="628C895D"/>
    <w:multiLevelType w:val="hybridMultilevel"/>
    <w:lvl w:ilvl="0">
      <w:lvlJc w:val="left"/>
      <w:lvlText w:val="%1"/>
      <w:numFmt w:val="decimal"/>
      <w:start w:val="10"/>
    </w:lvl>
  </w:abstractNum>
  <w:abstractNum w:abstractNumId="13">
    <w:nsid w:val="333AB105"/>
    <w:multiLevelType w:val="hybridMultilevel"/>
    <w:lvl w:ilvl="0">
      <w:lvlJc w:val="left"/>
      <w:lvlText w:val="%1"/>
      <w:numFmt w:val="decimal"/>
      <w:start w:val="24"/>
    </w:lvl>
  </w:abstractNum>
  <w:abstractNum w:abstractNumId="14">
    <w:nsid w:val="721DA317"/>
    <w:multiLevelType w:val="hybridMultilevel"/>
    <w:lvl w:ilvl="0">
      <w:lvlJc w:val="left"/>
      <w:lvlText w:val="(%1)"/>
      <w:numFmt w:val="lowerLetter"/>
      <w:start w:val="2"/>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2"/>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3"/>
    </w:lvl>
  </w:abstractNum>
  <w:abstractNum w:abstractNumId="19">
    <w:nsid w:val="8EDBDAB"/>
    <w:multiLevelType w:val="hybridMultilevel"/>
    <w:lvl w:ilvl="0">
      <w:lvlJc w:val="left"/>
      <w:lvlText w:val="%1."/>
      <w:numFmt w:val="decimal"/>
      <w:start w:val="3"/>
    </w:lvl>
  </w:abstractNum>
  <w:abstractNum w:abstractNumId="20">
    <w:nsid w:val="79838CB2"/>
    <w:multiLevelType w:val="hybridMultilevel"/>
    <w:lvl w:ilvl="0">
      <w:lvlJc w:val="left"/>
      <w:lvlText w:val="(%1)"/>
      <w:numFmt w:val="lowerRoman"/>
      <w:start w:val="2"/>
    </w:lvl>
  </w:abstractNum>
  <w:abstractNum w:abstractNumId="21">
    <w:nsid w:val="4353D0CD"/>
    <w:multiLevelType w:val="hybridMultilevel"/>
    <w:lvl w:ilvl="0">
      <w:lvlJc w:val="left"/>
      <w:lvlText w:val="%1."/>
      <w:numFmt w:val="decimal"/>
      <w:start w:val="4"/>
    </w:lvl>
  </w:abstractNum>
  <w:abstractNum w:abstractNumId="22">
    <w:nsid w:val="B03E0C6"/>
    <w:multiLevelType w:val="hybridMultilevel"/>
    <w:lvl w:ilvl="0">
      <w:lvlJc w:val="left"/>
      <w:lvlText w:val="%1."/>
      <w:numFmt w:val="decimal"/>
      <w:start w:val="5"/>
    </w:lvl>
  </w:abstractNum>
  <w:abstractNum w:abstractNumId="23">
    <w:nsid w:val="189A769B"/>
    <w:multiLevelType w:val="hybridMultilevel"/>
    <w:lvl w:ilvl="0">
      <w:lvlJc w:val="left"/>
      <w:lvlText w:val="%1."/>
      <w:numFmt w:val="decimal"/>
      <w:start w:val="6"/>
    </w:lvl>
  </w:abstractNum>
  <w:abstractNum w:abstractNumId="24">
    <w:nsid w:val="54E49EB4"/>
    <w:multiLevelType w:val="hybridMultilevel"/>
    <w:lvl w:ilvl="0">
      <w:lvlJc w:val="left"/>
      <w:lvlText w:val="%1."/>
      <w:numFmt w:val="decimal"/>
      <w:start w:val="7"/>
    </w:lvl>
  </w:abstractNum>
  <w:abstractNum w:abstractNumId="25">
    <w:nsid w:val="71F32454"/>
    <w:multiLevelType w:val="hybridMultilevel"/>
    <w:lvl w:ilvl="0">
      <w:lvlJc w:val="left"/>
      <w:lvlText w:val="%1."/>
      <w:numFmt w:val="decimal"/>
      <w:start w:val="8"/>
    </w:lvl>
  </w:abstractNum>
  <w:abstractNum w:abstractNumId="26">
    <w:nsid w:val="2CA88611"/>
    <w:multiLevelType w:val="hybridMultilevel"/>
    <w:lvl w:ilvl="0">
      <w:lvlJc w:val="left"/>
      <w:lvlText w:val="%1."/>
      <w:numFmt w:val="decimal"/>
      <w:start w:val="9"/>
    </w:lvl>
  </w:abstractNum>
  <w:abstractNum w:abstractNumId="27">
    <w:nsid w:val="836C40E"/>
    <w:multiLevelType w:val="hybridMultilevel"/>
    <w:lvl w:ilvl="0">
      <w:lvlJc w:val="left"/>
      <w:lvlText w:val="%1."/>
      <w:numFmt w:val="decimal"/>
      <w:start w:val="10"/>
    </w:lvl>
  </w:abstractNum>
  <w:abstractNum w:abstractNumId="28">
    <w:nsid w:val="2901D82"/>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2019-12-12T23:11:45Z</dcterms:created>
  <dcterms:modified xsi:type="dcterms:W3CDTF">2019-12-12T23:11:45Z</dcterms:modified>
</cp:coreProperties>
</file>