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200300101</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203"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80"/>
        <w:spacing w:after="0" w:line="238" w:lineRule="auto"/>
        <w:rPr>
          <w:sz w:val="20"/>
          <w:szCs w:val="20"/>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6519" w:hanging="417"/>
        <w:spacing w:after="0" w:line="470"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1,940,000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739" w:hanging="427"/>
        <w:spacing w:after="0" w:line="470"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1,940,000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514"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Growth Fund of America,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52-0792143</w:t>
      </w:r>
    </w:p>
    <w:p>
      <w:pPr>
        <w:spacing w:after="0" w:line="202"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80"/>
        <w:spacing w:after="0" w:line="238" w:lineRule="auto"/>
        <w:rPr>
          <w:sz w:val="20"/>
          <w:szCs w:val="20"/>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14" w:lineRule="exact"/>
        <w:rPr>
          <w:sz w:val="20"/>
          <w:szCs w:val="20"/>
          <w:color w:val="auto"/>
        </w:rPr>
      </w:pPr>
    </w:p>
    <w:p>
      <w:pPr>
        <w:ind w:left="1900" w:right="6519" w:hanging="417"/>
        <w:spacing w:after="0" w:line="470" w:lineRule="auto"/>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1,680,000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3359" w:hanging="427"/>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1,680,000</w:t>
      </w:r>
    </w:p>
    <w:p>
      <w:pPr>
        <w:spacing w:after="0" w:line="214" w:lineRule="exact"/>
        <w:rPr>
          <w:sz w:val="20"/>
          <w:szCs w:val="20"/>
          <w:color w:val="auto"/>
        </w:rPr>
      </w:pPr>
    </w:p>
    <w:p>
      <w:pPr>
        <w:ind w:left="540" w:hanging="427"/>
        <w:spacing w:after="0"/>
        <w:tabs>
          <w:tab w:leader="none" w:pos="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5.3%</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1500 Market Street</w:t>
      </w: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2939"/>
        <w:spacing w:after="0" w:line="235" w:lineRule="auto"/>
        <w:rPr>
          <w:sz w:val="20"/>
          <w:szCs w:val="20"/>
          <w:color w:val="auto"/>
        </w:rPr>
      </w:pPr>
      <w:r>
        <w:rPr>
          <w:rFonts w:ascii="Courier New" w:cs="Courier New" w:eastAsia="Courier New" w:hAnsi="Courier New"/>
          <w:sz w:val="18"/>
          <w:szCs w:val="18"/>
          <w:color w:val="auto"/>
        </w:rPr>
        <w:t>Capital Research and Management Company and The Growth Fund of America, Inc.</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200300101</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80" w:right="2739" w:hanging="535"/>
        <w:spacing w:after="0" w:line="235" w:lineRule="auto"/>
        <w:tabs>
          <w:tab w:leader="none" w:pos="138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280" w:right="2839" w:hanging="535"/>
        <w:spacing w:after="0" w:line="235" w:lineRule="auto"/>
        <w:tabs>
          <w:tab w:leader="none" w:pos="149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is deemed to be the beneficial owner of 1,940,000 shares or 6.1% of the 31,771,000 shares of Class A Common Stock believed to be outstanding as a result of acting as investment adviser to various investment companies registered under Section 8 of the Investment Company Act of 1940.</w:t>
      </w:r>
    </w:p>
    <w:p>
      <w:pPr>
        <w:spacing w:after="0" w:line="211" w:lineRule="exact"/>
        <w:rPr>
          <w:sz w:val="20"/>
          <w:szCs w:val="20"/>
          <w:color w:val="auto"/>
        </w:rPr>
      </w:pPr>
    </w:p>
    <w:p>
      <w:pPr>
        <w:ind w:left="740" w:right="2939"/>
        <w:spacing w:after="0" w:line="273" w:lineRule="auto"/>
        <w:rPr>
          <w:sz w:val="20"/>
          <w:szCs w:val="20"/>
          <w:color w:val="auto"/>
        </w:rPr>
      </w:pPr>
      <w:r>
        <w:rPr>
          <w:rFonts w:ascii="Courier New" w:cs="Courier New" w:eastAsia="Courier New" w:hAnsi="Courier New"/>
          <w:sz w:val="16"/>
          <w:szCs w:val="16"/>
          <w:color w:val="auto"/>
        </w:rPr>
        <w:t>The Growth Fund of America, Inc., an investment company registered under the Investment Company Act of 1940, which is advised by Capital Research and Management Company, is the beneficial owner of 1,680,000 shares or 5.3% of the 31,771,000 shares of Class A Common Stock believed to be outstanding.</w:t>
      </w:r>
    </w:p>
    <w:p>
      <w:pPr>
        <w:spacing w:after="0" w:line="1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940" w:val="left"/>
        </w:tabs>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203"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8, 1999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1998)</w:t>
      </w:r>
    </w:p>
    <w:p>
      <w:pPr>
        <w:spacing w:after="0" w:line="200" w:lineRule="exact"/>
        <w:rPr>
          <w:sz w:val="20"/>
          <w:szCs w:val="20"/>
          <w:color w:val="auto"/>
        </w:rPr>
      </w:pPr>
    </w:p>
    <w:p>
      <w:pPr>
        <w:sectPr>
          <w:pgSz w:w="11900" w:h="16838" w:orient="portrait"/>
          <w:cols w:equalWidth="0" w:num="2">
            <w:col w:w="1720" w:space="720"/>
            <w:col w:w="7779"/>
          </w:cols>
          <w:pgMar w:left="240" w:top="925" w:right="1440" w:bottom="1440" w:gutter="0" w:footer="0" w:header="0"/>
          <w:type w:val="continuous"/>
        </w:sect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ind w:left="244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17"/>
                <w:szCs w:val="17"/>
                <w:color w:val="auto"/>
              </w:rPr>
            </w:pPr>
          </w:p>
        </w:tc>
        <w:tc>
          <w:tcPr>
            <w:tcW w:w="194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8"/>
              </w:rPr>
              <w:t>Capital Research</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and Management</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Company</w:t>
            </w:r>
          </w:p>
        </w:tc>
      </w:tr>
      <w:tr>
        <w:trPr>
          <w:trHeight w:val="608"/>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100" w:type="dxa"/>
            <w:vAlign w:val="bottom"/>
          </w:tcPr>
          <w:p>
            <w:pPr>
              <w:ind w:left="220"/>
              <w:spacing w:after="0"/>
              <w:rPr>
                <w:sz w:val="20"/>
                <w:szCs w:val="20"/>
                <w:color w:val="auto"/>
              </w:rPr>
            </w:pPr>
            <w:r>
              <w:rPr>
                <w:rFonts w:ascii="Courier New" w:cs="Courier New" w:eastAsia="Courier New" w:hAnsi="Courier New"/>
                <w:sz w:val="18"/>
                <w:szCs w:val="18"/>
                <w:color w:val="auto"/>
                <w:w w:val="99"/>
              </w:rPr>
              <w:t>February</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8, 1999</w:t>
            </w:r>
          </w:p>
        </w:tc>
        <w:tc>
          <w:tcPr>
            <w:tcW w:w="2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(For the period ended</w:t>
            </w:r>
          </w:p>
        </w:tc>
      </w:tr>
      <w:tr>
        <w:trPr>
          <w:trHeight w:val="203"/>
        </w:trPr>
        <w:tc>
          <w:tcPr>
            <w:tcW w:w="1360" w:type="dxa"/>
            <w:vAlign w:val="bottom"/>
          </w:tcPr>
          <w:p>
            <w:pPr>
              <w:spacing w:after="0"/>
              <w:rPr>
                <w:sz w:val="17"/>
                <w:szCs w:val="17"/>
                <w:color w:val="auto"/>
              </w:rPr>
            </w:pPr>
          </w:p>
        </w:tc>
        <w:tc>
          <w:tcPr>
            <w:tcW w:w="11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December</w:t>
            </w:r>
          </w:p>
        </w:tc>
        <w:tc>
          <w:tcPr>
            <w:tcW w:w="2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31, 1998)</w:t>
            </w:r>
          </w:p>
        </w:tc>
        <w:tc>
          <w:tcPr>
            <w:tcW w:w="1000" w:type="dxa"/>
            <w:vAlign w:val="bottom"/>
          </w:tcPr>
          <w:p>
            <w:pPr>
              <w:spacing w:after="0"/>
              <w:rPr>
                <w:sz w:val="17"/>
                <w:szCs w:val="17"/>
                <w:color w:val="auto"/>
              </w:rPr>
            </w:pPr>
          </w:p>
        </w:tc>
      </w:tr>
      <w:tr>
        <w:trPr>
          <w:trHeight w:val="608"/>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52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*Paul G. Haaga, Jr.</w:t>
            </w:r>
          </w:p>
        </w:tc>
        <w:tc>
          <w:tcPr>
            <w:tcW w:w="1000" w:type="dxa"/>
            <w:vAlign w:val="bottom"/>
          </w:tcPr>
          <w:p>
            <w:pPr>
              <w:spacing w:after="0"/>
              <w:rPr>
                <w:sz w:val="24"/>
                <w:szCs w:val="24"/>
                <w:color w:val="auto"/>
              </w:rPr>
            </w:pP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Name/Title:</w:t>
            </w:r>
          </w:p>
        </w:tc>
        <w:tc>
          <w:tcPr>
            <w:tcW w:w="352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7"/>
              </w:rPr>
              <w:t>Paul G. Haaga, Jr., Senior Vice</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w w:val="94"/>
              </w:rPr>
              <w:t>President</w:t>
            </w:r>
          </w:p>
        </w:tc>
      </w:tr>
    </w:tbl>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Growth Fund of America,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P. Ryan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29, 1999 included as an Exhibit to Schedule 13G filed with the Securities and Exchange Commission by Capital Research and Management Company on February 8, 1999 with respect to ABR Information Services, Inc.</w:t>
      </w:r>
    </w:p>
    <w:p>
      <w:pPr>
        <w:sectPr>
          <w:pgSz w:w="11900" w:h="16838" w:orient="portrait"/>
          <w:cols w:equalWidth="0" w:num="1">
            <w:col w:w="10219"/>
          </w:cols>
          <w:pgMar w:left="240" w:top="925" w:right="1440" w:bottom="1440" w:gutter="0" w:footer="0" w:header="0"/>
          <w:type w:val="continuous"/>
        </w:sectPr>
      </w:pPr>
    </w:p>
    <w:bookmarkStart w:id="8" w:name="page9"/>
    <w:bookmarkEnd w:id="8"/>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center"/>
        <w:ind w:right="273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Los Angeles, CA</w:t>
      </w:r>
    </w:p>
    <w:p>
      <w:pPr>
        <w:ind w:left="2960"/>
        <w:spacing w:after="0" w:line="238" w:lineRule="auto"/>
        <w:rPr>
          <w:sz w:val="20"/>
          <w:szCs w:val="20"/>
          <w:color w:val="auto"/>
        </w:rPr>
      </w:pPr>
      <w:r>
        <w:rPr>
          <w:rFonts w:ascii="Courier New" w:cs="Courier New" w:eastAsia="Courier New" w:hAnsi="Courier New"/>
          <w:sz w:val="18"/>
          <w:szCs w:val="18"/>
          <w:color w:val="auto"/>
        </w:rPr>
        <w:t>February 8, 1999</w:t>
      </w:r>
    </w:p>
    <w:p>
      <w:pPr>
        <w:spacing w:after="0" w:line="207" w:lineRule="exact"/>
        <w:rPr>
          <w:sz w:val="20"/>
          <w:szCs w:val="20"/>
          <w:color w:val="auto"/>
        </w:rPr>
      </w:pPr>
    </w:p>
    <w:p>
      <w:pPr>
        <w:ind w:right="2839" w:firstLine="211"/>
        <w:spacing w:after="0" w:line="237" w:lineRule="auto"/>
        <w:rPr>
          <w:sz w:val="20"/>
          <w:szCs w:val="20"/>
          <w:color w:val="auto"/>
        </w:rPr>
      </w:pPr>
      <w:r>
        <w:rPr>
          <w:rFonts w:ascii="Courier New" w:cs="Courier New" w:eastAsia="Courier New" w:hAnsi="Courier New"/>
          <w:sz w:val="18"/>
          <w:szCs w:val="18"/>
          <w:color w:val="auto"/>
        </w:rPr>
        <w:t>Capital Research and Management Company ("CRMC") and The Growth Fund of America, Inc. ("GFA") hereby agree to file a joint statement on Schedule 13G under the Securities Exchange Act of 1934 (the "Act") in connection with their beneficial ownership of Class A Common Stock issued by Comcast Corporation.</w:t>
      </w:r>
    </w:p>
    <w:p>
      <w:pPr>
        <w:spacing w:after="0" w:line="209" w:lineRule="exact"/>
        <w:rPr>
          <w:sz w:val="20"/>
          <w:szCs w:val="20"/>
          <w:color w:val="auto"/>
        </w:rPr>
      </w:pPr>
    </w:p>
    <w:p>
      <w:pPr>
        <w:ind w:right="3039" w:firstLine="211"/>
        <w:spacing w:after="0" w:line="235" w:lineRule="auto"/>
        <w:rPr>
          <w:sz w:val="20"/>
          <w:szCs w:val="20"/>
          <w:color w:val="auto"/>
        </w:rPr>
      </w:pPr>
      <w:r>
        <w:rPr>
          <w:rFonts w:ascii="Courier New" w:cs="Courier New" w:eastAsia="Courier New" w:hAnsi="Courier New"/>
          <w:sz w:val="18"/>
          <w:szCs w:val="18"/>
          <w:color w:val="auto"/>
        </w:rPr>
        <w:t>CRMC and GFA state that they are each entitled to individually use Schedule 13G pursuant to Rule 13d-1(c) of the Act.</w:t>
      </w:r>
    </w:p>
    <w:p>
      <w:pPr>
        <w:spacing w:after="0" w:line="208"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CRMC and GFA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Paul G. Haaga, Jr., Executive</w:t>
      </w:r>
    </w:p>
    <w:p>
      <w:pPr>
        <w:ind w:left="3700"/>
        <w:spacing w:after="0" w:line="238" w:lineRule="auto"/>
        <w:rPr>
          <w:sz w:val="20"/>
          <w:szCs w:val="20"/>
          <w:color w:val="auto"/>
        </w:rPr>
      </w:pPr>
      <w:r>
        <w:rPr>
          <w:rFonts w:ascii="Courier New" w:cs="Courier New" w:eastAsia="Courier New" w:hAnsi="Courier New"/>
          <w:sz w:val="18"/>
          <w:szCs w:val="18"/>
          <w:color w:val="auto"/>
        </w:rPr>
        <w:t>Vice President</w:t>
      </w:r>
    </w:p>
    <w:p>
      <w:pPr>
        <w:ind w:left="3700"/>
        <w:spacing w:after="0"/>
        <w:rPr>
          <w:sz w:val="20"/>
          <w:szCs w:val="20"/>
          <w:color w:val="auto"/>
        </w:rPr>
      </w:pPr>
      <w:r>
        <w:rPr>
          <w:rFonts w:ascii="Courier New" w:cs="Courier New" w:eastAsia="Courier New" w:hAnsi="Courier New"/>
          <w:sz w:val="18"/>
          <w:szCs w:val="18"/>
          <w:color w:val="auto"/>
        </w:rPr>
        <w:t>Capital Research and Management</w:t>
      </w:r>
    </w:p>
    <w:p>
      <w:pPr>
        <w:ind w:left="3700"/>
        <w:spacing w:after="0" w:line="237" w:lineRule="auto"/>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THE GROWTH FUND OF AMERICA,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Paul G. Haaga, Jr., Senior Vice</w:t>
      </w:r>
    </w:p>
    <w:p>
      <w:pPr>
        <w:ind w:left="3700"/>
        <w:spacing w:after="0" w:line="238" w:lineRule="auto"/>
        <w:rPr>
          <w:sz w:val="20"/>
          <w:szCs w:val="20"/>
          <w:color w:val="auto"/>
        </w:rPr>
      </w:pPr>
      <w:r>
        <w:rPr>
          <w:rFonts w:ascii="Courier New" w:cs="Courier New" w:eastAsia="Courier New" w:hAnsi="Courier New"/>
          <w:sz w:val="18"/>
          <w:szCs w:val="18"/>
          <w:color w:val="auto"/>
        </w:rPr>
        <w:t>President</w:t>
      </w:r>
    </w:p>
    <w:p>
      <w:pPr>
        <w:ind w:left="3700"/>
        <w:spacing w:after="0"/>
        <w:rPr>
          <w:sz w:val="20"/>
          <w:szCs w:val="20"/>
          <w:color w:val="auto"/>
        </w:rPr>
      </w:pPr>
      <w:r>
        <w:rPr>
          <w:rFonts w:ascii="Courier New" w:cs="Courier New" w:eastAsia="Courier New" w:hAnsi="Courier New"/>
          <w:sz w:val="18"/>
          <w:szCs w:val="18"/>
          <w:color w:val="auto"/>
        </w:rPr>
        <w:t>The Growth Fund of America,</w:t>
      </w:r>
    </w:p>
    <w:p>
      <w:pPr>
        <w:ind w:left="3700"/>
        <w:spacing w:after="0" w:line="237" w:lineRule="auto"/>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James P. Ryan</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4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January 29, 1999 included as an Exhibit to Schedule 13G filed with the Securities and Exchange Commission by Capital Research and Management Company on February 8, 1999 with respect to ABR Information Services, Inc.</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4"/>
      <w:numFmt w:val="bullet"/>
      <w:start w:val="1"/>
    </w:lvl>
  </w:abstractNum>
  <w:abstractNum w:abstractNumId="3">
    <w:nsid w:val="12200854"/>
    <w:multiLevelType w:val="hybridMultilevel"/>
    <w:lvl w:ilvl="0">
      <w:lvlJc w:val="left"/>
      <w:lvlText w:val="5"/>
      <w:numFmt w:val="bullet"/>
      <w:start w:val="1"/>
    </w:lvl>
  </w:abstractNum>
  <w:abstractNum w:abstractNumId="4">
    <w:nsid w:val="4DB127F8"/>
    <w:multiLevelType w:val="hybridMultilevel"/>
    <w:lvl w:ilvl="0">
      <w:lvlJc w:val="left"/>
      <w:lvlText w:val="8"/>
      <w:numFmt w:val="bullet"/>
      <w:start w:val="1"/>
    </w:lvl>
  </w:abstractNum>
  <w:abstractNum w:abstractNumId="5">
    <w:nsid w:val="216231B"/>
    <w:multiLevelType w:val="hybridMultilevel"/>
    <w:lvl w:ilvl="0">
      <w:lvlJc w:val="left"/>
      <w:lvlText w:val="9"/>
      <w:numFmt w:val="bullet"/>
      <w:start w:val="1"/>
    </w:lvl>
  </w:abstractNum>
  <w:abstractNum w:abstractNumId="6">
    <w:nsid w:val="1F16E9E8"/>
    <w:multiLevelType w:val="hybridMultilevel"/>
    <w:lvl w:ilvl="0">
      <w:lvlJc w:val="left"/>
      <w:lvlText w:val="%1"/>
      <w:numFmt w:val="decimal"/>
      <w:start w:val="10"/>
    </w:lvl>
  </w:abstractNum>
  <w:abstractNum w:abstractNumId="7">
    <w:nsid w:val="1190CDE7"/>
    <w:multiLevelType w:val="hybridMultilevel"/>
    <w:lvl w:ilvl="0">
      <w:lvlJc w:val="left"/>
      <w:lvlText w:val="1"/>
      <w:numFmt w:val="bullet"/>
      <w:start w:val="1"/>
    </w:lvl>
  </w:abstractNum>
  <w:abstractNum w:abstractNumId="8">
    <w:nsid w:val="66EF438D"/>
    <w:multiLevelType w:val="hybridMultilevel"/>
    <w:lvl w:ilvl="0">
      <w:lvlJc w:val="left"/>
      <w:lvlText w:val="3"/>
      <w:numFmt w:val="bullet"/>
      <w:start w:val="1"/>
    </w:lvl>
  </w:abstractNum>
  <w:abstractNum w:abstractNumId="9">
    <w:nsid w:val="140E0F76"/>
    <w:multiLevelType w:val="hybridMultilevel"/>
    <w:lvl w:ilvl="0">
      <w:lvlJc w:val="left"/>
      <w:lvlText w:val="4"/>
      <w:numFmt w:val="bullet"/>
      <w:start w:val="1"/>
    </w:lvl>
  </w:abstractNum>
  <w:abstractNum w:abstractNumId="10">
    <w:nsid w:val="3352255A"/>
    <w:multiLevelType w:val="hybridMultilevel"/>
    <w:lvl w:ilvl="0">
      <w:lvlJc w:val="left"/>
      <w:lvlText w:val="5"/>
      <w:numFmt w:val="bullet"/>
      <w:start w:val="1"/>
    </w:lvl>
  </w:abstractNum>
  <w:abstractNum w:abstractNumId="11">
    <w:nsid w:val="109CF92E"/>
    <w:multiLevelType w:val="hybridMultilevel"/>
    <w:lvl w:ilvl="0">
      <w:lvlJc w:val="left"/>
      <w:lvlText w:val="8"/>
      <w:numFmt w:val="bullet"/>
      <w:start w:val="1"/>
    </w:lvl>
  </w:abstractNum>
  <w:abstractNum w:abstractNumId="12">
    <w:nsid w:val="DED7263"/>
    <w:multiLevelType w:val="hybridMultilevel"/>
    <w:lvl w:ilvl="0">
      <w:lvlJc w:val="left"/>
      <w:lvlText w:val="9"/>
      <w:numFmt w:val="bullet"/>
      <w:start w:val="1"/>
    </w:lvl>
  </w:abstractNum>
  <w:abstractNum w:abstractNumId="13">
    <w:nsid w:val="7FDCC233"/>
    <w:multiLevelType w:val="hybridMultilevel"/>
    <w:lvl w:ilvl="0">
      <w:lvlJc w:val="left"/>
      <w:lvlText w:val="%1"/>
      <w:numFmt w:val="decimal"/>
      <w:start w:val="10"/>
    </w:lvl>
  </w:abstractNum>
  <w:abstractNum w:abstractNumId="14">
    <w:nsid w:val="1BEFD79F"/>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2019-12-12T23:02:03Z</dcterms:created>
  <dcterms:modified xsi:type="dcterms:W3CDTF">2019-12-12T23:02:03Z</dcterms:modified>
</cp:coreProperties>
</file>