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3660" w:type="dxa"/>
            <w:vAlign w:val="bottom"/>
            <w:gridSpan w:val="3"/>
          </w:tcPr>
          <w:p>
            <w:pPr>
              <w:ind w:left="360"/>
              <w:spacing w:after="0"/>
              <w:rPr>
                <w:sz w:val="20"/>
                <w:szCs w:val="20"/>
                <w:color w:val="auto"/>
              </w:rPr>
            </w:pPr>
            <w:r>
              <w:rPr>
                <w:rFonts w:ascii="Arial" w:cs="Arial" w:eastAsia="Arial" w:hAnsi="Arial"/>
                <w:sz w:val="18"/>
                <w:szCs w:val="18"/>
                <w:b w:val="1"/>
                <w:bCs w:val="1"/>
                <w:color w:val="auto"/>
              </w:rPr>
              <w:t>Filed Pursuant to Rule 424(b)(2)</w:t>
            </w:r>
          </w:p>
        </w:tc>
      </w:tr>
      <w:tr>
        <w:trPr>
          <w:trHeight w:val="228"/>
        </w:trPr>
        <w:tc>
          <w:tcPr>
            <w:tcW w:w="2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3660" w:type="dxa"/>
            <w:vAlign w:val="bottom"/>
            <w:gridSpan w:val="3"/>
          </w:tcPr>
          <w:p>
            <w:pPr>
              <w:ind w:left="360"/>
              <w:spacing w:after="0"/>
              <w:rPr>
                <w:sz w:val="20"/>
                <w:szCs w:val="20"/>
                <w:color w:val="auto"/>
              </w:rPr>
            </w:pPr>
            <w:r>
              <w:rPr>
                <w:rFonts w:ascii="Arial" w:cs="Arial" w:eastAsia="Arial" w:hAnsi="Arial"/>
                <w:sz w:val="18"/>
                <w:szCs w:val="18"/>
                <w:b w:val="1"/>
                <w:bCs w:val="1"/>
                <w:color w:val="auto"/>
              </w:rPr>
              <w:t>Registration No. 333-184145</w:t>
            </w:r>
          </w:p>
        </w:tc>
      </w:tr>
      <w:tr>
        <w:trPr>
          <w:trHeight w:val="756"/>
        </w:trPr>
        <w:tc>
          <w:tcPr>
            <w:tcW w:w="20" w:type="dxa"/>
            <w:vAlign w:val="bottom"/>
          </w:tcPr>
          <w:p>
            <w:pPr>
              <w:spacing w:after="0"/>
              <w:rPr>
                <w:sz w:val="24"/>
                <w:szCs w:val="24"/>
                <w:color w:val="auto"/>
              </w:rPr>
            </w:pPr>
          </w:p>
        </w:tc>
        <w:tc>
          <w:tcPr>
            <w:tcW w:w="7740" w:type="dxa"/>
            <w:vAlign w:val="bottom"/>
          </w:tcPr>
          <w:p>
            <w:pPr>
              <w:ind w:left="4000"/>
              <w:spacing w:after="0"/>
              <w:rPr>
                <w:sz w:val="20"/>
                <w:szCs w:val="20"/>
                <w:color w:val="auto"/>
              </w:rPr>
            </w:pPr>
            <w:r>
              <w:rPr>
                <w:rFonts w:ascii="Arial" w:cs="Arial" w:eastAsia="Arial" w:hAnsi="Arial"/>
                <w:sz w:val="18"/>
                <w:szCs w:val="18"/>
                <w:b w:val="1"/>
                <w:bCs w:val="1"/>
                <w:color w:val="auto"/>
              </w:rPr>
              <w:t>CALCULATION OF REGISTRATION FEE</w:t>
            </w: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77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774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7"/>
              </w:rPr>
              <w:t>Proposed</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92"/>
              </w:rPr>
              <w:t>Maximum</w:t>
            </w:r>
          </w:p>
        </w:tc>
        <w:tc>
          <w:tcPr>
            <w:tcW w:w="15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740" w:type="dxa"/>
            <w:vAlign w:val="bottom"/>
          </w:tcPr>
          <w:p>
            <w:pPr>
              <w:jc w:val="center"/>
              <w:ind w:left="382"/>
              <w:spacing w:after="0" w:line="149" w:lineRule="exact"/>
              <w:rPr>
                <w:sz w:val="20"/>
                <w:szCs w:val="20"/>
                <w:color w:val="auto"/>
              </w:rPr>
            </w:pPr>
            <w:r>
              <w:rPr>
                <w:rFonts w:ascii="Arial" w:cs="Arial" w:eastAsia="Arial" w:hAnsi="Arial"/>
                <w:sz w:val="14"/>
                <w:szCs w:val="14"/>
                <w:b w:val="1"/>
                <w:bCs w:val="1"/>
                <w:color w:val="auto"/>
                <w:w w:val="85"/>
              </w:rPr>
              <w:t>Title of each Class of</w:t>
            </w:r>
          </w:p>
        </w:tc>
        <w:tc>
          <w:tcPr>
            <w:tcW w:w="5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20"/>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7740" w:type="dxa"/>
            <w:vAlign w:val="bottom"/>
            <w:tcBorders>
              <w:bottom w:val="single" w:sz="8" w:color="auto"/>
            </w:tcBorders>
          </w:tcPr>
          <w:p>
            <w:pPr>
              <w:jc w:val="center"/>
              <w:ind w:left="382"/>
              <w:spacing w:after="0"/>
              <w:rPr>
                <w:sz w:val="20"/>
                <w:szCs w:val="20"/>
                <w:color w:val="auto"/>
              </w:rPr>
            </w:pPr>
            <w:r>
              <w:rPr>
                <w:rFonts w:ascii="Arial" w:cs="Arial" w:eastAsia="Arial" w:hAnsi="Arial"/>
                <w:sz w:val="14"/>
                <w:szCs w:val="14"/>
                <w:b w:val="1"/>
                <w:bCs w:val="1"/>
                <w:color w:val="auto"/>
                <w:w w:val="84"/>
              </w:rPr>
              <w:t>Securities to be Registered</w:t>
            </w:r>
          </w:p>
        </w:tc>
        <w:tc>
          <w:tcPr>
            <w:tcW w:w="50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4"/>
                <w:szCs w:val="14"/>
                <w:b w:val="1"/>
                <w:bCs w:val="1"/>
                <w:color w:val="auto"/>
                <w:w w:val="90"/>
              </w:rPr>
              <w:t>Offering Price</w:t>
            </w:r>
          </w:p>
        </w:tc>
        <w:tc>
          <w:tcPr>
            <w:tcW w:w="1560" w:type="dxa"/>
            <w:vAlign w:val="bottom"/>
            <w:tcBorders>
              <w:bottom w:val="single" w:sz="8" w:color="auto"/>
            </w:tcBorders>
          </w:tcPr>
          <w:p>
            <w:pPr>
              <w:jc w:val="center"/>
              <w:ind w:left="20"/>
              <w:spacing w:after="0"/>
              <w:rPr>
                <w:sz w:val="20"/>
                <w:szCs w:val="20"/>
                <w:color w:val="auto"/>
              </w:rPr>
            </w:pPr>
            <w:r>
              <w:rPr>
                <w:rFonts w:ascii="Arial" w:cs="Arial" w:eastAsia="Arial" w:hAnsi="Arial"/>
                <w:sz w:val="14"/>
                <w:szCs w:val="14"/>
                <w:b w:val="1"/>
                <w:bCs w:val="1"/>
                <w:color w:val="auto"/>
                <w:w w:val="86"/>
              </w:rPr>
              <w:t>Registration Fee(1)</w:t>
            </w:r>
          </w:p>
        </w:tc>
      </w:tr>
      <w:tr>
        <w:trPr>
          <w:trHeight w:val="210"/>
        </w:trPr>
        <w:tc>
          <w:tcPr>
            <w:tcW w:w="20" w:type="dxa"/>
            <w:vAlign w:val="bottom"/>
            <w:tcBorders>
              <w:bottom w:val="single" w:sz="8" w:color="auto"/>
            </w:tcBorders>
          </w:tcPr>
          <w:p>
            <w:pPr>
              <w:spacing w:after="0"/>
              <w:rPr>
                <w:sz w:val="18"/>
                <w:szCs w:val="18"/>
                <w:color w:val="auto"/>
              </w:rPr>
            </w:pPr>
          </w:p>
        </w:tc>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2.875% Notes due 2023</w:t>
            </w:r>
          </w:p>
        </w:tc>
        <w:tc>
          <w:tcPr>
            <w:tcW w:w="5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$1,000,000,000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$114,600</w:t>
            </w:r>
          </w:p>
        </w:tc>
      </w:tr>
      <w:tr>
        <w:trPr>
          <w:trHeight w:val="210"/>
        </w:trPr>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4.450% Notes due 2043</w:t>
            </w:r>
          </w:p>
        </w:tc>
        <w:tc>
          <w:tcPr>
            <w:tcW w:w="5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$1,000,000,000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$114,600</w:t>
            </w:r>
          </w:p>
        </w:tc>
      </w:tr>
      <w:tr>
        <w:trPr>
          <w:trHeight w:val="210"/>
        </w:trPr>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$2,000,000,000</w:t>
            </w:r>
          </w:p>
        </w:tc>
        <w:tc>
          <w:tcPr>
            <w:tcW w:w="1560" w:type="dxa"/>
            <w:vAlign w:val="bottom"/>
            <w:tcBorders>
              <w:bottom w:val="single" w:sz="8" w:color="auto"/>
            </w:tcBorders>
          </w:tcPr>
          <w:p>
            <w:pPr>
              <w:jc w:val="center"/>
              <w:ind w:left="20"/>
              <w:spacing w:after="0"/>
              <w:rPr>
                <w:sz w:val="20"/>
                <w:szCs w:val="20"/>
                <w:color w:val="auto"/>
              </w:rPr>
            </w:pPr>
            <w:r>
              <w:rPr>
                <w:rFonts w:ascii="Arial" w:cs="Arial" w:eastAsia="Arial" w:hAnsi="Arial"/>
                <w:sz w:val="18"/>
                <w:szCs w:val="18"/>
                <w:color w:val="auto"/>
                <w:w w:val="87"/>
              </w:rPr>
              <w:t>$229,200</w:t>
            </w:r>
          </w:p>
        </w:tc>
      </w:tr>
      <w:tr>
        <w:trPr>
          <w:trHeight w:val="20"/>
        </w:trPr>
        <w:tc>
          <w:tcPr>
            <w:tcW w:w="20" w:type="dxa"/>
            <w:vAlign w:val="bottom"/>
          </w:tcPr>
          <w:p>
            <w:pPr>
              <w:spacing w:after="0" w:line="20" w:lineRule="exact"/>
              <w:rPr>
                <w:sz w:val="1"/>
                <w:szCs w:val="1"/>
                <w:color w:val="auto"/>
              </w:rPr>
            </w:pPr>
          </w:p>
        </w:tc>
        <w:tc>
          <w:tcPr>
            <w:tcW w:w="7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8"/>
        </w:trPr>
        <w:tc>
          <w:tcPr>
            <w:tcW w:w="7760" w:type="dxa"/>
            <w:vAlign w:val="bottom"/>
            <w:gridSpan w:val="2"/>
          </w:tcPr>
          <w:p>
            <w:pPr>
              <w:spacing w:after="0"/>
              <w:rPr>
                <w:sz w:val="20"/>
                <w:szCs w:val="20"/>
                <w:color w:val="auto"/>
              </w:rPr>
            </w:pPr>
            <w:r>
              <w:rPr>
                <w:rFonts w:ascii="Arial" w:cs="Arial" w:eastAsia="Arial" w:hAnsi="Arial"/>
                <w:sz w:val="18"/>
                <w:szCs w:val="18"/>
                <w:color w:val="auto"/>
              </w:rPr>
              <w:t>(1)   Calculated in accordance with Rule 457(r) of the Securities Act of 1933, as amended.</w:t>
            </w: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September 28,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340"/>
        <w:spacing w:after="0"/>
        <w:rPr>
          <w:sz w:val="20"/>
          <w:szCs w:val="20"/>
          <w:color w:val="auto"/>
        </w:rPr>
      </w:pPr>
      <w:r>
        <w:rPr>
          <w:rFonts w:ascii="Arial" w:cs="Arial" w:eastAsia="Arial" w:hAnsi="Arial"/>
          <w:sz w:val="24"/>
          <w:szCs w:val="24"/>
          <w:b w:val="1"/>
          <w:bCs w:val="1"/>
          <w:color w:val="auto"/>
        </w:rPr>
        <w:t>$1,000,000,000 2.875% Senior Notes due 2023</w:t>
      </w:r>
    </w:p>
    <w:p>
      <w:pPr>
        <w:spacing w:after="0" w:line="36" w:lineRule="exact"/>
        <w:rPr>
          <w:sz w:val="20"/>
          <w:szCs w:val="20"/>
          <w:color w:val="auto"/>
        </w:rPr>
      </w:pPr>
    </w:p>
    <w:p>
      <w:pPr>
        <w:ind w:left="3340"/>
        <w:spacing w:after="0"/>
        <w:rPr>
          <w:sz w:val="20"/>
          <w:szCs w:val="20"/>
          <w:color w:val="auto"/>
        </w:rPr>
      </w:pPr>
      <w:r>
        <w:rPr>
          <w:rFonts w:ascii="Arial" w:cs="Arial" w:eastAsia="Arial" w:hAnsi="Arial"/>
          <w:sz w:val="24"/>
          <w:szCs w:val="24"/>
          <w:b w:val="1"/>
          <w:bCs w:val="1"/>
          <w:color w:val="auto"/>
        </w:rPr>
        <w:t>$1,000,000,000 4.450% Senior Notes due 2043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116840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Senior Notes due 2023 will bear interest at a rate of 2.875% per year and will mature on January 15, 2023, and the Senior Notes due 2043 will bear interest at a rate of 4.450% per year and will mature on January 15, 2043. We will pay interest on the Senior Notes due 2023 on January 15 and July 15 of each year, beginning January 15, 2013. We will pay interest on the Senior Notes due 2043 on January 15 and July 15 of each year, beginning January 15, 2013. We may redeem the notes at any time by paying the greater of the principal amount of such notes or a “make-whole” amount, plus, in each case, accrued and unpaid interest. See “Description of the Notes—Optional Redemption.” Initial sales of the notes will be made only to institutional investors.</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notes will be our unsecured senior obligations and will rank equally with all of our other existing and future unsecured senior indebtedness. The notes will be issued in minimum denominations of $2,000 and integral multiples of $1,000 in excess thereof. The notes are not and will not be listed on any securities exchange or quoted on any automated quotation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6" w:lineRule="exact"/>
        <w:rPr>
          <w:sz w:val="20"/>
          <w:szCs w:val="20"/>
          <w:color w:val="auto"/>
        </w:rPr>
      </w:pPr>
    </w:p>
    <w:p>
      <w:pPr>
        <w:ind w:right="20" w:firstLine="456"/>
        <w:spacing w:after="0" w:line="256" w:lineRule="auto"/>
        <w:rPr>
          <w:sz w:val="20"/>
          <w:szCs w:val="20"/>
          <w:color w:val="auto"/>
        </w:rPr>
      </w:pPr>
      <w:r>
        <w:rPr>
          <w:rFonts w:ascii="Arial" w:cs="Arial" w:eastAsia="Arial" w:hAnsi="Arial"/>
          <w:sz w:val="22"/>
          <w:szCs w:val="22"/>
          <w:b w:val="1"/>
          <w:bCs w:val="1"/>
          <w:color w:val="auto"/>
        </w:rPr>
        <w:t>Investing in the notes involves risks that are described in the “Risk Factors” section of our Annual Report on Form 10-K for the year ended December 31, 2011.</w:t>
      </w:r>
    </w:p>
    <w:p>
      <w:pPr>
        <w:spacing w:after="0" w:line="15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5"/>
              </w:rPr>
              <w:t>Initial Price to</w:t>
            </w:r>
          </w:p>
        </w:tc>
        <w:tc>
          <w:tcPr>
            <w:tcW w:w="16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8"/>
              </w:rPr>
              <w:t>Underwriters’</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w w:val="89"/>
              </w:rPr>
              <w:t>Proceeds to Us Before</w:t>
            </w:r>
          </w:p>
        </w:tc>
      </w:tr>
      <w:tr>
        <w:trPr>
          <w:trHeight w:val="161"/>
        </w:trPr>
        <w:tc>
          <w:tcPr>
            <w:tcW w:w="336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Investors</w:t>
            </w:r>
          </w:p>
        </w:tc>
        <w:tc>
          <w:tcPr>
            <w:tcW w:w="7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Discount</w:t>
            </w:r>
          </w:p>
        </w:tc>
        <w:tc>
          <w:tcPr>
            <w:tcW w:w="7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Expenses</w:t>
            </w:r>
          </w:p>
        </w:tc>
        <w:tc>
          <w:tcPr>
            <w:tcW w:w="100" w:type="dxa"/>
            <w:vAlign w:val="bottom"/>
            <w:tcBorders>
              <w:bottom w:val="single" w:sz="8" w:color="CCEEFF"/>
            </w:tcBorders>
          </w:tcPr>
          <w:p>
            <w:pPr>
              <w:spacing w:after="0"/>
              <w:rPr>
                <w:sz w:val="14"/>
                <w:szCs w:val="14"/>
                <w:color w:val="auto"/>
              </w:rPr>
            </w:pPr>
          </w:p>
        </w:tc>
      </w:tr>
      <w:tr>
        <w:trPr>
          <w:trHeight w:val="210"/>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senior note due 2023</w:t>
            </w:r>
            <w:r>
              <w:rPr>
                <w:rFonts w:ascii="Arial" w:cs="Arial" w:eastAsia="Arial" w:hAnsi="Arial"/>
                <w:sz w:val="11"/>
                <w:szCs w:val="11"/>
                <w:color w:val="auto"/>
              </w:rPr>
              <w:t>(1)</w:t>
            </w:r>
          </w:p>
        </w:tc>
        <w:tc>
          <w:tcPr>
            <w:tcW w:w="14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99.817%</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0.450%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993.67</w:t>
            </w:r>
          </w:p>
        </w:tc>
        <w:tc>
          <w:tcPr>
            <w:tcW w:w="10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Total</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$998,170,000</w:t>
            </w:r>
          </w:p>
        </w:tc>
        <w:tc>
          <w:tcPr>
            <w:tcW w:w="7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$ 4,500,000</w:t>
            </w:r>
          </w:p>
        </w:tc>
        <w:tc>
          <w:tcPr>
            <w:tcW w:w="7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993,670,000</w:t>
            </w:r>
          </w:p>
        </w:tc>
        <w:tc>
          <w:tcPr>
            <w:tcW w:w="10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Per senior note due 2043</w:t>
            </w:r>
            <w:r>
              <w:rPr>
                <w:rFonts w:ascii="Arial" w:cs="Arial" w:eastAsia="Arial" w:hAnsi="Arial"/>
                <w:sz w:val="11"/>
                <w:szCs w:val="11"/>
                <w:color w:val="auto"/>
              </w:rPr>
              <w:t>(1)</w:t>
            </w:r>
          </w:p>
        </w:tc>
        <w:tc>
          <w:tcPr>
            <w:tcW w:w="32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99.659%</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0.875%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987.84</w:t>
            </w:r>
          </w:p>
        </w:tc>
        <w:tc>
          <w:tcPr>
            <w:tcW w:w="100" w:type="dxa"/>
            <w:vAlign w:val="bottom"/>
            <w:shd w:val="clear" w:color="auto" w:fill="CCEEFF"/>
          </w:tcPr>
          <w:p>
            <w:pPr>
              <w:spacing w:after="0"/>
              <w:rPr>
                <w:sz w:val="18"/>
                <w:szCs w:val="18"/>
                <w:color w:val="auto"/>
              </w:rPr>
            </w:pP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Total</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$996,590,000</w:t>
            </w:r>
          </w:p>
        </w:tc>
        <w:tc>
          <w:tcPr>
            <w:tcW w:w="7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$ 8,750,000</w:t>
            </w:r>
          </w:p>
        </w:tc>
        <w:tc>
          <w:tcPr>
            <w:tcW w:w="78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987,840,000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if any, from October 5, 2012, if settlement occurs after that date.</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notes will be ready for delivery only through The Depository Trust Company and its participants, including Euroclear and Clearstream, in book-entry form on or about October 5, 2012.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320" w:type="dxa"/>
            <w:vAlign w:val="bottom"/>
            <w:gridSpan w:val="2"/>
          </w:tcPr>
          <w:p>
            <w:pPr>
              <w:jc w:val="center"/>
              <w:ind w:right="920"/>
              <w:spacing w:after="0"/>
              <w:rPr>
                <w:sz w:val="20"/>
                <w:szCs w:val="20"/>
                <w:color w:val="auto"/>
              </w:rPr>
            </w:pPr>
            <w:r>
              <w:rPr>
                <w:rFonts w:ascii="Arial" w:cs="Arial" w:eastAsia="Arial" w:hAnsi="Arial"/>
                <w:sz w:val="18"/>
                <w:szCs w:val="18"/>
                <w:i w:val="1"/>
                <w:iCs w:val="1"/>
                <w:color w:val="auto"/>
                <w:w w:val="89"/>
              </w:rPr>
              <w:t>Joint Book-Running Managers</w:t>
            </w:r>
          </w:p>
        </w:tc>
        <w:tc>
          <w:tcPr>
            <w:tcW w:w="3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vMerge w:val="continue"/>
          </w:tcPr>
          <w:p>
            <w:pPr>
              <w:spacing w:after="0"/>
              <w:rPr>
                <w:sz w:val="24"/>
                <w:szCs w:val="24"/>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24"/>
                <w:szCs w:val="24"/>
                <w:b w:val="1"/>
                <w:bCs w:val="1"/>
                <w:color w:val="auto"/>
              </w:rPr>
              <w:t>Credit Suisse</w:t>
            </w:r>
          </w:p>
        </w:tc>
        <w:tc>
          <w:tcPr>
            <w:tcW w:w="1460" w:type="dxa"/>
            <w:vAlign w:val="bottom"/>
            <w:shd w:val="clear" w:color="auto" w:fill="CCEEFF"/>
          </w:tcPr>
          <w:p>
            <w:pPr>
              <w:ind w:left="100"/>
              <w:spacing w:after="0"/>
              <w:rPr>
                <w:sz w:val="20"/>
                <w:szCs w:val="20"/>
                <w:color w:val="auto"/>
              </w:rPr>
            </w:pPr>
            <w:r>
              <w:rPr>
                <w:rFonts w:ascii="Arial" w:cs="Arial" w:eastAsia="Arial" w:hAnsi="Arial"/>
                <w:sz w:val="24"/>
                <w:szCs w:val="24"/>
                <w:b w:val="1"/>
                <w:bCs w:val="1"/>
                <w:color w:val="auto"/>
                <w:w w:val="98"/>
              </w:rPr>
              <w:t>J.P. Morgan</w:t>
            </w:r>
          </w:p>
        </w:tc>
        <w:tc>
          <w:tcPr>
            <w:tcW w:w="440" w:type="dxa"/>
            <w:vAlign w:val="bottom"/>
            <w:shd w:val="clear" w:color="auto" w:fill="CCEEFF"/>
          </w:tcPr>
          <w:p>
            <w:pPr>
              <w:spacing w:after="0"/>
              <w:rPr>
                <w:sz w:val="24"/>
                <w:szCs w:val="24"/>
                <w:color w:val="auto"/>
              </w:rPr>
            </w:pPr>
          </w:p>
        </w:tc>
        <w:tc>
          <w:tcPr>
            <w:tcW w:w="3320" w:type="dxa"/>
            <w:vAlign w:val="bottom"/>
            <w:gridSpan w:val="2"/>
            <w:shd w:val="clear" w:color="auto" w:fill="CCEEFF"/>
          </w:tcPr>
          <w:p>
            <w:pPr>
              <w:ind w:left="760"/>
              <w:spacing w:after="0"/>
              <w:rPr>
                <w:sz w:val="20"/>
                <w:szCs w:val="20"/>
                <w:color w:val="auto"/>
              </w:rPr>
            </w:pPr>
            <w:r>
              <w:rPr>
                <w:rFonts w:ascii="Arial" w:cs="Arial" w:eastAsia="Arial" w:hAnsi="Arial"/>
                <w:sz w:val="24"/>
                <w:szCs w:val="24"/>
                <w:b w:val="1"/>
                <w:bCs w:val="1"/>
                <w:color w:val="auto"/>
              </w:rPr>
              <w:t>Morgan Stanley</w:t>
            </w:r>
          </w:p>
        </w:tc>
        <w:tc>
          <w:tcPr>
            <w:tcW w:w="3580" w:type="dxa"/>
            <w:vAlign w:val="bottom"/>
            <w:shd w:val="clear" w:color="auto" w:fill="CCEEFF"/>
          </w:tcPr>
          <w:p>
            <w:pPr>
              <w:jc w:val="right"/>
              <w:ind w:right="631"/>
              <w:spacing w:after="0"/>
              <w:rPr>
                <w:sz w:val="20"/>
                <w:szCs w:val="20"/>
                <w:color w:val="auto"/>
              </w:rPr>
            </w:pPr>
            <w:r>
              <w:rPr>
                <w:rFonts w:ascii="Arial" w:cs="Arial" w:eastAsia="Arial" w:hAnsi="Arial"/>
                <w:sz w:val="24"/>
                <w:szCs w:val="24"/>
                <w:b w:val="1"/>
                <w:bCs w:val="1"/>
                <w:color w:val="auto"/>
              </w:rPr>
              <w:t>RBC Capital Markets</w:t>
            </w: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36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2620" w:type="dxa"/>
            <w:vAlign w:val="bottom"/>
            <w:gridSpan w:val="2"/>
          </w:tcPr>
          <w:p>
            <w:pPr>
              <w:spacing w:after="0"/>
              <w:rPr>
                <w:sz w:val="20"/>
                <w:szCs w:val="20"/>
                <w:color w:val="auto"/>
              </w:rPr>
            </w:pPr>
            <w:r>
              <w:rPr>
                <w:rFonts w:ascii="Arial" w:cs="Arial" w:eastAsia="Arial" w:hAnsi="Arial"/>
                <w:sz w:val="22"/>
                <w:szCs w:val="22"/>
                <w:b w:val="1"/>
                <w:bCs w:val="1"/>
                <w:color w:val="auto"/>
              </w:rPr>
              <w:t>Barclays</w:t>
            </w: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20" w:type="dxa"/>
            <w:vAlign w:val="bottom"/>
            <w:gridSpan w:val="2"/>
          </w:tcPr>
          <w:p>
            <w:pPr>
              <w:jc w:val="center"/>
              <w:ind w:right="1140"/>
              <w:spacing w:after="0"/>
              <w:rPr>
                <w:sz w:val="20"/>
                <w:szCs w:val="20"/>
                <w:color w:val="auto"/>
              </w:rPr>
            </w:pPr>
            <w:r>
              <w:rPr>
                <w:rFonts w:ascii="Arial" w:cs="Arial" w:eastAsia="Arial" w:hAnsi="Arial"/>
                <w:sz w:val="22"/>
                <w:szCs w:val="22"/>
                <w:b w:val="1"/>
                <w:bCs w:val="1"/>
                <w:color w:val="auto"/>
                <w:w w:val="93"/>
              </w:rPr>
              <w:t>BNP PARIBAS</w:t>
            </w:r>
          </w:p>
        </w:tc>
        <w:tc>
          <w:tcPr>
            <w:tcW w:w="3600" w:type="dxa"/>
            <w:vAlign w:val="bottom"/>
            <w:gridSpan w:val="2"/>
          </w:tcPr>
          <w:p>
            <w:pPr>
              <w:jc w:val="right"/>
              <w:ind w:right="20"/>
              <w:spacing w:after="0"/>
              <w:rPr>
                <w:sz w:val="20"/>
                <w:szCs w:val="20"/>
                <w:color w:val="auto"/>
              </w:rPr>
            </w:pPr>
            <w:r>
              <w:rPr>
                <w:rFonts w:ascii="Arial" w:cs="Arial" w:eastAsia="Arial" w:hAnsi="Arial"/>
                <w:sz w:val="22"/>
                <w:szCs w:val="22"/>
                <w:b w:val="1"/>
                <w:bCs w:val="1"/>
                <w:color w:val="auto"/>
              </w:rPr>
              <w:t>BofA Merrill Lynch</w:t>
            </w:r>
          </w:p>
        </w:tc>
        <w:tc>
          <w:tcPr>
            <w:tcW w:w="0" w:type="dxa"/>
            <w:vAlign w:val="bottom"/>
          </w:tcPr>
          <w:p>
            <w:pPr>
              <w:spacing w:after="0"/>
              <w:rPr>
                <w:sz w:val="1"/>
                <w:szCs w:val="1"/>
                <w:color w:val="auto"/>
              </w:rPr>
            </w:pPr>
          </w:p>
        </w:tc>
      </w:tr>
      <w:tr>
        <w:trPr>
          <w:trHeight w:val="243"/>
        </w:trPr>
        <w:tc>
          <w:tcPr>
            <w:tcW w:w="262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Citigroup</w:t>
            </w:r>
          </w:p>
        </w:tc>
        <w:tc>
          <w:tcPr>
            <w:tcW w:w="1460" w:type="dxa"/>
            <w:vAlign w:val="bottom"/>
          </w:tcPr>
          <w:p>
            <w:pPr>
              <w:spacing w:after="0"/>
              <w:rPr>
                <w:sz w:val="21"/>
                <w:szCs w:val="21"/>
                <w:color w:val="auto"/>
              </w:rPr>
            </w:pPr>
          </w:p>
        </w:tc>
        <w:tc>
          <w:tcPr>
            <w:tcW w:w="3760" w:type="dxa"/>
            <w:vAlign w:val="bottom"/>
            <w:gridSpan w:val="3"/>
          </w:tcPr>
          <w:p>
            <w:pPr>
              <w:jc w:val="center"/>
              <w:ind w:right="700"/>
              <w:spacing w:after="0" w:line="243" w:lineRule="exact"/>
              <w:rPr>
                <w:sz w:val="20"/>
                <w:szCs w:val="20"/>
                <w:color w:val="auto"/>
              </w:rPr>
            </w:pPr>
            <w:r>
              <w:rPr>
                <w:rFonts w:ascii="Arial" w:cs="Arial" w:eastAsia="Arial" w:hAnsi="Arial"/>
                <w:sz w:val="22"/>
                <w:szCs w:val="22"/>
                <w:b w:val="1"/>
                <w:bCs w:val="1"/>
                <w:color w:val="auto"/>
                <w:w w:val="86"/>
              </w:rPr>
              <w:t>Deutsche Bank Securities</w:t>
            </w:r>
          </w:p>
        </w:tc>
        <w:tc>
          <w:tcPr>
            <w:tcW w:w="3600" w:type="dxa"/>
            <w:vAlign w:val="bottom"/>
            <w:gridSpan w:val="2"/>
          </w:tcPr>
          <w:p>
            <w:pPr>
              <w:jc w:val="right"/>
              <w:ind w:right="20"/>
              <w:spacing w:after="0" w:line="243" w:lineRule="exact"/>
              <w:rPr>
                <w:sz w:val="20"/>
                <w:szCs w:val="20"/>
                <w:color w:val="auto"/>
              </w:rPr>
            </w:pPr>
            <w:r>
              <w:rPr>
                <w:rFonts w:ascii="Arial" w:cs="Arial" w:eastAsia="Arial" w:hAnsi="Arial"/>
                <w:sz w:val="22"/>
                <w:szCs w:val="22"/>
                <w:b w:val="1"/>
                <w:bCs w:val="1"/>
                <w:color w:val="auto"/>
              </w:rPr>
              <w:t>Goldman, Sachs &amp; Co.</w:t>
            </w:r>
          </w:p>
        </w:tc>
        <w:tc>
          <w:tcPr>
            <w:tcW w:w="0" w:type="dxa"/>
            <w:vAlign w:val="bottom"/>
          </w:tcPr>
          <w:p>
            <w:pPr>
              <w:spacing w:after="0"/>
              <w:rPr>
                <w:sz w:val="1"/>
                <w:szCs w:val="1"/>
                <w:color w:val="auto"/>
              </w:rPr>
            </w:pPr>
          </w:p>
        </w:tc>
      </w:tr>
      <w:tr>
        <w:trPr>
          <w:trHeight w:val="243"/>
        </w:trPr>
        <w:tc>
          <w:tcPr>
            <w:tcW w:w="262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Lloyds Securities</w:t>
            </w:r>
          </w:p>
        </w:tc>
        <w:tc>
          <w:tcPr>
            <w:tcW w:w="1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320" w:type="dxa"/>
            <w:vAlign w:val="bottom"/>
            <w:gridSpan w:val="2"/>
          </w:tcPr>
          <w:p>
            <w:pPr>
              <w:jc w:val="center"/>
              <w:ind w:right="1140"/>
              <w:spacing w:after="0" w:line="243" w:lineRule="exact"/>
              <w:rPr>
                <w:sz w:val="20"/>
                <w:szCs w:val="20"/>
                <w:color w:val="auto"/>
              </w:rPr>
            </w:pPr>
            <w:r>
              <w:rPr>
                <w:rFonts w:ascii="Arial" w:cs="Arial" w:eastAsia="Arial" w:hAnsi="Arial"/>
                <w:sz w:val="22"/>
                <w:szCs w:val="22"/>
                <w:b w:val="1"/>
                <w:bCs w:val="1"/>
                <w:color w:val="auto"/>
                <w:w w:val="88"/>
              </w:rPr>
              <w:t>Mizuho Securities</w:t>
            </w:r>
          </w:p>
        </w:tc>
        <w:tc>
          <w:tcPr>
            <w:tcW w:w="3600" w:type="dxa"/>
            <w:vAlign w:val="bottom"/>
            <w:gridSpan w:val="2"/>
          </w:tcPr>
          <w:p>
            <w:pPr>
              <w:jc w:val="right"/>
              <w:ind w:right="20"/>
              <w:spacing w:after="0" w:line="243" w:lineRule="exact"/>
              <w:rPr>
                <w:sz w:val="20"/>
                <w:szCs w:val="20"/>
                <w:color w:val="auto"/>
              </w:rPr>
            </w:pPr>
            <w:r>
              <w:rPr>
                <w:rFonts w:ascii="Arial" w:cs="Arial" w:eastAsia="Arial" w:hAnsi="Arial"/>
                <w:sz w:val="22"/>
                <w:szCs w:val="22"/>
                <w:b w:val="1"/>
                <w:bCs w:val="1"/>
                <w:color w:val="auto"/>
              </w:rPr>
              <w:t>RBS</w:t>
            </w:r>
          </w:p>
        </w:tc>
        <w:tc>
          <w:tcPr>
            <w:tcW w:w="0" w:type="dxa"/>
            <w:vAlign w:val="bottom"/>
          </w:tcPr>
          <w:p>
            <w:pPr>
              <w:spacing w:after="0"/>
              <w:rPr>
                <w:sz w:val="1"/>
                <w:szCs w:val="1"/>
                <w:color w:val="auto"/>
              </w:rPr>
            </w:pPr>
          </w:p>
        </w:tc>
      </w:tr>
      <w:tr>
        <w:trPr>
          <w:trHeight w:val="281"/>
        </w:trPr>
        <w:tc>
          <w:tcPr>
            <w:tcW w:w="2620" w:type="dxa"/>
            <w:vAlign w:val="bottom"/>
            <w:gridSpan w:val="2"/>
          </w:tcPr>
          <w:p>
            <w:pPr>
              <w:spacing w:after="0"/>
              <w:rPr>
                <w:sz w:val="20"/>
                <w:szCs w:val="20"/>
                <w:color w:val="auto"/>
              </w:rPr>
            </w:pPr>
            <w:r>
              <w:rPr>
                <w:rFonts w:ascii="Arial" w:cs="Arial" w:eastAsia="Arial" w:hAnsi="Arial"/>
                <w:sz w:val="22"/>
                <w:szCs w:val="22"/>
                <w:b w:val="1"/>
                <w:bCs w:val="1"/>
                <w:color w:val="auto"/>
              </w:rPr>
              <w:t>SMBC Nikko</w:t>
            </w: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20" w:type="dxa"/>
            <w:vAlign w:val="bottom"/>
            <w:gridSpan w:val="2"/>
          </w:tcPr>
          <w:p>
            <w:pPr>
              <w:jc w:val="center"/>
              <w:ind w:right="1140"/>
              <w:spacing w:after="0"/>
              <w:rPr>
                <w:sz w:val="20"/>
                <w:szCs w:val="20"/>
                <w:color w:val="auto"/>
              </w:rPr>
            </w:pPr>
            <w:r>
              <w:rPr>
                <w:rFonts w:ascii="Arial" w:cs="Arial" w:eastAsia="Arial" w:hAnsi="Arial"/>
                <w:sz w:val="22"/>
                <w:szCs w:val="22"/>
                <w:b w:val="1"/>
                <w:bCs w:val="1"/>
                <w:color w:val="auto"/>
                <w:w w:val="90"/>
              </w:rPr>
              <w:t>UBS Investment Bank</w:t>
            </w:r>
          </w:p>
        </w:tc>
        <w:tc>
          <w:tcPr>
            <w:tcW w:w="3600" w:type="dxa"/>
            <w:vAlign w:val="bottom"/>
            <w:gridSpan w:val="2"/>
          </w:tcPr>
          <w:p>
            <w:pPr>
              <w:jc w:val="right"/>
              <w:ind w:right="20"/>
              <w:spacing w:after="0"/>
              <w:rPr>
                <w:sz w:val="20"/>
                <w:szCs w:val="20"/>
                <w:color w:val="auto"/>
              </w:rPr>
            </w:pPr>
            <w:r>
              <w:rPr>
                <w:rFonts w:ascii="Arial" w:cs="Arial" w:eastAsia="Arial" w:hAnsi="Arial"/>
                <w:sz w:val="22"/>
                <w:szCs w:val="22"/>
                <w:b w:val="1"/>
                <w:bCs w:val="1"/>
                <w:color w:val="auto"/>
              </w:rPr>
              <w:t>Wells Fargo Securities</w:t>
            </w:r>
          </w:p>
        </w:tc>
        <w:tc>
          <w:tcPr>
            <w:tcW w:w="0" w:type="dxa"/>
            <w:vAlign w:val="bottom"/>
          </w:tcPr>
          <w:p>
            <w:pPr>
              <w:spacing w:after="0"/>
              <w:rPr>
                <w:sz w:val="1"/>
                <w:szCs w:val="1"/>
                <w:color w:val="auto"/>
              </w:rPr>
            </w:pPr>
          </w:p>
        </w:tc>
      </w:tr>
      <w:tr>
        <w:trPr>
          <w:trHeight w:val="152"/>
        </w:trPr>
        <w:tc>
          <w:tcPr>
            <w:tcW w:w="2620" w:type="dxa"/>
            <w:vAlign w:val="bottom"/>
            <w:gridSpan w:val="2"/>
          </w:tcPr>
          <w:p>
            <w:pPr>
              <w:spacing w:after="0"/>
              <w:rPr>
                <w:sz w:val="13"/>
                <w:szCs w:val="13"/>
                <w:color w:val="auto"/>
              </w:rPr>
            </w:pPr>
          </w:p>
        </w:tc>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36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2620" w:type="dxa"/>
            <w:vAlign w:val="bottom"/>
            <w:gridSpan w:val="2"/>
          </w:tcPr>
          <w:p>
            <w:pPr>
              <w:spacing w:after="0"/>
              <w:rPr>
                <w:sz w:val="20"/>
                <w:szCs w:val="20"/>
                <w:color w:val="auto"/>
              </w:rPr>
            </w:pPr>
            <w:r>
              <w:rPr>
                <w:rFonts w:ascii="Arial" w:cs="Arial" w:eastAsia="Arial" w:hAnsi="Arial"/>
                <w:sz w:val="22"/>
                <w:szCs w:val="22"/>
                <w:b w:val="1"/>
                <w:bCs w:val="1"/>
                <w:color w:val="auto"/>
              </w:rPr>
              <w:t>Santander</w:t>
            </w: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20" w:type="dxa"/>
            <w:vAlign w:val="bottom"/>
            <w:gridSpan w:val="2"/>
          </w:tcPr>
          <w:p>
            <w:pPr>
              <w:jc w:val="center"/>
              <w:ind w:right="920"/>
              <w:spacing w:after="0"/>
              <w:rPr>
                <w:sz w:val="20"/>
                <w:szCs w:val="20"/>
                <w:color w:val="auto"/>
              </w:rPr>
            </w:pPr>
            <w:r>
              <w:rPr>
                <w:rFonts w:ascii="Arial" w:cs="Arial" w:eastAsia="Arial" w:hAnsi="Arial"/>
                <w:sz w:val="22"/>
                <w:szCs w:val="22"/>
                <w:b w:val="1"/>
                <w:bCs w:val="1"/>
                <w:color w:val="auto"/>
                <w:w w:val="88"/>
              </w:rPr>
              <w:t>US Bancorp</w:t>
            </w:r>
          </w:p>
        </w:tc>
        <w:tc>
          <w:tcPr>
            <w:tcW w:w="3600" w:type="dxa"/>
            <w:vAlign w:val="bottom"/>
            <w:gridSpan w:val="2"/>
          </w:tcPr>
          <w:p>
            <w:pPr>
              <w:jc w:val="right"/>
              <w:ind w:right="20"/>
              <w:spacing w:after="0"/>
              <w:rPr>
                <w:sz w:val="20"/>
                <w:szCs w:val="20"/>
                <w:color w:val="auto"/>
              </w:rPr>
            </w:pPr>
            <w:r>
              <w:rPr>
                <w:rFonts w:ascii="Arial" w:cs="Arial" w:eastAsia="Arial" w:hAnsi="Arial"/>
                <w:sz w:val="22"/>
                <w:szCs w:val="22"/>
                <w:b w:val="1"/>
                <w:bCs w:val="1"/>
                <w:color w:val="auto"/>
              </w:rPr>
              <w:t>Allen &amp; Company LLC</w:t>
            </w:r>
          </w:p>
        </w:tc>
        <w:tc>
          <w:tcPr>
            <w:tcW w:w="0" w:type="dxa"/>
            <w:vAlign w:val="bottom"/>
          </w:tcPr>
          <w:p>
            <w:pPr>
              <w:spacing w:after="0"/>
              <w:rPr>
                <w:sz w:val="1"/>
                <w:szCs w:val="1"/>
                <w:color w:val="auto"/>
              </w:rPr>
            </w:pPr>
          </w:p>
        </w:tc>
      </w:tr>
      <w:tr>
        <w:trPr>
          <w:trHeight w:val="257"/>
        </w:trPr>
        <w:tc>
          <w:tcPr>
            <w:tcW w:w="2620" w:type="dxa"/>
            <w:vAlign w:val="bottom"/>
            <w:gridSpan w:val="2"/>
          </w:tcPr>
          <w:p>
            <w:pPr>
              <w:spacing w:after="0"/>
              <w:rPr>
                <w:sz w:val="20"/>
                <w:szCs w:val="20"/>
                <w:color w:val="auto"/>
              </w:rPr>
            </w:pPr>
            <w:r>
              <w:rPr>
                <w:rFonts w:ascii="Arial" w:cs="Arial" w:eastAsia="Arial" w:hAnsi="Arial"/>
                <w:sz w:val="22"/>
                <w:szCs w:val="22"/>
                <w:b w:val="1"/>
                <w:bCs w:val="1"/>
                <w:color w:val="auto"/>
              </w:rPr>
              <w:t>Gleacher &amp; Company</w:t>
            </w:r>
          </w:p>
        </w:tc>
        <w:tc>
          <w:tcPr>
            <w:tcW w:w="1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320" w:type="dxa"/>
            <w:vAlign w:val="bottom"/>
            <w:gridSpan w:val="2"/>
          </w:tcPr>
          <w:p>
            <w:pPr>
              <w:jc w:val="center"/>
              <w:ind w:right="900"/>
              <w:spacing w:after="0"/>
              <w:rPr>
                <w:sz w:val="20"/>
                <w:szCs w:val="20"/>
                <w:color w:val="auto"/>
              </w:rPr>
            </w:pPr>
            <w:r>
              <w:rPr>
                <w:rFonts w:ascii="Arial" w:cs="Arial" w:eastAsia="Arial" w:hAnsi="Arial"/>
                <w:sz w:val="22"/>
                <w:szCs w:val="22"/>
                <w:b w:val="1"/>
                <w:bCs w:val="1"/>
                <w:color w:val="auto"/>
                <w:w w:val="93"/>
              </w:rPr>
              <w:t>DnB NOR Markets</w:t>
            </w:r>
          </w:p>
        </w:tc>
        <w:tc>
          <w:tcPr>
            <w:tcW w:w="3600" w:type="dxa"/>
            <w:vAlign w:val="bottom"/>
            <w:gridSpan w:val="2"/>
          </w:tcPr>
          <w:p>
            <w:pPr>
              <w:jc w:val="right"/>
              <w:ind w:right="20"/>
              <w:spacing w:after="0"/>
              <w:rPr>
                <w:sz w:val="20"/>
                <w:szCs w:val="20"/>
                <w:color w:val="auto"/>
              </w:rPr>
            </w:pPr>
            <w:r>
              <w:rPr>
                <w:rFonts w:ascii="Arial" w:cs="Arial" w:eastAsia="Arial" w:hAnsi="Arial"/>
                <w:sz w:val="22"/>
                <w:szCs w:val="22"/>
                <w:b w:val="1"/>
                <w:bCs w:val="1"/>
                <w:color w:val="auto"/>
              </w:rPr>
              <w:t>PNC Capital Markets LLC</w:t>
            </w:r>
          </w:p>
        </w:tc>
        <w:tc>
          <w:tcPr>
            <w:tcW w:w="0" w:type="dxa"/>
            <w:vAlign w:val="bottom"/>
          </w:tcPr>
          <w:p>
            <w:pPr>
              <w:spacing w:after="0"/>
              <w:rPr>
                <w:sz w:val="1"/>
                <w:szCs w:val="1"/>
                <w:color w:val="auto"/>
              </w:rPr>
            </w:pPr>
          </w:p>
        </w:tc>
      </w:tr>
      <w:tr>
        <w:trPr>
          <w:trHeight w:val="281"/>
        </w:trPr>
        <w:tc>
          <w:tcPr>
            <w:tcW w:w="4080" w:type="dxa"/>
            <w:vAlign w:val="bottom"/>
            <w:gridSpan w:val="3"/>
          </w:tcPr>
          <w:p>
            <w:pPr>
              <w:spacing w:after="0"/>
              <w:rPr>
                <w:sz w:val="20"/>
                <w:szCs w:val="20"/>
                <w:color w:val="auto"/>
              </w:rPr>
            </w:pPr>
            <w:r>
              <w:rPr>
                <w:rFonts w:ascii="Arial" w:cs="Arial" w:eastAsia="Arial" w:hAnsi="Arial"/>
                <w:sz w:val="22"/>
                <w:szCs w:val="22"/>
                <w:b w:val="1"/>
                <w:bCs w:val="1"/>
                <w:color w:val="auto"/>
              </w:rPr>
              <w:t>SunTrust Robinson Humphrey</w:t>
            </w:r>
          </w:p>
        </w:tc>
        <w:tc>
          <w:tcPr>
            <w:tcW w:w="4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0" w:type="dxa"/>
            <w:vAlign w:val="bottom"/>
            <w:gridSpan w:val="2"/>
          </w:tcPr>
          <w:p>
            <w:pPr>
              <w:jc w:val="right"/>
              <w:ind w:right="20"/>
              <w:spacing w:after="0"/>
              <w:rPr>
                <w:sz w:val="20"/>
                <w:szCs w:val="20"/>
                <w:color w:val="auto"/>
              </w:rPr>
            </w:pPr>
            <w:r>
              <w:rPr>
                <w:rFonts w:ascii="Arial" w:cs="Arial" w:eastAsia="Arial" w:hAnsi="Arial"/>
                <w:sz w:val="22"/>
                <w:szCs w:val="22"/>
                <w:b w:val="1"/>
                <w:bCs w:val="1"/>
                <w:color w:val="auto"/>
              </w:rPr>
              <w:t>TD Securities</w:t>
            </w:r>
          </w:p>
        </w:tc>
        <w:tc>
          <w:tcPr>
            <w:tcW w:w="0" w:type="dxa"/>
            <w:vAlign w:val="bottom"/>
          </w:tcPr>
          <w:p>
            <w:pPr>
              <w:spacing w:after="0"/>
              <w:rPr>
                <w:sz w:val="1"/>
                <w:szCs w:val="1"/>
                <w:color w:val="auto"/>
              </w:rPr>
            </w:pPr>
          </w:p>
        </w:tc>
      </w:tr>
      <w:tr>
        <w:trPr>
          <w:trHeight w:val="179"/>
        </w:trPr>
        <w:tc>
          <w:tcPr>
            <w:tcW w:w="2620" w:type="dxa"/>
            <w:vAlign w:val="bottom"/>
            <w:gridSpan w:val="2"/>
          </w:tcPr>
          <w:p>
            <w:pPr>
              <w:spacing w:after="0"/>
              <w:rPr>
                <w:sz w:val="15"/>
                <w:szCs w:val="15"/>
                <w:color w:val="auto"/>
              </w:rPr>
            </w:pPr>
          </w:p>
        </w:tc>
        <w:tc>
          <w:tcPr>
            <w:tcW w:w="1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940" w:type="dxa"/>
            <w:vAlign w:val="bottom"/>
          </w:tcPr>
          <w:p>
            <w:pPr>
              <w:spacing w:after="0"/>
              <w:rPr>
                <w:sz w:val="15"/>
                <w:szCs w:val="15"/>
                <w:color w:val="auto"/>
              </w:rPr>
            </w:pPr>
          </w:p>
        </w:tc>
        <w:tc>
          <w:tcPr>
            <w:tcW w:w="36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2620" w:type="dxa"/>
            <w:vAlign w:val="bottom"/>
            <w:gridSpan w:val="2"/>
          </w:tcPr>
          <w:p>
            <w:pPr>
              <w:spacing w:after="0"/>
              <w:rPr>
                <w:sz w:val="20"/>
                <w:szCs w:val="20"/>
                <w:color w:val="auto"/>
              </w:rPr>
            </w:pPr>
            <w:r>
              <w:rPr>
                <w:rFonts w:ascii="Arial" w:cs="Arial" w:eastAsia="Arial" w:hAnsi="Arial"/>
                <w:sz w:val="22"/>
                <w:szCs w:val="22"/>
                <w:b w:val="1"/>
                <w:bCs w:val="1"/>
                <w:color w:val="auto"/>
              </w:rPr>
              <w:t>Loop Capital Markets</w:t>
            </w:r>
          </w:p>
        </w:tc>
        <w:tc>
          <w:tcPr>
            <w:tcW w:w="1460" w:type="dxa"/>
            <w:vAlign w:val="bottom"/>
          </w:tcPr>
          <w:p>
            <w:pPr>
              <w:spacing w:after="0"/>
              <w:rPr>
                <w:sz w:val="24"/>
                <w:szCs w:val="24"/>
                <w:color w:val="auto"/>
              </w:rPr>
            </w:pPr>
          </w:p>
        </w:tc>
        <w:tc>
          <w:tcPr>
            <w:tcW w:w="3760" w:type="dxa"/>
            <w:vAlign w:val="bottom"/>
            <w:gridSpan w:val="3"/>
          </w:tcPr>
          <w:p>
            <w:pPr>
              <w:jc w:val="center"/>
              <w:ind w:right="460"/>
              <w:spacing w:after="0"/>
              <w:rPr>
                <w:sz w:val="20"/>
                <w:szCs w:val="20"/>
                <w:color w:val="auto"/>
              </w:rPr>
            </w:pPr>
            <w:r>
              <w:rPr>
                <w:rFonts w:ascii="Arial" w:cs="Arial" w:eastAsia="Arial" w:hAnsi="Arial"/>
                <w:sz w:val="22"/>
                <w:szCs w:val="22"/>
                <w:b w:val="1"/>
                <w:bCs w:val="1"/>
                <w:color w:val="auto"/>
                <w:w w:val="91"/>
              </w:rPr>
              <w:t>The Williams Capital Group, L.P.</w:t>
            </w:r>
          </w:p>
        </w:tc>
        <w:tc>
          <w:tcPr>
            <w:tcW w:w="3600" w:type="dxa"/>
            <w:vAlign w:val="bottom"/>
            <w:gridSpan w:val="2"/>
          </w:tcPr>
          <w:p>
            <w:pPr>
              <w:jc w:val="right"/>
              <w:ind w:right="20"/>
              <w:spacing w:after="0"/>
              <w:rPr>
                <w:sz w:val="20"/>
                <w:szCs w:val="20"/>
                <w:color w:val="auto"/>
              </w:rPr>
            </w:pPr>
            <w:r>
              <w:rPr>
                <w:rFonts w:ascii="Arial" w:cs="Arial" w:eastAsia="Arial" w:hAnsi="Arial"/>
                <w:sz w:val="22"/>
                <w:szCs w:val="22"/>
                <w:b w:val="1"/>
                <w:bCs w:val="1"/>
                <w:color w:val="auto"/>
              </w:rPr>
              <w:t>Drexel Hamilton</w:t>
            </w:r>
          </w:p>
        </w:tc>
        <w:tc>
          <w:tcPr>
            <w:tcW w:w="0" w:type="dxa"/>
            <w:vAlign w:val="bottom"/>
          </w:tcPr>
          <w:p>
            <w:pPr>
              <w:spacing w:after="0"/>
              <w:rPr>
                <w:sz w:val="1"/>
                <w:szCs w:val="1"/>
                <w:color w:val="auto"/>
              </w:rPr>
            </w:pPr>
          </w:p>
        </w:tc>
      </w:tr>
      <w:tr>
        <w:trPr>
          <w:trHeight w:val="281"/>
        </w:trPr>
        <w:tc>
          <w:tcPr>
            <w:tcW w:w="2620" w:type="dxa"/>
            <w:vAlign w:val="bottom"/>
            <w:gridSpan w:val="2"/>
          </w:tcPr>
          <w:p>
            <w:pPr>
              <w:spacing w:after="0"/>
              <w:rPr>
                <w:sz w:val="20"/>
                <w:szCs w:val="20"/>
                <w:color w:val="auto"/>
              </w:rPr>
            </w:pPr>
            <w:r>
              <w:rPr>
                <w:rFonts w:ascii="Arial" w:cs="Arial" w:eastAsia="Arial" w:hAnsi="Arial"/>
                <w:sz w:val="22"/>
                <w:szCs w:val="22"/>
                <w:b w:val="1"/>
                <w:bCs w:val="1"/>
                <w:color w:val="auto"/>
                <w:w w:val="95"/>
              </w:rPr>
              <w:t>Lebenthal Capital Markets</w:t>
            </w: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20" w:type="dxa"/>
            <w:vAlign w:val="bottom"/>
            <w:gridSpan w:val="2"/>
          </w:tcPr>
          <w:p>
            <w:pPr>
              <w:jc w:val="center"/>
              <w:ind w:right="900"/>
              <w:spacing w:after="0"/>
              <w:rPr>
                <w:sz w:val="20"/>
                <w:szCs w:val="20"/>
                <w:color w:val="auto"/>
              </w:rPr>
            </w:pPr>
            <w:r>
              <w:rPr>
                <w:rFonts w:ascii="Arial" w:cs="Arial" w:eastAsia="Arial" w:hAnsi="Arial"/>
                <w:sz w:val="22"/>
                <w:szCs w:val="22"/>
                <w:b w:val="1"/>
                <w:bCs w:val="1"/>
                <w:color w:val="auto"/>
                <w:w w:val="90"/>
              </w:rPr>
              <w:t>MFR Securities, Inc.</w:t>
            </w:r>
          </w:p>
        </w:tc>
        <w:tc>
          <w:tcPr>
            <w:tcW w:w="3600" w:type="dxa"/>
            <w:vAlign w:val="bottom"/>
            <w:gridSpan w:val="2"/>
          </w:tcPr>
          <w:p>
            <w:pPr>
              <w:jc w:val="right"/>
              <w:ind w:right="20"/>
              <w:spacing w:after="0"/>
              <w:rPr>
                <w:sz w:val="20"/>
                <w:szCs w:val="20"/>
                <w:color w:val="auto"/>
              </w:rPr>
            </w:pPr>
            <w:r>
              <w:rPr>
                <w:rFonts w:ascii="Arial" w:cs="Arial" w:eastAsia="Arial" w:hAnsi="Arial"/>
                <w:sz w:val="22"/>
                <w:szCs w:val="22"/>
                <w:b w:val="1"/>
                <w:bCs w:val="1"/>
                <w:color w:val="auto"/>
              </w:rPr>
              <w:t>Ramirez and Co., Inc.</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supplement is September 28, 2012.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TABLE OF CONTENTS</w:t>
            </w:r>
          </w:p>
        </w:tc>
        <w:tc>
          <w:tcPr>
            <w:tcW w:w="4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Prospectus Supplement</w:t>
            </w:r>
          </w:p>
        </w:tc>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2380" w:type="dxa"/>
            <w:vAlign w:val="bottom"/>
            <w:gridSpan w:val="10"/>
            <w:vMerge w:val="restart"/>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Prospectus Supplement Summary</w:t>
              </w:r>
            </w:hyperlink>
          </w:p>
        </w:tc>
        <w:tc>
          <w:tcPr>
            <w:tcW w:w="4520" w:type="dxa"/>
            <w:vAlign w:val="bottom"/>
            <w:gridSpan w:val="7"/>
            <w:vMerge w:val="restart"/>
          </w:tcPr>
          <w:p>
            <w:pPr>
              <w:spacing w:after="0"/>
              <w:rPr>
                <w:sz w:val="24"/>
                <w:szCs w:val="24"/>
                <w:color w:val="auto"/>
              </w:rPr>
            </w:pPr>
          </w:p>
        </w:tc>
        <w:tc>
          <w:tcPr>
            <w:tcW w:w="4040" w:type="dxa"/>
            <w:vAlign w:val="bottom"/>
          </w:tcPr>
          <w:p>
            <w:pPr>
              <w:spacing w:after="0"/>
              <w:rPr>
                <w:sz w:val="24"/>
                <w:szCs w:val="24"/>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1"/>
        </w:trPr>
        <w:tc>
          <w:tcPr>
            <w:tcW w:w="2380" w:type="dxa"/>
            <w:vAlign w:val="bottom"/>
            <w:tcBorders>
              <w:bottom w:val="single" w:sz="8" w:color="0000EE"/>
            </w:tcBorders>
            <w:gridSpan w:val="10"/>
            <w:vMerge w:val="continue"/>
          </w:tcPr>
          <w:p>
            <w:pPr>
              <w:spacing w:after="0"/>
              <w:rPr>
                <w:sz w:val="13"/>
                <w:szCs w:val="13"/>
                <w:color w:val="auto"/>
              </w:rPr>
            </w:pPr>
          </w:p>
        </w:tc>
        <w:tc>
          <w:tcPr>
            <w:tcW w:w="4520" w:type="dxa"/>
            <w:vAlign w:val="bottom"/>
            <w:gridSpan w:val="7"/>
            <w:vMerge w:val="continue"/>
          </w:tcPr>
          <w:p>
            <w:pPr>
              <w:spacing w:after="0"/>
              <w:rPr>
                <w:sz w:val="13"/>
                <w:szCs w:val="13"/>
                <w:color w:val="auto"/>
              </w:rPr>
            </w:pPr>
          </w:p>
        </w:tc>
        <w:tc>
          <w:tcPr>
            <w:tcW w:w="40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90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S-3</w:t>
            </w:r>
          </w:p>
        </w:tc>
        <w:tc>
          <w:tcPr>
            <w:tcW w:w="0" w:type="dxa"/>
            <w:vAlign w:val="bottom"/>
          </w:tcPr>
          <w:p>
            <w:pPr>
              <w:spacing w:after="0"/>
              <w:rPr>
                <w:sz w:val="1"/>
                <w:szCs w:val="1"/>
                <w:color w:val="auto"/>
              </w:rPr>
            </w:pPr>
          </w:p>
        </w:tc>
      </w:tr>
      <w:tr>
        <w:trPr>
          <w:trHeight w:val="196"/>
        </w:trPr>
        <w:tc>
          <w:tcPr>
            <w:tcW w:w="28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Use of Proceeds</w:t>
              </w:r>
            </w:hyperlink>
          </w:p>
        </w:tc>
        <w:tc>
          <w:tcPr>
            <w:tcW w:w="4100" w:type="dxa"/>
            <w:vAlign w:val="bottom"/>
            <w:gridSpan w:val="4"/>
          </w:tcPr>
          <w:p>
            <w:pPr>
              <w:spacing w:after="0"/>
              <w:rPr>
                <w:sz w:val="17"/>
                <w:szCs w:val="17"/>
                <w:color w:val="auto"/>
              </w:rPr>
            </w:pPr>
          </w:p>
        </w:tc>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Ratio of Earnings to Fixed Charges</w:t>
              </w:r>
            </w:hyperlink>
          </w:p>
        </w:tc>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S-3</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Description of the Notes</w:t>
              </w:r>
            </w:hyperlink>
          </w:p>
        </w:tc>
        <w:tc>
          <w:tcPr>
            <w:tcW w:w="4420" w:type="dxa"/>
            <w:vAlign w:val="bottom"/>
            <w:gridSpan w:val="6"/>
          </w:tcPr>
          <w:p>
            <w:pPr>
              <w:spacing w:after="0"/>
              <w:rPr>
                <w:sz w:val="17"/>
                <w:szCs w:val="17"/>
                <w:color w:val="auto"/>
              </w:rPr>
            </w:pPr>
          </w:p>
        </w:tc>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1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Material U.S. Federal Income Tax Consequences to Non-U.S. Holders</w:t>
              </w:r>
            </w:hyperlink>
          </w:p>
        </w:tc>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8"/>
        </w:trPr>
        <w:tc>
          <w:tcPr>
            <w:tcW w:w="5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740" w:type="dxa"/>
            <w:vAlign w:val="bottom"/>
            <w:tcBorders>
              <w:top w:val="single" w:sz="8" w:color="0000EE"/>
            </w:tcBorders>
          </w:tcPr>
          <w:p>
            <w:pPr>
              <w:spacing w:after="0"/>
              <w:rPr>
                <w:sz w:val="19"/>
                <w:szCs w:val="19"/>
                <w:color w:val="auto"/>
              </w:rPr>
            </w:pPr>
          </w:p>
        </w:tc>
        <w:tc>
          <w:tcPr>
            <w:tcW w:w="98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960" w:type="dxa"/>
            <w:vAlign w:val="bottom"/>
          </w:tcPr>
          <w:p>
            <w:pPr>
              <w:spacing w:after="0"/>
              <w:rPr>
                <w:sz w:val="19"/>
                <w:szCs w:val="19"/>
                <w:color w:val="auto"/>
              </w:rPr>
            </w:pPr>
          </w:p>
        </w:tc>
        <w:tc>
          <w:tcPr>
            <w:tcW w:w="442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900" w:type="dxa"/>
            <w:vAlign w:val="bottom"/>
            <w:gridSpan w:val="17"/>
          </w:tcPr>
          <w:p>
            <w:pPr>
              <w:spacing w:after="0" w:line="184" w:lineRule="exact"/>
              <w:rPr>
                <w:rFonts w:ascii="Arial" w:cs="Arial" w:eastAsia="Arial" w:hAnsi="Arial"/>
                <w:sz w:val="18"/>
                <w:szCs w:val="18"/>
                <w:color w:val="0000EE"/>
              </w:rPr>
            </w:pPr>
            <w:hyperlink w:anchor="page25">
              <w:r>
                <w:rPr>
                  <w:rFonts w:ascii="Arial" w:cs="Arial" w:eastAsia="Arial" w:hAnsi="Arial"/>
                  <w:sz w:val="18"/>
                  <w:szCs w:val="18"/>
                  <w:color w:val="0000EE"/>
                </w:rPr>
                <w:t>Underwriting</w:t>
              </w:r>
            </w:hyperlink>
          </w:p>
        </w:tc>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gridSpan w:val="2"/>
          </w:tcPr>
          <w:p>
            <w:pPr>
              <w:jc w:val="right"/>
              <w:ind w:right="20"/>
              <w:spacing w:after="0" w:line="184"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8"/>
        </w:trPr>
        <w:tc>
          <w:tcPr>
            <w:tcW w:w="5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42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900" w:type="dxa"/>
            <w:vAlign w:val="bottom"/>
            <w:gridSpan w:val="17"/>
          </w:tcPr>
          <w:p>
            <w:pPr>
              <w:spacing w:after="0" w:line="184" w:lineRule="exact"/>
              <w:rPr>
                <w:rFonts w:ascii="Arial" w:cs="Arial" w:eastAsia="Arial" w:hAnsi="Arial"/>
                <w:sz w:val="18"/>
                <w:szCs w:val="18"/>
                <w:color w:val="0000EE"/>
              </w:rPr>
            </w:pPr>
            <w:hyperlink w:anchor="page29">
              <w:r>
                <w:rPr>
                  <w:rFonts w:ascii="Arial" w:cs="Arial" w:eastAsia="Arial" w:hAnsi="Arial"/>
                  <w:sz w:val="18"/>
                  <w:szCs w:val="18"/>
                  <w:color w:val="0000EE"/>
                </w:rPr>
                <w:t>Legal Matters</w:t>
              </w:r>
            </w:hyperlink>
          </w:p>
        </w:tc>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gridSpan w:val="2"/>
          </w:tcPr>
          <w:p>
            <w:pPr>
              <w:jc w:val="right"/>
              <w:ind w:right="20"/>
              <w:spacing w:after="0" w:line="184"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8"/>
        </w:trPr>
        <w:tc>
          <w:tcPr>
            <w:tcW w:w="5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42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900" w:type="dxa"/>
            <w:vAlign w:val="bottom"/>
            <w:gridSpan w:val="17"/>
          </w:tcPr>
          <w:p>
            <w:pPr>
              <w:spacing w:after="0" w:line="184" w:lineRule="exact"/>
              <w:rPr>
                <w:rFonts w:ascii="Arial" w:cs="Arial" w:eastAsia="Arial" w:hAnsi="Arial"/>
                <w:sz w:val="18"/>
                <w:szCs w:val="18"/>
                <w:color w:val="0000EE"/>
              </w:rPr>
            </w:pPr>
            <w:hyperlink w:anchor="page29">
              <w:r>
                <w:rPr>
                  <w:rFonts w:ascii="Arial" w:cs="Arial" w:eastAsia="Arial" w:hAnsi="Arial"/>
                  <w:sz w:val="18"/>
                  <w:szCs w:val="18"/>
                  <w:color w:val="0000EE"/>
                </w:rPr>
                <w:t>Experts</w:t>
              </w:r>
            </w:hyperlink>
          </w:p>
        </w:tc>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gridSpan w:val="2"/>
          </w:tcPr>
          <w:p>
            <w:pPr>
              <w:jc w:val="right"/>
              <w:ind w:right="20"/>
              <w:spacing w:after="0" w:line="184"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35"/>
        </w:trPr>
        <w:tc>
          <w:tcPr>
            <w:tcW w:w="540" w:type="dxa"/>
            <w:vAlign w:val="bottom"/>
            <w:tcBorders>
              <w:top w:val="single" w:sz="8" w:color="0000EE"/>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42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60" w:type="dxa"/>
            <w:vAlign w:val="bottom"/>
          </w:tcPr>
          <w:p>
            <w:pPr>
              <w:jc w:val="center"/>
              <w:ind w:right="332"/>
              <w:spacing w:after="0"/>
              <w:rPr>
                <w:sz w:val="20"/>
                <w:szCs w:val="20"/>
                <w:color w:val="auto"/>
              </w:rPr>
            </w:pPr>
            <w:r>
              <w:rPr>
                <w:rFonts w:ascii="Arial" w:cs="Arial" w:eastAsia="Arial" w:hAnsi="Arial"/>
                <w:sz w:val="18"/>
                <w:szCs w:val="18"/>
                <w:b w:val="1"/>
                <w:bCs w:val="1"/>
                <w:color w:val="auto"/>
                <w:w w:val="83"/>
              </w:rPr>
              <w:t>Prospectus</w:t>
            </w:r>
          </w:p>
        </w:tc>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900" w:type="dxa"/>
            <w:vAlign w:val="bottom"/>
            <w:gridSpan w:val="17"/>
            <w:vMerge w:val="restart"/>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The Company</w:t>
              </w:r>
            </w:hyperlink>
          </w:p>
        </w:tc>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6900" w:type="dxa"/>
            <w:vAlign w:val="bottom"/>
            <w:gridSpan w:val="17"/>
            <w:vMerge w:val="continue"/>
          </w:tcPr>
          <w:p>
            <w:pPr>
              <w:spacing w:after="0"/>
              <w:rPr>
                <w:sz w:val="13"/>
                <w:szCs w:val="13"/>
                <w:color w:val="auto"/>
              </w:rPr>
            </w:pPr>
          </w:p>
        </w:tc>
        <w:tc>
          <w:tcPr>
            <w:tcW w:w="4140" w:type="dxa"/>
            <w:vAlign w:val="bottom"/>
            <w:gridSpan w:val="2"/>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Caution Concerning Forward-Looking Statements</w:t>
              </w:r>
            </w:hyperlink>
          </w:p>
        </w:tc>
        <w:tc>
          <w:tcPr>
            <w:tcW w:w="3360" w:type="dxa"/>
            <w:vAlign w:val="bottom"/>
            <w:gridSpan w:val="3"/>
          </w:tcPr>
          <w:p>
            <w:pPr>
              <w:spacing w:after="0"/>
              <w:rPr>
                <w:sz w:val="18"/>
                <w:szCs w:val="18"/>
                <w:color w:val="auto"/>
              </w:rPr>
            </w:pPr>
          </w:p>
        </w:tc>
        <w:tc>
          <w:tcPr>
            <w:tcW w:w="44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900" w:type="dxa"/>
            <w:vAlign w:val="bottom"/>
            <w:gridSpan w:val="1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Use of Proceeds</w:t>
              </w:r>
            </w:hyperlink>
          </w:p>
        </w:tc>
        <w:tc>
          <w:tcPr>
            <w:tcW w:w="4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1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Ratio of Earnings to Fixed Charges</w:t>
              </w:r>
            </w:hyperlink>
          </w:p>
        </w:tc>
        <w:tc>
          <w:tcPr>
            <w:tcW w:w="4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1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Senior Debt Securities</w:t>
              </w:r>
            </w:hyperlink>
          </w:p>
        </w:tc>
        <w:tc>
          <w:tcPr>
            <w:tcW w:w="4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Global Securities</w:t>
              </w:r>
            </w:hyperlink>
          </w:p>
        </w:tc>
        <w:tc>
          <w:tcPr>
            <w:tcW w:w="4260" w:type="dxa"/>
            <w:vAlign w:val="bottom"/>
            <w:gridSpan w:val="5"/>
          </w:tcPr>
          <w:p>
            <w:pPr>
              <w:spacing w:after="0"/>
              <w:rPr>
                <w:sz w:val="17"/>
                <w:szCs w:val="17"/>
                <w:color w:val="auto"/>
              </w:rPr>
            </w:pPr>
          </w:p>
        </w:tc>
        <w:tc>
          <w:tcPr>
            <w:tcW w:w="4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1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Plan of Distribution</w:t>
              </w:r>
            </w:hyperlink>
          </w:p>
        </w:tc>
        <w:tc>
          <w:tcPr>
            <w:tcW w:w="4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Legal Matters</w:t>
              </w:r>
            </w:hyperlink>
          </w:p>
        </w:tc>
        <w:tc>
          <w:tcPr>
            <w:tcW w:w="5500" w:type="dxa"/>
            <w:vAlign w:val="bottom"/>
            <w:gridSpan w:val="10"/>
          </w:tcPr>
          <w:p>
            <w:pPr>
              <w:spacing w:after="0"/>
              <w:rPr>
                <w:sz w:val="17"/>
                <w:szCs w:val="17"/>
                <w:color w:val="auto"/>
              </w:rPr>
            </w:pPr>
          </w:p>
        </w:tc>
        <w:tc>
          <w:tcPr>
            <w:tcW w:w="4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Experts</w:t>
              </w:r>
            </w:hyperlink>
          </w:p>
        </w:tc>
        <w:tc>
          <w:tcPr>
            <w:tcW w:w="5920" w:type="dxa"/>
            <w:vAlign w:val="bottom"/>
            <w:gridSpan w:val="14"/>
          </w:tcPr>
          <w:p>
            <w:pPr>
              <w:spacing w:after="0"/>
              <w:rPr>
                <w:sz w:val="17"/>
                <w:szCs w:val="17"/>
                <w:color w:val="auto"/>
              </w:rPr>
            </w:pPr>
          </w:p>
        </w:tc>
        <w:tc>
          <w:tcPr>
            <w:tcW w:w="4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1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Available Information</w:t>
              </w:r>
            </w:hyperlink>
          </w:p>
        </w:tc>
        <w:tc>
          <w:tcPr>
            <w:tcW w:w="4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Incorporation of Certain Documents by Reference</w:t>
              </w:r>
            </w:hyperlink>
          </w:p>
        </w:tc>
        <w:tc>
          <w:tcPr>
            <w:tcW w:w="3360" w:type="dxa"/>
            <w:vAlign w:val="bottom"/>
            <w:gridSpan w:val="3"/>
          </w:tcPr>
          <w:p>
            <w:pPr>
              <w:spacing w:after="0"/>
              <w:rPr>
                <w:sz w:val="17"/>
                <w:szCs w:val="17"/>
                <w:color w:val="auto"/>
              </w:rPr>
            </w:pPr>
          </w:p>
        </w:tc>
        <w:tc>
          <w:tcPr>
            <w:tcW w:w="4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not, and the underwriters have not, authorized anyone to provide any information other than that contained or incorporated by reference in this prospectus supplement and the accompanying prospectus or any free writing prospectus prepared by or on behalf of us or to which we have referred you. We and the underwriters take no responsibility for, and can provide no assurance as to the reliability of, any other information that others may give you.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any free writing prospectus prepared by or on behalf of us or to which we have referred you and the documents incorporated by reference herein or therein is accurate only as of their respective dates. Our business, financial condition, results of operations and prospects may have changed since those dates.</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32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51327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PROSPECTUS SUPPLEMENT SUMMARY</w:t>
      </w:r>
    </w:p>
    <w:p>
      <w:pPr>
        <w:spacing w:after="0" w:line="17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We are one of the world’s leading media and entertainment companies. We develop, produce and distribute entertainment, news and information, sports and other content for global audiences, and we own and operate a diversified and integrated portfolio of some of the most recognizable media brands in the world.</w:t>
      </w:r>
    </w:p>
    <w:p>
      <w:pPr>
        <w:spacing w:after="0" w:line="140" w:lineRule="exact"/>
        <w:rPr>
          <w:sz w:val="20"/>
          <w:szCs w:val="20"/>
          <w:color w:val="auto"/>
        </w:rPr>
      </w:pPr>
    </w:p>
    <w:p>
      <w:pPr>
        <w:ind w:left="200" w:firstLine="443"/>
        <w:spacing w:after="0" w:line="254" w:lineRule="auto"/>
        <w:rPr>
          <w:sz w:val="20"/>
          <w:szCs w:val="20"/>
          <w:color w:val="auto"/>
        </w:rPr>
      </w:pPr>
      <w:r>
        <w:rPr>
          <w:rFonts w:ascii="Arial" w:cs="Arial" w:eastAsia="Arial" w:hAnsi="Arial"/>
          <w:sz w:val="18"/>
          <w:szCs w:val="18"/>
          <w:color w:val="auto"/>
        </w:rPr>
        <w:t>On January 28, 2011, Comcast Corporation (“Comcast”) closed its transaction (the “Joint Venture Transaction”) with General Electric Company (“GE”) to form a new company named NBCUniversal, LLC (“NBCUniversal Holdings”). Comcast now controls and owns 51% of NBCUniversal Holdings and GE owns the remaining 49%. As part of the Joint Venture Transaction, NBC Universal, Inc. (our “Predecessor”) was converted into a limited liability company named NBCUniversal Media, LLC (“NBCUniversal”), which is a wholly owned subsidiary of NBCUniversal Holdings. Comcast contributed to NBCUniversal its national cable networks, its regional sports and news networks, certain of its Internet businesses and other related assets (the “Comcast Content Business”).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report our operations as the following four reportable business segments:</w:t>
      </w:r>
    </w:p>
    <w:p>
      <w:pPr>
        <w:spacing w:after="0" w:line="84" w:lineRule="exact"/>
        <w:rPr>
          <w:sz w:val="20"/>
          <w:szCs w:val="20"/>
          <w:color w:val="auto"/>
        </w:rPr>
      </w:pPr>
    </w:p>
    <w:p>
      <w:pPr>
        <w:ind w:left="1060" w:right="160" w:hanging="323"/>
        <w:spacing w:after="0" w:line="275"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our national cable television networks, our regional sports and news networks, our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our cable television production studio, and our related digital media properties.</w:t>
      </w:r>
    </w:p>
    <w:p>
      <w:pPr>
        <w:spacing w:after="0" w:line="38" w:lineRule="exact"/>
        <w:rPr>
          <w:rFonts w:ascii="Arial" w:cs="Arial" w:eastAsia="Arial" w:hAnsi="Arial"/>
          <w:sz w:val="18"/>
          <w:szCs w:val="18"/>
          <w:color w:val="auto"/>
        </w:rPr>
      </w:pPr>
    </w:p>
    <w:p>
      <w:pPr>
        <w:ind w:left="1060" w:right="300" w:hanging="323"/>
        <w:spacing w:after="0" w:line="275"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our NBC and Telemundo broadcast networks, our NBC and Telemundo owned local television</w:t>
      </w:r>
      <w:r>
        <w:rPr>
          <w:rFonts w:ascii="Arial" w:cs="Arial" w:eastAsia="Arial" w:hAnsi="Arial"/>
          <w:sz w:val="18"/>
          <w:szCs w:val="18"/>
          <w:b w:val="1"/>
          <w:bCs w:val="1"/>
          <w:color w:val="auto"/>
        </w:rPr>
        <w:t xml:space="preserve"> </w:t>
      </w:r>
      <w:r>
        <w:rPr>
          <w:rFonts w:ascii="Arial" w:cs="Arial" w:eastAsia="Arial" w:hAnsi="Arial"/>
          <w:sz w:val="18"/>
          <w:szCs w:val="18"/>
          <w:color w:val="auto"/>
        </w:rPr>
        <w:t>stations, our broadcast television production operations, and our related digital media properties.</w:t>
      </w:r>
    </w:p>
    <w:p>
      <w:pPr>
        <w:spacing w:after="0" w:line="38" w:lineRule="exact"/>
        <w:rPr>
          <w:rFonts w:ascii="Arial" w:cs="Arial" w:eastAsia="Arial" w:hAnsi="Arial"/>
          <w:sz w:val="18"/>
          <w:szCs w:val="18"/>
          <w:color w:val="auto"/>
        </w:rPr>
      </w:pPr>
    </w:p>
    <w:p>
      <w:pPr>
        <w:ind w:left="1060" w:right="920" w:hanging="323"/>
        <w:spacing w:after="0" w:line="275"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of the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and stage plays worldwide.</w:t>
      </w:r>
    </w:p>
    <w:p>
      <w:pPr>
        <w:spacing w:after="0" w:line="38"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and Hollywood.</w:t>
      </w:r>
    </w:p>
    <w:p>
      <w:pPr>
        <w:spacing w:after="0" w:line="177" w:lineRule="exact"/>
        <w:rPr>
          <w:sz w:val="20"/>
          <w:szCs w:val="20"/>
          <w:color w:val="auto"/>
        </w:rPr>
      </w:pPr>
    </w:p>
    <w:p>
      <w:pPr>
        <w:ind w:left="200" w:right="20" w:firstLine="443"/>
        <w:spacing w:after="0" w:line="306"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our other filings incorporated by reference in this prospectus, see “Available Information” in this prospectus.</w:t>
      </w:r>
    </w:p>
    <w:p>
      <w:pPr>
        <w:spacing w:after="0" w:line="215" w:lineRule="exact"/>
        <w:rPr>
          <w:sz w:val="20"/>
          <w:szCs w:val="20"/>
          <w:color w:val="auto"/>
        </w:rPr>
      </w:pPr>
    </w:p>
    <w:p>
      <w:pPr>
        <w:ind w:left="200" w:right="240" w:firstLine="443"/>
        <w:spacing w:after="0" w:line="259" w:lineRule="auto"/>
        <w:rPr>
          <w:sz w:val="20"/>
          <w:szCs w:val="20"/>
          <w:color w:val="auto"/>
        </w:rPr>
      </w:pPr>
      <w:r>
        <w:rPr>
          <w:rFonts w:ascii="Arial" w:cs="Arial" w:eastAsia="Arial" w:hAnsi="Arial"/>
          <w:sz w:val="18"/>
          <w:szCs w:val="18"/>
          <w:color w:val="auto"/>
        </w:rPr>
        <w:t>Our principal executive offices are located at 30 Rockefeller Plaza, New York, NY, 10112-0015, and our telephone number is (212) 664-4444. Our parent company maintains a website at www.comcast.com where general information about us is available. We are not incorporating the contents of the website into this prospectus.</w:t>
      </w:r>
    </w:p>
    <w:p>
      <w:pPr>
        <w:spacing w:after="0" w:line="29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Recent Developments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On August 22, 2012, A&amp;E Television Networks, LLC completed its redemption of our entire 15.8% equity interest for $3.025 billion in cash.</w:t>
      </w:r>
    </w:p>
    <w:p>
      <w:pPr>
        <w:spacing w:after="0" w:line="3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120" w:type="dxa"/>
            <w:vAlign w:val="bottom"/>
            <w:tcBorders>
              <w:top w:val="single" w:sz="8" w:color="auto"/>
              <w:left w:val="single" w:sz="8" w:color="auto"/>
            </w:tcBorders>
          </w:tcPr>
          <w:p>
            <w:pPr>
              <w:spacing w:after="0"/>
              <w:rPr>
                <w:sz w:val="24"/>
                <w:szCs w:val="24"/>
                <w:color w:val="auto"/>
              </w:rPr>
            </w:pPr>
          </w:p>
        </w:tc>
        <w:tc>
          <w:tcPr>
            <w:tcW w:w="8340" w:type="dxa"/>
            <w:vAlign w:val="bottom"/>
            <w:tcBorders>
              <w:top w:val="single" w:sz="8" w:color="auto"/>
              <w:right w:val="single" w:sz="8" w:color="auto"/>
            </w:tcBorders>
          </w:tcPr>
          <w:p>
            <w:pPr>
              <w:ind w:left="2120"/>
              <w:spacing w:after="0"/>
              <w:rPr>
                <w:sz w:val="20"/>
                <w:szCs w:val="20"/>
                <w:color w:val="auto"/>
              </w:rPr>
            </w:pPr>
            <w:r>
              <w:rPr>
                <w:rFonts w:ascii="Arial" w:cs="Arial" w:eastAsia="Arial" w:hAnsi="Arial"/>
                <w:sz w:val="18"/>
                <w:szCs w:val="18"/>
                <w:b w:val="1"/>
                <w:bCs w:val="1"/>
                <w:color w:val="auto"/>
              </w:rPr>
              <w:t>The Offering</w:t>
            </w:r>
          </w:p>
        </w:tc>
      </w:tr>
      <w:tr>
        <w:trPr>
          <w:trHeight w:val="419"/>
        </w:trPr>
        <w:tc>
          <w:tcPr>
            <w:tcW w:w="3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Issuer</w:t>
            </w: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NBCUniversal Media, LLC.</w:t>
            </w:r>
          </w:p>
        </w:tc>
      </w:tr>
      <w:tr>
        <w:trPr>
          <w:trHeight w:val="304"/>
        </w:trPr>
        <w:tc>
          <w:tcPr>
            <w:tcW w:w="3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Securities Offered</w:t>
            </w: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8"/>
              </w:rPr>
              <w:t>$1,000,000,000 aggregate principal amount of 2.875% Senior Notes due 2023 (the “2023</w:t>
            </w:r>
          </w:p>
        </w:tc>
      </w:tr>
      <w:tr>
        <w:trPr>
          <w:trHeight w:val="222"/>
        </w:trPr>
        <w:tc>
          <w:tcPr>
            <w:tcW w:w="3120" w:type="dxa"/>
            <w:vAlign w:val="bottom"/>
            <w:tcBorders>
              <w:left w:val="single" w:sz="8" w:color="auto"/>
            </w:tcBorders>
          </w:tcPr>
          <w:p>
            <w:pPr>
              <w:spacing w:after="0"/>
              <w:rPr>
                <w:sz w:val="19"/>
                <w:szCs w:val="19"/>
                <w:color w:val="auto"/>
              </w:rPr>
            </w:pP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Notes”).</w:t>
            </w:r>
          </w:p>
        </w:tc>
      </w:tr>
      <w:tr>
        <w:trPr>
          <w:trHeight w:val="291"/>
        </w:trPr>
        <w:tc>
          <w:tcPr>
            <w:tcW w:w="3120" w:type="dxa"/>
            <w:vAlign w:val="bottom"/>
            <w:tcBorders>
              <w:left w:val="single" w:sz="8" w:color="auto"/>
            </w:tcBorders>
          </w:tcPr>
          <w:p>
            <w:pPr>
              <w:spacing w:after="0"/>
              <w:rPr>
                <w:sz w:val="24"/>
                <w:szCs w:val="24"/>
                <w:color w:val="auto"/>
              </w:rPr>
            </w:pP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8"/>
              </w:rPr>
              <w:t>$1,000,000,000 aggregate principal amount of 4.450% Senior Notes due 2043 (the “2043</w:t>
            </w:r>
          </w:p>
        </w:tc>
      </w:tr>
      <w:tr>
        <w:trPr>
          <w:trHeight w:val="222"/>
        </w:trPr>
        <w:tc>
          <w:tcPr>
            <w:tcW w:w="3120" w:type="dxa"/>
            <w:vAlign w:val="bottom"/>
            <w:tcBorders>
              <w:left w:val="single" w:sz="8" w:color="auto"/>
            </w:tcBorders>
          </w:tcPr>
          <w:p>
            <w:pPr>
              <w:spacing w:after="0"/>
              <w:rPr>
                <w:sz w:val="19"/>
                <w:szCs w:val="19"/>
                <w:color w:val="auto"/>
              </w:rPr>
            </w:pP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Notes”).</w:t>
            </w:r>
          </w:p>
        </w:tc>
      </w:tr>
      <w:tr>
        <w:trPr>
          <w:trHeight w:val="297"/>
        </w:trPr>
        <w:tc>
          <w:tcPr>
            <w:tcW w:w="3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Maturity</w:t>
            </w: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The 2023 Notes will mature on January 15, 2023.</w:t>
            </w:r>
          </w:p>
        </w:tc>
      </w:tr>
      <w:tr>
        <w:trPr>
          <w:trHeight w:val="311"/>
        </w:trPr>
        <w:tc>
          <w:tcPr>
            <w:tcW w:w="3120" w:type="dxa"/>
            <w:vAlign w:val="bottom"/>
            <w:tcBorders>
              <w:left w:val="single" w:sz="8" w:color="auto"/>
            </w:tcBorders>
          </w:tcPr>
          <w:p>
            <w:pPr>
              <w:spacing w:after="0"/>
              <w:rPr>
                <w:sz w:val="24"/>
                <w:szCs w:val="24"/>
                <w:color w:val="auto"/>
              </w:rPr>
            </w:pP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The 2043 Notes will mature on January 15, 2043.</w:t>
            </w:r>
          </w:p>
        </w:tc>
      </w:tr>
      <w:tr>
        <w:trPr>
          <w:trHeight w:val="291"/>
        </w:trPr>
        <w:tc>
          <w:tcPr>
            <w:tcW w:w="3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Interest Payment Dates</w:t>
            </w: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3"/>
              </w:rPr>
              <w:t>Interest on the 2023 Notes will accrue at the rate of 2.875% per year, payable semi-annually in</w:t>
            </w:r>
          </w:p>
        </w:tc>
      </w:tr>
      <w:tr>
        <w:trPr>
          <w:trHeight w:val="222"/>
        </w:trPr>
        <w:tc>
          <w:tcPr>
            <w:tcW w:w="3120" w:type="dxa"/>
            <w:vAlign w:val="bottom"/>
            <w:tcBorders>
              <w:left w:val="single" w:sz="8" w:color="auto"/>
            </w:tcBorders>
          </w:tcPr>
          <w:p>
            <w:pPr>
              <w:spacing w:after="0"/>
              <w:rPr>
                <w:sz w:val="19"/>
                <w:szCs w:val="19"/>
                <w:color w:val="auto"/>
              </w:rPr>
            </w:pP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cash in arrears on January 15 and July 15, beginning on January 15, 2013.</w:t>
            </w:r>
          </w:p>
        </w:tc>
      </w:tr>
      <w:tr>
        <w:trPr>
          <w:trHeight w:val="291"/>
        </w:trPr>
        <w:tc>
          <w:tcPr>
            <w:tcW w:w="3120" w:type="dxa"/>
            <w:vAlign w:val="bottom"/>
            <w:tcBorders>
              <w:left w:val="single" w:sz="8" w:color="auto"/>
            </w:tcBorders>
          </w:tcPr>
          <w:p>
            <w:pPr>
              <w:spacing w:after="0"/>
              <w:rPr>
                <w:sz w:val="24"/>
                <w:szCs w:val="24"/>
                <w:color w:val="auto"/>
              </w:rPr>
            </w:pP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3"/>
              </w:rPr>
              <w:t>Interest on the 2043 Notes will accrue at the rate of 4.450% per year, payable semi-annually in</w:t>
            </w:r>
          </w:p>
        </w:tc>
      </w:tr>
      <w:tr>
        <w:trPr>
          <w:trHeight w:val="222"/>
        </w:trPr>
        <w:tc>
          <w:tcPr>
            <w:tcW w:w="3120" w:type="dxa"/>
            <w:vAlign w:val="bottom"/>
            <w:tcBorders>
              <w:left w:val="single" w:sz="8" w:color="auto"/>
            </w:tcBorders>
          </w:tcPr>
          <w:p>
            <w:pPr>
              <w:spacing w:after="0"/>
              <w:rPr>
                <w:sz w:val="19"/>
                <w:szCs w:val="19"/>
                <w:color w:val="auto"/>
              </w:rPr>
            </w:pP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cash in arrears on January 15 and July 15, beginning on January 15, 2013.</w:t>
            </w:r>
          </w:p>
        </w:tc>
      </w:tr>
      <w:tr>
        <w:trPr>
          <w:trHeight w:val="291"/>
        </w:trPr>
        <w:tc>
          <w:tcPr>
            <w:tcW w:w="3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Ranking</w:t>
            </w: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6"/>
              </w:rPr>
              <w:t>The notes will be our unsecured senior obligations and will rank equally with all of our other</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2"/>
              </w:rPr>
              <w:t>existing and future unsecured senior indebtedness. We conduct many of our operations through</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3"/>
              </w:rPr>
              <w:t>subsidiaries that own a significant percentage of our consolidated assets. Our ability to transfer</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4"/>
              </w:rPr>
              <w:t>assets to any of our existing and future subsidiaries, which will not guarantee the notes, is not</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5"/>
              </w:rPr>
              <w:t>limited by the terms of the indenture and the notes. All indebtedness and liabilities (including</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3"/>
              </w:rPr>
              <w:t>trade payables) of our subsidiaries will be structurally senior to the notes, and the notes will be</w:t>
            </w:r>
          </w:p>
        </w:tc>
      </w:tr>
      <w:tr>
        <w:trPr>
          <w:trHeight w:val="222"/>
        </w:trPr>
        <w:tc>
          <w:tcPr>
            <w:tcW w:w="3120" w:type="dxa"/>
            <w:vAlign w:val="bottom"/>
            <w:tcBorders>
              <w:left w:val="single" w:sz="8" w:color="auto"/>
            </w:tcBorders>
          </w:tcPr>
          <w:p>
            <w:pPr>
              <w:spacing w:after="0"/>
              <w:rPr>
                <w:sz w:val="19"/>
                <w:szCs w:val="19"/>
                <w:color w:val="auto"/>
              </w:rPr>
            </w:pP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effectively subordinated to our and our subsidiaries’ secured indebtedness, if any.</w:t>
            </w:r>
          </w:p>
        </w:tc>
      </w:tr>
      <w:tr>
        <w:trPr>
          <w:trHeight w:val="291"/>
        </w:trPr>
        <w:tc>
          <w:tcPr>
            <w:tcW w:w="3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We may redeem some or all of the notes of any series at any time at the “make-whole”</w:t>
            </w:r>
          </w:p>
        </w:tc>
      </w:tr>
      <w:tr>
        <w:trPr>
          <w:trHeight w:val="222"/>
        </w:trPr>
        <w:tc>
          <w:tcPr>
            <w:tcW w:w="3120" w:type="dxa"/>
            <w:vAlign w:val="bottom"/>
            <w:tcBorders>
              <w:left w:val="single" w:sz="8" w:color="auto"/>
            </w:tcBorders>
          </w:tcPr>
          <w:p>
            <w:pPr>
              <w:spacing w:after="0"/>
              <w:rPr>
                <w:sz w:val="19"/>
                <w:szCs w:val="19"/>
                <w:color w:val="auto"/>
              </w:rPr>
            </w:pP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redemption prices indicated under “Description of the Notes—Optional Redemption.”</w:t>
            </w:r>
          </w:p>
        </w:tc>
      </w:tr>
      <w:tr>
        <w:trPr>
          <w:trHeight w:val="291"/>
        </w:trPr>
        <w:tc>
          <w:tcPr>
            <w:tcW w:w="3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We intend to use a portion of the net proceeds from this offering for the redemption on</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3"/>
              </w:rPr>
              <w:t>November 15, 2012 of the Universal City Development Partners, Ltd. and UCDP Finance, Inc.</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2"/>
              </w:rPr>
              <w:t>(together, “Universal Orlando”) 8.875% senior notes due November 2015 ($260 million principal</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5"/>
              </w:rPr>
              <w:t>amount outstanding) and 10.875% senior subordinated notes due November 2016 ($146.25</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4"/>
              </w:rPr>
              <w:t>million principal amount outstanding). We intend to use the proceeds in excess of the amount</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1"/>
              </w:rPr>
              <w:t>used to redeem the Universal Orlando notes for working capital and general corporate purposes,</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6"/>
              </w:rPr>
              <w:t>which may include funding a portion of the anticipated future redemptions of GE’s interest in</w:t>
            </w:r>
          </w:p>
        </w:tc>
      </w:tr>
      <w:tr>
        <w:trPr>
          <w:trHeight w:val="222"/>
        </w:trPr>
        <w:tc>
          <w:tcPr>
            <w:tcW w:w="3120" w:type="dxa"/>
            <w:vAlign w:val="bottom"/>
            <w:tcBorders>
              <w:left w:val="single" w:sz="8" w:color="auto"/>
            </w:tcBorders>
          </w:tcPr>
          <w:p>
            <w:pPr>
              <w:spacing w:after="0"/>
              <w:rPr>
                <w:sz w:val="19"/>
                <w:szCs w:val="19"/>
                <w:color w:val="auto"/>
              </w:rPr>
            </w:pP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NBCUniversal Holdings.</w:t>
            </w:r>
          </w:p>
        </w:tc>
      </w:tr>
      <w:tr>
        <w:trPr>
          <w:trHeight w:val="291"/>
        </w:trPr>
        <w:tc>
          <w:tcPr>
            <w:tcW w:w="3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Book Entry</w:t>
            </w: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6"/>
              </w:rPr>
              <w:t>The notes will be issued in the form of one or more fully registered global securities, without</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7"/>
              </w:rPr>
              <w:t>coupons, in denominations of $2,000 in principal amount and multiples of $1,000 in excess</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2"/>
              </w:rPr>
              <w:t>thereof. These global notes will be deposited with the trustee as custodian for, and registered in</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the name of, a nominee of The Depository Trust Company (“DTC”). Except in the limited</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7"/>
              </w:rPr>
              <w:t>circumstances described under “Description of the Notes—Book-Entry; Delivery and Form;</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5"/>
              </w:rPr>
              <w:t>Global Note,” notes in certificated form will not be issued or exchanged for interests in global</w:t>
            </w:r>
          </w:p>
        </w:tc>
      </w:tr>
      <w:tr>
        <w:trPr>
          <w:trHeight w:val="222"/>
        </w:trPr>
        <w:tc>
          <w:tcPr>
            <w:tcW w:w="3120" w:type="dxa"/>
            <w:vAlign w:val="bottom"/>
            <w:tcBorders>
              <w:left w:val="single" w:sz="8" w:color="auto"/>
            </w:tcBorders>
          </w:tcPr>
          <w:p>
            <w:pPr>
              <w:spacing w:after="0"/>
              <w:rPr>
                <w:sz w:val="19"/>
                <w:szCs w:val="19"/>
                <w:color w:val="auto"/>
              </w:rPr>
            </w:pPr>
          </w:p>
        </w:tc>
        <w:tc>
          <w:tcPr>
            <w:tcW w:w="8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securities.</w:t>
            </w:r>
          </w:p>
        </w:tc>
      </w:tr>
      <w:tr>
        <w:trPr>
          <w:trHeight w:val="161"/>
        </w:trPr>
        <w:tc>
          <w:tcPr>
            <w:tcW w:w="3120" w:type="dxa"/>
            <w:vAlign w:val="bottom"/>
            <w:tcBorders>
              <w:left w:val="single" w:sz="8" w:color="auto"/>
              <w:bottom w:val="single" w:sz="8" w:color="auto"/>
            </w:tcBorders>
          </w:tcPr>
          <w:p>
            <w:pPr>
              <w:spacing w:after="0"/>
              <w:rPr>
                <w:sz w:val="13"/>
                <w:szCs w:val="13"/>
                <w:color w:val="auto"/>
              </w:rPr>
            </w:pPr>
          </w:p>
        </w:tc>
        <w:tc>
          <w:tcPr>
            <w:tcW w:w="8340" w:type="dxa"/>
            <w:vAlign w:val="bottom"/>
            <w:tcBorders>
              <w:bottom w:val="single" w:sz="8" w:color="auto"/>
              <w:right w:val="single" w:sz="8" w:color="auto"/>
            </w:tcBorders>
          </w:tcPr>
          <w:p>
            <w:pPr>
              <w:spacing w:after="0"/>
              <w:rPr>
                <w:sz w:val="13"/>
                <w:szCs w:val="13"/>
                <w:color w:val="auto"/>
              </w:rPr>
            </w:pPr>
          </w:p>
        </w:tc>
      </w:tr>
      <w:tr>
        <w:trPr>
          <w:trHeight w:val="359"/>
        </w:trPr>
        <w:tc>
          <w:tcPr>
            <w:tcW w:w="3120" w:type="dxa"/>
            <w:vAlign w:val="bottom"/>
          </w:tcPr>
          <w:p>
            <w:pPr>
              <w:spacing w:after="0"/>
              <w:rPr>
                <w:sz w:val="24"/>
                <w:szCs w:val="24"/>
                <w:color w:val="auto"/>
              </w:rPr>
            </w:pPr>
          </w:p>
        </w:tc>
        <w:tc>
          <w:tcPr>
            <w:tcW w:w="8340" w:type="dxa"/>
            <w:vAlign w:val="bottom"/>
          </w:tcPr>
          <w:p>
            <w:pPr>
              <w:ind w:left="248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460"/>
          </w:cols>
          <w:pgMar w:left="240" w:top="459" w:right="1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supplement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2011, filed on February 23,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Reports on Form 10-Q for the three months ended March 31, 2012 and the six months ended June 30, 2012;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10, 2012.</w:t>
      </w:r>
    </w:p>
    <w:p>
      <w:pPr>
        <w:spacing w:after="0" w:line="171"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We also incorporate by reference into this prospectus supplement additional documents that we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30 Rockefeller Plaza, New York, NY, 10112-0015, (212) 664-4444.</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intend to use a portion of the net proceeds from this offering for the redemption on November 15, 2012 of the Universal City Development Partners, Ltd. and UCDP Finance, Inc. (together, “Universal Orlando”) 8.875% senior notes due November 2015 ($260 million principal amount outstanding) and 10.875% senior subordinated notes due November 2016 ($146.25 million principal amount outstanding). We intend to use the proceeds in excess of the amount used to redeem the Universal Orlando notes for working capital and general corporate purposes, which may include funding a portion of the anticipated future redemptions of GE’s interest in NBCUniversal Holdings.</w:t>
      </w:r>
    </w:p>
    <w:p>
      <w:pPr>
        <w:spacing w:after="0" w:line="29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our historical ratio of earnings to fixed charges for each of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4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89"/>
              </w:rPr>
              <w:t>NBCUniversal</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gridSpan w:val="5"/>
          </w:tcPr>
          <w:p>
            <w:pPr>
              <w:jc w:val="center"/>
              <w:ind w:left="6"/>
              <w:spacing w:after="0"/>
              <w:rPr>
                <w:sz w:val="20"/>
                <w:szCs w:val="20"/>
                <w:color w:val="auto"/>
              </w:rPr>
            </w:pPr>
            <w:r>
              <w:rPr>
                <w:rFonts w:ascii="Arial" w:cs="Arial" w:eastAsia="Arial" w:hAnsi="Arial"/>
                <w:sz w:val="14"/>
                <w:szCs w:val="14"/>
                <w:b w:val="1"/>
                <w:bCs w:val="1"/>
                <w:color w:val="auto"/>
                <w:w w:val="89"/>
              </w:rPr>
              <w:t>NBC Universal, Inc.</w:t>
            </w: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2"/>
          </w:tcPr>
          <w:p>
            <w:pPr>
              <w:jc w:val="center"/>
              <w:ind w:right="568"/>
              <w:spacing w:after="0" w:line="142" w:lineRule="exact"/>
              <w:rPr>
                <w:sz w:val="20"/>
                <w:szCs w:val="20"/>
                <w:color w:val="auto"/>
              </w:rPr>
            </w:pPr>
            <w:r>
              <w:rPr>
                <w:rFonts w:ascii="Arial" w:cs="Arial" w:eastAsia="Arial" w:hAnsi="Arial"/>
                <w:sz w:val="14"/>
                <w:szCs w:val="14"/>
                <w:b w:val="1"/>
                <w:bCs w:val="1"/>
                <w:color w:val="auto"/>
                <w:w w:val="79"/>
              </w:rPr>
              <w:t>Successor</w:t>
            </w:r>
          </w:p>
        </w:tc>
        <w:tc>
          <w:tcPr>
            <w:tcW w:w="1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gridSpan w:val="3"/>
          </w:tcPr>
          <w:p>
            <w:pPr>
              <w:jc w:val="center"/>
              <w:ind w:right="400"/>
              <w:spacing w:after="0" w:line="142" w:lineRule="exact"/>
              <w:rPr>
                <w:sz w:val="20"/>
                <w:szCs w:val="20"/>
                <w:color w:val="auto"/>
              </w:rPr>
            </w:pPr>
            <w:r>
              <w:rPr>
                <w:rFonts w:ascii="Arial" w:cs="Arial" w:eastAsia="Arial" w:hAnsi="Arial"/>
                <w:sz w:val="14"/>
                <w:szCs w:val="14"/>
                <w:b w:val="1"/>
                <w:bCs w:val="1"/>
                <w:color w:val="auto"/>
                <w:w w:val="80"/>
              </w:rPr>
              <w:t>Predecessor</w:t>
            </w:r>
          </w:p>
        </w:tc>
        <w:tc>
          <w:tcPr>
            <w:tcW w:w="4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For the Period</w:t>
            </w:r>
          </w:p>
        </w:tc>
        <w:tc>
          <w:tcPr>
            <w:tcW w:w="14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Six Months</w:t>
            </w:r>
          </w:p>
        </w:tc>
        <w:tc>
          <w:tcPr>
            <w:tcW w:w="40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January 29,</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For the Period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1160" w:type="dxa"/>
            <w:vAlign w:val="bottom"/>
          </w:tcPr>
          <w:p>
            <w:pPr>
              <w:spacing w:after="0"/>
              <w:rPr>
                <w:sz w:val="6"/>
                <w:szCs w:val="6"/>
                <w:color w:val="auto"/>
              </w:rPr>
            </w:pPr>
          </w:p>
        </w:tc>
        <w:tc>
          <w:tcPr>
            <w:tcW w:w="3220" w:type="dxa"/>
            <w:vAlign w:val="bottom"/>
          </w:tcPr>
          <w:p>
            <w:pPr>
              <w:spacing w:after="0"/>
              <w:rPr>
                <w:sz w:val="6"/>
                <w:szCs w:val="6"/>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400" w:type="dxa"/>
            <w:vAlign w:val="bottom"/>
          </w:tcPr>
          <w:p>
            <w:pPr>
              <w:spacing w:after="0"/>
              <w:rPr>
                <w:sz w:val="6"/>
                <w:szCs w:val="6"/>
                <w:color w:val="auto"/>
              </w:rPr>
            </w:pPr>
          </w:p>
        </w:tc>
        <w:tc>
          <w:tcPr>
            <w:tcW w:w="980" w:type="dxa"/>
            <w:vAlign w:val="bottom"/>
            <w:tcBorders>
              <w:right w:val="single" w:sz="8" w:color="auto"/>
            </w:tcBorders>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2011 to</w:t>
            </w:r>
          </w:p>
        </w:tc>
        <w:tc>
          <w:tcPr>
            <w:tcW w:w="360" w:type="dxa"/>
            <w:vAlign w:val="bottom"/>
          </w:tcPr>
          <w:p>
            <w:pPr>
              <w:spacing w:after="0"/>
              <w:rPr>
                <w:sz w:val="6"/>
                <w:szCs w:val="6"/>
                <w:color w:val="auto"/>
              </w:rPr>
            </w:pPr>
          </w:p>
        </w:tc>
        <w:tc>
          <w:tcPr>
            <w:tcW w:w="1340" w:type="dxa"/>
            <w:vAlign w:val="bottom"/>
            <w:gridSpan w:val="2"/>
            <w:vMerge w:val="restart"/>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January 1 to</w:t>
            </w:r>
          </w:p>
        </w:tc>
        <w:tc>
          <w:tcPr>
            <w:tcW w:w="3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880" w:type="dxa"/>
            <w:vAlign w:val="bottom"/>
            <w:tcBorders>
              <w:bottom w:val="single" w:sz="8" w:color="auto"/>
            </w:tcBorders>
            <w:gridSpan w:val="4"/>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160" w:type="dxa"/>
            <w:vAlign w:val="bottom"/>
          </w:tcPr>
          <w:p>
            <w:pPr>
              <w:spacing w:after="0"/>
              <w:rPr>
                <w:sz w:val="4"/>
                <w:szCs w:val="4"/>
                <w:color w:val="auto"/>
              </w:rPr>
            </w:pPr>
          </w:p>
        </w:tc>
        <w:tc>
          <w:tcPr>
            <w:tcW w:w="32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Borders>
              <w:right w:val="single" w:sz="8" w:color="auto"/>
            </w:tcBorders>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40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January 28,</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2012</w:t>
            </w:r>
          </w:p>
        </w:tc>
        <w:tc>
          <w:tcPr>
            <w:tcW w:w="1240" w:type="dxa"/>
            <w:vAlign w:val="bottom"/>
            <w:gridSpan w:val="2"/>
          </w:tcPr>
          <w:p>
            <w:pPr>
              <w:jc w:val="center"/>
              <w:ind w:left="352"/>
              <w:spacing w:after="0"/>
              <w:rPr>
                <w:sz w:val="20"/>
                <w:szCs w:val="20"/>
                <w:color w:val="auto"/>
              </w:rPr>
            </w:pPr>
            <w:r>
              <w:rPr>
                <w:rFonts w:ascii="Arial" w:cs="Arial" w:eastAsia="Arial" w:hAnsi="Arial"/>
                <w:sz w:val="14"/>
                <w:szCs w:val="14"/>
                <w:b w:val="1"/>
                <w:bCs w:val="1"/>
                <w:color w:val="auto"/>
                <w:w w:val="83"/>
              </w:rPr>
              <w:t>2011</w:t>
            </w:r>
          </w:p>
        </w:tc>
        <w:tc>
          <w:tcPr>
            <w:tcW w:w="14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48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4"/>
                <w:szCs w:val="14"/>
                <w:color w:val="auto"/>
              </w:rPr>
            </w:pPr>
          </w:p>
        </w:tc>
        <w:tc>
          <w:tcPr>
            <w:tcW w:w="84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460" w:type="dxa"/>
            <w:vAlign w:val="bottom"/>
          </w:tcPr>
          <w:p>
            <w:pPr>
              <w:jc w:val="right"/>
              <w:ind w:right="22"/>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460" w:type="dxa"/>
            <w:vAlign w:val="bottom"/>
          </w:tcPr>
          <w:p>
            <w:pPr>
              <w:jc w:val="right"/>
              <w:ind w:right="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6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2"/>
              </w:rPr>
              <w:t>4.3x</w:t>
            </w:r>
          </w:p>
        </w:tc>
        <w:tc>
          <w:tcPr>
            <w:tcW w:w="4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2"/>
              </w:rPr>
              <w:t>4.8x</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2"/>
              </w:rPr>
              <w:t>NM</w:t>
            </w:r>
          </w:p>
        </w:tc>
        <w:tc>
          <w:tcPr>
            <w:tcW w:w="4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2"/>
              </w:rPr>
              <w:t>6.7x</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16.9x</w:t>
            </w: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16.7x</w:t>
            </w: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21.5x</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purposes of calculating these ratios, the term “earnings” consists of income before income taxes and noncontrolling interests, less net unconsolidated affiliates’ interests, plus fixed charges (excluding capitalized interest). The term “fixed charges” consists of interest expense, the amortization of debt issuance costs and an estimate of interest as a component of rental expense.</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NOTES</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offering $1,000,000,000 aggregate principal amount of our 2.875% Senior Notes due 2023 and $1,000,000,000 aggregate principal amount of our 4.450% Senior Notes due 2043. The notes will be issued under an indenture, dated as of April 30, 2010, among us and The Bank of New York Mellon, as trustee. The notes will be our unsecured senior obligations and will rank equally with all of our other existing and future unsecured senior indebtedness.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(the “Additional Notes”). Additional Notes of such series will be consolidated with and form a single series with the notes then outstanding of such series. Copies of the indenture and the form of notes are available from us upon request.</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Senior Debt Securities,” is a summary of the material provisions of the indenture and the notes. Because this is a summary, it may not contain all the information that is important to you. For further information, you should read the notes and the indenture.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 rank equally with all of our other existing and future unsecured senior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$2,000,000,000, comprised as follows:</w:t>
      </w:r>
    </w:p>
    <w:p>
      <w:pPr>
        <w:spacing w:after="0" w:line="90" w:lineRule="exact"/>
        <w:rPr>
          <w:rFonts w:ascii="Arial" w:cs="Arial" w:eastAsia="Arial" w:hAnsi="Arial"/>
          <w:sz w:val="18"/>
          <w:szCs w:val="18"/>
          <w:color w:val="auto"/>
        </w:rPr>
      </w:pPr>
    </w:p>
    <w:p>
      <w:pPr>
        <w:ind w:left="1480" w:right="220" w:hanging="446"/>
        <w:spacing w:after="0" w:line="357" w:lineRule="auto"/>
        <w:tabs>
          <w:tab w:leader="none" w:pos="1480" w:val="left"/>
        </w:tabs>
        <w:numPr>
          <w:ilvl w:val="1"/>
          <w:numId w:val="4"/>
        </w:numPr>
        <w:rPr>
          <w:rFonts w:ascii="Arial" w:cs="Arial" w:eastAsia="Arial" w:hAnsi="Arial"/>
          <w:sz w:val="15"/>
          <w:szCs w:val="15"/>
          <w:color w:val="auto"/>
        </w:rPr>
      </w:pPr>
      <w:r>
        <w:rPr>
          <w:rFonts w:ascii="Arial" w:cs="Arial" w:eastAsia="Arial" w:hAnsi="Arial"/>
          <w:sz w:val="15"/>
          <w:szCs w:val="15"/>
          <w:color w:val="auto"/>
        </w:rPr>
        <w:t>$1,000,000,000 initial aggregate principal amount of 2.875% Senior Notes due 2023, maturing on January 15, 2023, with interest payable semiannually on each January 15 and July 15, beginning January 15, 2013, to holders of record on the preceding January 1 and July 1;</w:t>
      </w:r>
    </w:p>
    <w:p>
      <w:pPr>
        <w:jc w:val="both"/>
        <w:ind w:left="1480" w:right="160" w:hanging="446"/>
        <w:spacing w:after="0" w:line="357" w:lineRule="auto"/>
        <w:tabs>
          <w:tab w:leader="none" w:pos="1480" w:val="left"/>
        </w:tabs>
        <w:numPr>
          <w:ilvl w:val="1"/>
          <w:numId w:val="4"/>
        </w:numPr>
        <w:rPr>
          <w:rFonts w:ascii="Arial" w:cs="Arial" w:eastAsia="Arial" w:hAnsi="Arial"/>
          <w:sz w:val="15"/>
          <w:szCs w:val="15"/>
          <w:color w:val="auto"/>
        </w:rPr>
      </w:pPr>
      <w:r>
        <w:rPr>
          <w:rFonts w:ascii="Arial" w:cs="Arial" w:eastAsia="Arial" w:hAnsi="Arial"/>
          <w:sz w:val="15"/>
          <w:szCs w:val="15"/>
          <w:color w:val="auto"/>
        </w:rPr>
        <w:t>$1,000,000,000 initial aggregate principal amount of 4.450% Senior Notes due 2043, maturing on January 15, 2043, with interest payable semiannually on each January 15 and July 15, beginning January 15, 2013, to holders of record on the preceding January 1 and July 1; and</w:t>
      </w: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$2,000 and in multiples of $1,000 in excess thereof.</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does not limit our ability to incur additional unsecured indebtedness, and does not restrict the ability of our subsidiaries to incur additional unsecured or secured indebtedness. The notes will be unsecured and unsubordinated obligations and will rank pari passu with our existing and future unsecured and unsubordinated indebtedness. We conduct many of our operations through subsidiaries that own a significant percentage of our consolidated assets. The notes will be structurally subordinated to all indebtedness and liabilities (including trade payables) of our subsidiaries. The notes will be effectively subordinated to our secured indebtedness, if any. As of June 30, 2012,</w:t>
      </w:r>
    </w:p>
    <w:p>
      <w:pPr>
        <w:spacing w:after="0" w:line="62"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had $9.7 billion of total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had no secured indebtedness to which the notes would be effectively subordinated (excluding $14 million of secured debt of subsidiaries);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together with our consolidated subsidiaries, had $20.2 billion of total liabilities; and</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subsidiaries had $9.7 billion of liabilities (including trade payables but excluding intercompany debt) to which the notes would be structurally subordinated.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Notes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may, without the consent of the holders, increase the principal amount of the notes of any series by issuing Additional Notes of the same series in the future on the same terms and conditions as the notes of such series, except for any differences in the issue price and, if applicable, the initial interest accrual date and interest payment date; provided that the Additional Notes are fungible with the notes of such series offered hereby for U.S. federal income tax purposes. The Additional Notes will have the same CUSIP number as the notes of the applicable series. Under the indenture, the notes of any series and any Additional Notes of such series we may issue in the future will be treated as a single series for all purposes under the indenture, including for purposes of determining whether the required percentage of the holders of record of the notes of such series has given approval or consent to an amendment or waiver or joined in directing the trustee to take certain actions on behalf of all holders of the notes of such series.</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also may, without the consent of the holders, issue other series of debt securities under the indenture (including the Additional Notes discussed in this prospectus) in the future on terms and conditions different from the notes offered hereby.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notes will be redeemable, in whole or in part at any time, or from time to time, at our option, at a “make-whole premium” redemption price calculated by us equal to the greater of:</w:t>
      </w:r>
    </w:p>
    <w:p>
      <w:pPr>
        <w:spacing w:after="0" w:line="5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90" w:lineRule="exact"/>
        <w:rPr>
          <w:rFonts w:ascii="Arial" w:cs="Arial" w:eastAsia="Arial" w:hAnsi="Arial"/>
          <w:sz w:val="18"/>
          <w:szCs w:val="18"/>
          <w:color w:val="auto"/>
        </w:rPr>
      </w:pPr>
    </w:p>
    <w:p>
      <w:pPr>
        <w:ind w:left="900" w:right="120" w:hanging="446"/>
        <w:spacing w:after="0" w:line="290"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Treasury Rate (as defined below), plus a “make-whole spread” of 20 basis points for the 2.875% Senior Notes due 2023 and 25 basis points for the 4.450% Senior Notes due 2043, plus, in each case, accrued interest thereon to the redemption date. Notwithstanding the foregoing, installments of interest on notes that are due and payable on interest payment dates falling on or prior to a redemption date for such notes will be payable on the interest payment date to the registered holders as of the close of business on the relevant record date according to such notes and the indenture.</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“Comparable Treasury Issue” means the United States Treasury security or securities selected by an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such notes.</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“Comparable Treasury Price” means, with respect to any redemption date, (a) the average of the Reference Treasury Dealer Quotations for such redemption date, after excluding the highest and lowest such Reference Treasury Dealer Quotations or (b) if the Independent Investment Banker obtains fewer than three such Reference Treasury Dealer Quotations, the average of all such quotations.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“Reference Treasury Dealer” means (a) each of Credit Suisse Securities (USA) LLC, J.P. Morgan Securities LLC, Morgan Stanley &amp; Co. LLC and RBC Capital Markets, LLC or their affiliates which are primary U.S. government securities dealers, and their respective successors; provided, however, that if any of the foregoing shall cease to be a primary U.S. government securities dealer (a “Primary Treasury Dealer”), we will substitute therefor another Primary Treasury Dealer and (b) any other Primary Treasury Dealer selected by us.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average, as determined by the Independent Investment Banker, of the bid and asked prices for the applicable Comparable Treasury Issue (expressed as a percentage of its principal amount) quoted in writing to the Independent Investment Banker by such Reference Treasury Dealer at 3:30 p.m. New York time on the third business day preceding such redemption date.</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applicable Comparable Treasury Issue, assuming a price for such Comparable Treasury Issue (expressed as a percentage of its principal amount) equal to the applicable Comparable Treasury Price for such redemption date.</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Notice of any redemption will be distributed at least 30 days but not more than 60 days before the redemption date to each holder of the notes to be redeemed. Unless we default in payment of the redemption price, on and after the redemption date, interest will cease to accrue on the notes of the series or portions thereof called for redemption. If less than all of the notes of a series are to be redeemed, the notes of such series to be redeemed shall be selected by the trustee by a method the trustee deems to be fair and appropriate. No notes of a principal amount of $2,000 or less will be redeemed in part. In addition, at any time we may repurchase notes in the open market and may hold or surrender such notes to the trustee for cancellation.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entitled to any sinking fund.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Principal and Interest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covenant to pay the principal of and interest on the notes when due and in the manner provided in the notes and the indenture. As used in the indenture and in this “Description of the Notes,” the term “principal” will be deemed to include “and premium, if any.”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Consolidation, Merger or Sale of Assets</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will not consolidate or combine with or merge with or into or, directly or indirectly, sell, assign, 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59" w:lineRule="exact"/>
        <w:rPr>
          <w:sz w:val="20"/>
          <w:szCs w:val="20"/>
          <w:color w:val="auto"/>
        </w:rPr>
      </w:pPr>
    </w:p>
    <w:p>
      <w:pPr>
        <w:ind w:left="900" w:right="26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9"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notes and the indenture, and will execute a supplemental indenture, in a form satisfactory to the trustee, which will be delivered to the trustee;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 and</w:t>
      </w:r>
    </w:p>
    <w:p>
      <w:pPr>
        <w:spacing w:after="0" w:line="113" w:lineRule="exact"/>
        <w:rPr>
          <w:rFonts w:ascii="Arial" w:cs="Arial" w:eastAsia="Arial" w:hAnsi="Arial"/>
          <w:sz w:val="16"/>
          <w:szCs w:val="16"/>
          <w:color w:val="auto"/>
        </w:rPr>
      </w:pPr>
    </w:p>
    <w:p>
      <w:pPr>
        <w:ind w:left="900" w:right="40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900" w:right="3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 (or similar provision of our state of incorporation).</w:t>
      </w:r>
    </w:p>
    <w:p>
      <w:pPr>
        <w:spacing w:after="0" w:line="13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our assets occurs in accordance with the indenture, the successor person will succeed to, and be substituted for, and may exercise every right and power of ours under the indenture with the same effect as if such successor person had been named in our place in the indenture. We will (except in the case of a lease) be discharged from all obligations and covenants under the indenture and any notes issued thereunder.</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Existence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Except as permitted under “—Consolidation, Merger and Sale of Assets,” the indenture requires us to do or cause to be done all things 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Information</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To the extent we are not subject to the reporting requirements of Section 13 or 15(d) of the Exchange Act (the “Reporting Requirements”) or do not otherwise report on an annual and quarterly basis on forms provided for such annual and quarterly reporting pursuant to rules and regulations promulgated by the SEC, we will be required to make available to the trustee and the registered holders, without cost to any holder, within 90 days following our fiscal year end and within 45 days following our first, second and third fiscal quarter ends, the annual and quarterly financial statements that would be required to be filed with the SEC on Forms 10-K and 10-Q (were our company subject to the Reporting Requirements) along with a “Management’s Discussion and Analysis of Financial Condition and Results of Operations” (“MD&amp;A”) and, with respect to annual financial statements, a report thereon by an independent registered public accounting firm, in each case in a manner that complies in all material respects with the requirements specified in such form for such financial statements and MD&amp;A.</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we have electronically filed with the SEC’s Next-Generation EDGAR system (or any successor system), the reports described above, we shall be deemed to have satisfied the foregoing requirements.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event all series of notes are unconditionally guaranteed in full by a person subject to the Reporting Requirements, the foregoing requirements will be deemed satisfied by such guarantor filing any document or report that such guarantor is required to file with the SEC pursuant to Section 13 or 15(d) of the Exchange Act.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Negative Covenants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to the covenants set forth above, the following additional covenants shall apply to the notes. These covenants do not limit our ability to incur indebtedness and apply only to us.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Limitation on Liens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With respect to the notes, we will not create or incur any Lien on any of our Properties, whether now owned or hereafter acquired, in order to secure any of our Indebtedness, without effectively providing that the notes shall be equally and ratably secured until such time as such Indebtedness is no longer secured by such Lien, except:</w:t>
      </w:r>
    </w:p>
    <w:p>
      <w:pPr>
        <w:spacing w:after="0" w:line="59"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notes;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notes, created in favor of the holders of the notes;</w:t>
      </w:r>
    </w:p>
    <w:p>
      <w:pPr>
        <w:spacing w:after="0" w:line="90"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Liens securing Indebtedness which are incurred to extend, renew or refinance Indebtedness which is secured by Liens permitted to be incurred under clause (a), (b) and this clause (c) of this covenant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Notwithstanding the foregoing, we may, without securing the notes, create or incur Liens which would otherwise be subject to the restrictions set forth in the preceding paragraph, if after giving effect thereto, Aggregate Debt does not exceed the greater of (a) 15% of Consolidated Net Worth calculated as of the date of the creation or incurrence of the Lien and (b) 15% of Consolidated Net Worth calculated as of the date of initial issuance of the notes; provided that Liens created or incurred pursuant to this paragraph may be extended, renewed or replaced so long as the amount of Indebtedness secured is not increased (other than by the amount equal to any costs and expenses (including any premiums, fees or penalties) incurred in connection therewith) and such refinancing Indebtedness, if then outstanding, is included in subsequent calculations of Aggregate Debt.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Limitation on Sale and Lease-Back Transactions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With respect to the notes, we will not enter into any sale and lease-back transaction for the sale and leasing back of any Property, whether now owned or hereafter acquired, unless:</w:t>
      </w:r>
    </w:p>
    <w:p>
      <w:pPr>
        <w:spacing w:after="0" w:line="5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notes;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us of any Property by one of our Subsidiaries;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90" w:lineRule="exact"/>
        <w:rPr>
          <w:rFonts w:ascii="Arial" w:cs="Arial" w:eastAsia="Arial" w:hAnsi="Arial"/>
          <w:sz w:val="18"/>
          <w:szCs w:val="18"/>
          <w:color w:val="auto"/>
        </w:rPr>
      </w:pPr>
    </w:p>
    <w:p>
      <w:pPr>
        <w:jc w:val="both"/>
        <w:ind w:left="900" w:right="32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would be entitled to incur Indebtedness secured by a mortgage on the Property to be leased in an amount equal to the Attributable Liens with respect to such sale and lease-back transaction without equally and ratably securing the notes pursuant to the first paragraph of “—Limitation on Liens” above; or</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apply an amount equal to the fair value of the Property sold to the purchase of Property or to the retirement of our long-term Indebtedness within 365 days of the effective date of any such sale and lease-back transaction. In lieu of applying such amount to such retirement, we may deliver notes to the trustee therefor for cancellation, such notes to be credited at the cost thereof to us.</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Notwithstanding the foregoing, we may enter into any sale lease-back transaction which would otherwise be subject to the foregoing restrictions with respect to the notes if after giving effect thereto and at the time 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determination, Aggregate Debt does not exceed the greater of (a) 15% of Consolidated Net Worth calculated as of the closing date of the sale and lease-back transaction and (b) 15% of Consolidated Net Worth calculated as of the date of initial issuance of the notes.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Certain Definitions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“Aggregate Debt” means the sum of the following as of the date of determination:</w:t>
      </w:r>
    </w:p>
    <w:p>
      <w:pPr>
        <w:spacing w:after="0" w:line="90" w:lineRule="exact"/>
        <w:rPr>
          <w:sz w:val="20"/>
          <w:szCs w:val="20"/>
          <w:color w:val="auto"/>
        </w:rPr>
      </w:pPr>
    </w:p>
    <w:p>
      <w:pPr>
        <w:ind w:left="900" w:right="14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aggregate principal amount of our Indebtedness incurred after the date of initial issuance of the notes and secured by Liens not permitted by the first sentence under “—Limitation on Liens;” and</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Attributable Liens in respect of sale and lease-back transactions entered into after the date of the initial issuance of the notes pursuant to the second paragraph of “—Limitation on Sale and Lease-Back Transactions.”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“Attributable Liens” means in connection with a sale and lease-back transaction the lesser of:</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and</w:t>
      </w:r>
    </w:p>
    <w:p>
      <w:pPr>
        <w:spacing w:after="0" w:line="90"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debt securities issued under the indenture determined on a weighted average basis and compounded semi-annually) of the obligations of the lessee for rental payments during the term of the related lease.</w:t>
      </w:r>
    </w:p>
    <w:p>
      <w:pPr>
        <w:spacing w:after="0" w:line="14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“Capital Lease” means any Indebtedness represented by a lease obligation of a Person incurred with respect to real property or equipment acquired or leased by such Person and used in its business that is required to be recorded as a capital lease in accordance with GAAP.</w:t>
      </w:r>
    </w:p>
    <w:p>
      <w:pPr>
        <w:spacing w:after="0" w:line="85"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“Consolidated Net Worth” means, as of any date of determination, our stockholders’ equity or members’ capital as reflected on the most recent consolidated balance sheet available to holders and prepared in accordance with GAAP.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“GAAP”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indenture shall be computed in conformity with GAAP applied on a consistent basis.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“Hedging Obligations” means, with respect to any specified Person, the obligations of such Person under:</w:t>
      </w:r>
    </w:p>
    <w:p>
      <w:pPr>
        <w:spacing w:after="0" w:line="90" w:lineRule="exact"/>
        <w:rPr>
          <w:sz w:val="20"/>
          <w:szCs w:val="20"/>
          <w:color w:val="auto"/>
        </w:rPr>
      </w:pPr>
    </w:p>
    <w:p>
      <w:pPr>
        <w:ind w:left="900" w:right="22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interest rate lock agreements and interest rate collar agreements;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or commodity prices;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such Person against fluctuations in equity prices.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“Indebtedness”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“Lien” means any lien, security interest, charge or encumbrance of any kind (including any conditional sale or other title retention agreement, any lease in the nature thereof, and any agreement to give any security interest).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Liens” means:</w:t>
      </w:r>
    </w:p>
    <w:p>
      <w:pPr>
        <w:spacing w:after="0" w:line="90" w:lineRule="exact"/>
        <w:rPr>
          <w:sz w:val="20"/>
          <w:szCs w:val="20"/>
          <w:color w:val="auto"/>
        </w:rPr>
      </w:pPr>
    </w:p>
    <w:p>
      <w:pPr>
        <w:ind w:left="900" w:right="34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on any of our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59" w:lineRule="exact"/>
        <w:rPr>
          <w:rFonts w:ascii="Arial" w:cs="Arial" w:eastAsia="Arial" w:hAnsi="Arial"/>
          <w:sz w:val="18"/>
          <w:szCs w:val="18"/>
          <w:color w:val="auto"/>
        </w:rPr>
      </w:pPr>
    </w:p>
    <w:p>
      <w:pPr>
        <w:ind w:left="900" w:hanging="446"/>
        <w:spacing w:after="0" w:line="253"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us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66"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our books in conformity with GAAP;</w:t>
      </w:r>
    </w:p>
    <w:p>
      <w:pPr>
        <w:spacing w:after="0" w:line="5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50" w:lineRule="exact"/>
        <w:rPr>
          <w:rFonts w:ascii="Arial" w:cs="Arial" w:eastAsia="Arial" w:hAnsi="Arial"/>
          <w:sz w:val="18"/>
          <w:szCs w:val="18"/>
          <w:color w:val="auto"/>
        </w:rPr>
      </w:pPr>
    </w:p>
    <w:p>
      <w:pPr>
        <w:ind w:left="900" w:right="80" w:hanging="446"/>
        <w:spacing w:after="0" w:line="30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us from fluctuations in interest rates, currencies, equities or the price of commodities;</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in our favor;</w:t>
      </w:r>
    </w:p>
    <w:p>
      <w:pPr>
        <w:spacing w:after="0" w:line="90" w:lineRule="exact"/>
        <w:rPr>
          <w:rFonts w:ascii="Arial" w:cs="Arial" w:eastAsia="Arial" w:hAnsi="Arial"/>
          <w:sz w:val="18"/>
          <w:szCs w:val="18"/>
          <w:color w:val="auto"/>
        </w:rPr>
      </w:pPr>
    </w:p>
    <w:p>
      <w:pPr>
        <w:ind w:left="900" w:right="26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we are a party as lessee, provided the aggregate value of all such pledges and deposits in connection with any such lease does not at any time exceed 16 2/3% of the annual fixed rentals payable under such lease;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our statutory obligations in the ordinary course of our business;</w:t>
      </w:r>
    </w:p>
    <w:p>
      <w:pPr>
        <w:spacing w:after="0" w:line="9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we are a party in the ordinary course of our business, but not in excess of $25,000,000;</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secured thereby does not exceed $300,000,000 at any one time;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securing Specified Non-Recourse Debt;</w:t>
      </w:r>
    </w:p>
    <w:p>
      <w:pPr>
        <w:spacing w:after="0" w:line="90"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“Person”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means any property or asset, whether real, personal or mixed, or tangible or intangible, including shares of capital stock.</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“Specified Non-Recourse Debt” means any account or trade receivable factoring, securitization, sale or financing facility, the obligations of which are non-recourse (except with respect to customary representations, warranties, covenants and indemnities made in connection with such facility) to us.</w:t>
      </w:r>
    </w:p>
    <w:p>
      <w:pPr>
        <w:spacing w:after="0" w:line="8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will constitute an “Event of Default” in the indenture with respect to the notes:</w:t>
      </w:r>
    </w:p>
    <w:p>
      <w:pPr>
        <w:spacing w:after="0" w:line="9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default in paying interest on the notes when it becomes due and the default continues for a period of 30 days or more;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default in paying principal on the notes when due;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335"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default in the performance, or breach, of any covenant in the indenture (other than defaults specified in clause (a) and (b) above) and the default or breach continues for a period of 90 days or more after we receive written notice from the trustee or we and the trustee receive notice from the holders of at least 25% in aggregate principal amount of the notes of all affected series outstanding under the indenture (voting together as a single class);</w:t>
      </w:r>
    </w:p>
    <w:p>
      <w:pPr>
        <w:spacing w:after="0" w:line="7" w:lineRule="exact"/>
        <w:rPr>
          <w:rFonts w:ascii="Arial" w:cs="Arial" w:eastAsia="Arial" w:hAnsi="Arial"/>
          <w:sz w:val="15"/>
          <w:szCs w:val="15"/>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events of bankruptcy, insolvency, reorganization, administration or similar proceedings with respect to us have occurred.</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an Event of Default (other than an Event of Default specified in clause (d) above) under the indenture occurs and is continuing, then the trustee may and, at the direction of the holders of at least 25% in aggregate principal amount of the notes of all affected series and the debt securities of all other affected series outstanding under the indenture (voting together as a single class), will by written notice, require us to repay immediately the entire principal amount of the outstanding notes of each affected series, together with all accrued and unpaid interest.</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If an Event of Default under the indenture specified in clause (d) occurs and is continuing, then the entire principal amount of the outstanding notes will automatically become due immediately and payable without any declaration or other act on the part of the trustee or any holder.</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After a declaration of acceleration or any automatic acceleration under clause (d) described above, the holders of a majority in principal amount of the outstanding notes of any series (each such series voting as a separate class) may rescind this accelerated payment requirement with respect to the notes of such series if all existing Events of Default with respect to the notes of such series, except for nonpayment of the principal and interest on the notes of such series that has become due solely as a result of the accelerated payment requirement, have been cured or waived and if the rescission of acceleration would not conflict with any judgment or decree and if all sums paid or advanced by the trustee under the indenture and the reasonable compensation, expenses, disbursements and advances of the trustee and its agents and counsel have been paid.</w:t>
      </w:r>
    </w:p>
    <w:p>
      <w:pPr>
        <w:spacing w:after="0" w:line="12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holders of a majority in principal amount of the notes of all affected series and the debt securities of all other affected series outstanding under the indenture (voting together as a single class) also have the right to waive past defaults, except a default in paying principal or interest on any outstanding note of such series, or in respect of a covenant or a provision that cannot be modified or amended without the consent of all holders of the notes of such series.</w:t>
      </w:r>
    </w:p>
    <w:p>
      <w:pPr>
        <w:spacing w:after="0" w:line="107"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The holders of at least 25% in aggregate principal amount of the notes of all affected series and the debt securities of all other affected series outstanding under the indenture (voting together as a single class) may seek to institute a proceeding only after they have made written request, and offered indemnity as the trustee may reasonably require, to the trustee to institute a proceeding and the trustee has failed to do so within 60 days after it received this notice. In addition, within this 60-day period the trustee must not have received directions inconsistent with this written request by holders of a majority in principal amount of the notes of all affected series and the debt securities of all other affected series then outstanding. These limitations do not apply, however, to a suit instituted by a holder of the notes of any affected series for the enforcement of the payment of principal or, interest on or after the due dates for such payment.</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notes, the trustee is required to exercise the rights and powers vested in it under the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as the trustee may reasonably require. Subject to certain provisions, the holders of a majority in aggregate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principal amount of the notes of all affected series and the debt securities of all other affected series outstanding under the indenture (voting together as a single class) have the right to direct the time, method and place of conducting any proceeding for any remedy available to the trustee, or exercising any trust, or power conferred on the trustee.</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trustee will, within 90 days after any default occurs with respect to the notes of any series, give notice of the default to the holders of the notes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40"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indenture within 120 days of the end of each fiscal year.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and the trustee may amend or modify the indenture or the notes of any series without notice to or the consent of any holder of notes in order to:</w:t>
      </w:r>
    </w:p>
    <w:p>
      <w:pPr>
        <w:spacing w:after="0" w:line="113"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cure ambiguities, omissions, defects or inconsistencies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notes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notes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secure the notes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the form or forms of notes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for uncertificated notes in addition to or in place of certificated notes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obligations to holders of any outstanding notes in compliance with the provisions of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the Notes”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Other amendments and modifications of the indenture or the notes of any series may be made with the consent of the holders of not less than a majority in aggregate principal amount of the notes of all series outstanding under the indenture that are affected by the amendment or modification (voting together as a single class), and our compliance with any provision of the indenture with respect to the notes of any series issued under the indenture may be waived by written notice to us and the trustee by the holders of a majority in aggregate principal amount of the notes of all series outstanding under the indenture that are affected by the waiver (voting together as a single class). However, no modification or amendment may, without the consent of the holder of such affected notes or other debt security:</w:t>
      </w:r>
    </w:p>
    <w:p>
      <w:pPr>
        <w:spacing w:after="0" w:line="63" w:lineRule="exact"/>
        <w:rPr>
          <w:sz w:val="20"/>
          <w:szCs w:val="20"/>
          <w:color w:val="auto"/>
        </w:rPr>
      </w:pPr>
    </w:p>
    <w:p>
      <w:pPr>
        <w:ind w:left="900" w:right="1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notes of such series or alter or waive the redemption provisions of the notes of such series</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 the right of any holder of the notes of such series to receive payment of principal or interest on the notes of such series on and after the due dates for such principal or interest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notes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notes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waive a payment default with respect to the notes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notes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adversely affect the ranking of the notes of such series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Satisfaction, Discharge and Covenant Defeasance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terminate our obligations under the indenture with respect to the notes, when:</w:t>
      </w:r>
    </w:p>
    <w:p>
      <w:pPr>
        <w:spacing w:after="0" w:line="9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the notes of such series that have been authenticated and delivered have been canceled or delivered to the trustee for cancellation; or</w:t>
      </w:r>
    </w:p>
    <w:p>
      <w:pPr>
        <w:spacing w:after="0" w:line="113" w:lineRule="exact"/>
        <w:rPr>
          <w:rFonts w:ascii="Arial" w:cs="Arial" w:eastAsia="Arial" w:hAnsi="Arial"/>
          <w:sz w:val="16"/>
          <w:szCs w:val="16"/>
          <w:color w:val="auto"/>
        </w:rPr>
      </w:pPr>
    </w:p>
    <w:p>
      <w:pPr>
        <w:ind w:left="1480" w:right="60" w:hanging="446"/>
        <w:spacing w:after="0" w:line="294" w:lineRule="auto"/>
        <w:tabs>
          <w:tab w:leader="none" w:pos="14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the notes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notes of such series to pay principal, interest and any premium;</w:t>
      </w:r>
    </w:p>
    <w:p>
      <w:pPr>
        <w:spacing w:after="0" w:line="34"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have paid or caused to be paid all other sums then due and payable under the indenture with respect to the notes of such series; and</w:t>
      </w:r>
    </w:p>
    <w:p>
      <w:pPr>
        <w:spacing w:after="0" w:line="113" w:lineRule="exact"/>
        <w:rPr>
          <w:rFonts w:ascii="Arial" w:cs="Arial" w:eastAsia="Arial" w:hAnsi="Arial"/>
          <w:sz w:val="16"/>
          <w:szCs w:val="16"/>
          <w:color w:val="auto"/>
        </w:rPr>
      </w:pPr>
    </w:p>
    <w:p>
      <w:pPr>
        <w:ind w:left="900" w:right="48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each stating that all conditions precedent under the indenture relating to the satisfaction and discharge of the indenture with respect to the notes of such series have been complied with.</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may elect to have our obligations under the indenture discharged with respect to the notes (“legal defeasance”). Legal defeasance means that we will be deemed to have paid and discharged the entire indebtedness represented by the notes of a series, except for:</w:t>
      </w:r>
    </w:p>
    <w:p>
      <w:pPr>
        <w:spacing w:after="0" w:line="5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rights of holders of the notes of such series to receive principal or interest when due;</w:t>
      </w:r>
    </w:p>
    <w:p>
      <w:pPr>
        <w:spacing w:after="0" w:line="9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obligations with respect to the notes of such series concerning issuing temporary notes, registration of transfer of notes, substitution of mutilated, destroyed, lost or stolen notes and the maintenance of an office or agency for payment of the notes of such series;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we may elect to have our obligations released with respect to certain covenants in the indenture (“covenant defeasance”). Any failure to comply with these obligations will not constitute a default or an Event of Default with respect to the notes of a series. In the event covenant defeasance occurs, certain events, not including nonpayment, bankruptcy and insolvency events, described under “—Events of Default” will no longer constitute an Event of Default for that series.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 with respect to outstanding notes of any series:</w:t>
      </w:r>
    </w:p>
    <w:p>
      <w:pPr>
        <w:spacing w:after="0" w:line="90" w:lineRule="exact"/>
        <w:rPr>
          <w:sz w:val="20"/>
          <w:szCs w:val="20"/>
          <w:color w:val="auto"/>
        </w:rPr>
      </w:pPr>
    </w:p>
    <w:p>
      <w:pPr>
        <w:ind w:left="900" w:right="440" w:hanging="325"/>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notes of such series:</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U.S. government obligations;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 combination of cash and U.S. government obligations, the scheduled payments of principal and interest on which shall be in an amount;</w:t>
      </w:r>
    </w:p>
    <w:p>
      <w:pPr>
        <w:spacing w:after="0" w:line="113"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900" w:right="60" w:hanging="325"/>
        <w:spacing w:after="0" w:line="256"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case of legal defeasance, we have delivered to the trustee an opinion of counsel stating that, as a result of an Internal Revenue Service (“IRS”) ruling or a change in applicable federal income tax law, the holders of the notes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62" w:lineRule="exact"/>
        <w:rPr>
          <w:rFonts w:ascii="Arial" w:cs="Arial" w:eastAsia="Arial" w:hAnsi="Arial"/>
          <w:sz w:val="18"/>
          <w:szCs w:val="18"/>
          <w:color w:val="auto"/>
        </w:rPr>
      </w:pPr>
    </w:p>
    <w:p>
      <w:pPr>
        <w:jc w:val="both"/>
        <w:ind w:left="900" w:hanging="325"/>
        <w:spacing w:after="0" w:line="306"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the case of covenant defeasance, we have delivered to the trustee an opinion of counsel to the effect that the holders of the notes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25" w:lineRule="exact"/>
        <w:rPr>
          <w:rFonts w:ascii="Arial" w:cs="Arial" w:eastAsia="Arial" w:hAnsi="Arial"/>
          <w:sz w:val="16"/>
          <w:szCs w:val="16"/>
          <w:color w:val="auto"/>
        </w:rPr>
      </w:pPr>
    </w:p>
    <w:p>
      <w:pPr>
        <w:ind w:left="900" w:right="40" w:hanging="325"/>
        <w:spacing w:after="0" w:line="298"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 default with respect to the outstanding notes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31"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notes of such series were in default within the meaning of such Act;</w:t>
      </w:r>
    </w:p>
    <w:p>
      <w:pPr>
        <w:spacing w:after="0" w:line="5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or any other material agreement or instrument to which we are a party;</w:t>
      </w:r>
    </w:p>
    <w:p>
      <w:pPr>
        <w:spacing w:after="0" w:line="59" w:lineRule="exact"/>
        <w:rPr>
          <w:rFonts w:ascii="Arial" w:cs="Arial" w:eastAsia="Arial" w:hAnsi="Arial"/>
          <w:sz w:val="18"/>
          <w:szCs w:val="18"/>
          <w:color w:val="auto"/>
        </w:rPr>
      </w:pPr>
    </w:p>
    <w:p>
      <w:pPr>
        <w:ind w:left="900" w:right="440" w:hanging="325"/>
        <w:spacing w:after="0" w:line="357" w:lineRule="auto"/>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ind w:left="900" w:right="2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Book Entry; Delivery and Form; Global Note</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notes will be issued in the form of one or more fully registered Global Notes (“Global Notes”) without interest coupons which will be deposited with, or on behalf of DTC, New York, New York, and registered in the name of Cede &amp; Co., as nominee of DTC, for the accounts of participants in DTC. Unless and until exchanged, in whole or in part, for notes in definitive registered form, a Global Note may not be transferred except as a whole (a) by the depositary for such Global Note to a nominee of such depositary, (b) by a nominee of such depositary to such depositary or another nominee of such depositary or (c) by such depositary or any such nominee to a successor of such depositary or a nominee of such successor.</w:t>
      </w:r>
    </w:p>
    <w:p>
      <w:pPr>
        <w:spacing w:after="0" w:line="116"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société anonyme (“Clearstream”), to the extent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Upon the issuance of a registered Global Note, the depositary will credit, on its book-entry registration and transfer system, the participants’ accounts with the respective principal or face amounts of the notes beneficially owned by the participants. Any dealers, initial purchasers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So long as the depositary, or its nominee, is the registered owner of a registered Global Note, that depositary or its nominee, as the case may be, will be considered the sole owner or holder of the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jurisdictions may require that some purchasers of notes take physical delivery of these notes in definitive form. Such laws may impair the ability to transfer beneficial interests in a Global Note. In addition, because DTC can act only on behalf of its participants, who in turn act on behalf of persons who hold interests through such participants, the ability of a person holding a beneficial interest in a registered Global Note to pledge or transfer that interest to persons or entities that do not participate in DTC’s system, or to otherwise take actions in respect of that interest, may be affected by the lack of a definitive note in respect of that interest.</w:t>
      </w:r>
    </w:p>
    <w:p>
      <w:pPr>
        <w:spacing w:after="0" w:line="12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1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will make payments due on the notes to Cede &amp; Co., as nominee of DTC, in immediately available funds. DTC’s practice upon receipt of any payment of principal, premium, interest or other distribution of underlying securities or other property to holders of that registered Global Note, is to immediately credit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our responsibility. Disbursement of such payments to direct participants is the responsibility of Cede &amp; Co. Disbursement of such payments to the beneficial owners is the responsibility of direct and indirect participants. None of us,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Transfers between participants in DTC will be effected in accordance with DTC’s procedures. Transfers between participants in Euroclear and Clearstream will be effected in the ordinary way in accordance with their respective rules and operating procedures.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Cross-market transfers between persons holding directly or indirectly through participants in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2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expect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Although we expect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we nor the trustee will have any responsibility for the performance by DTC, Euroclear or Clearstream or their participants or indirect participants of their respective obligations under the rules and procedures governing their operations.</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the depositary for any of the notes represented by a registered Global Note is at any time unwilling or unable to continue as depositary or ceases to be a clearing agency registered under the Exchange Act, and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successor depositary registered as a clearing agency under the Exchange Act is not appointed by us within 90 days, we will issue notes in definitive form in exchange for the registered Global Note that had been held by the depositary. 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we may at any time determine that the notes of any series shall no longer be represented by a Global Note and will issue notes in definitive form in exchange for such Global Note pursuant to the procedure described above, subject to the procedures of the depositary.</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 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initial purchasers,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4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information in this section concerning DTC and DTC’s book-entry system, as well as information regarding Euroclear and Clearstream, has been obtained from sources that we believe to be reliable, but we take no responsibility for its accuracy or completeness. We assume no responsibility for the performance by DTC, Euroclear, Clearstream or their respective participants of their respective obligations, including obligations that they have under the rules and procedures that govern their operations.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Notices to holders of the notes will be made by first class mail, postage prepaid, to the addresses that appear on the security register of the notes.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Unclaimed Funds</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All funds deposited with the trustee or any paying agent for the payment of principal or interest in respect of the notes that remain unclaimed for two years after such principal or interest will have become due and payable will be repaid to us upon our request. Thereafter, any right of any noteholder to such funds shall be enforceable only against us, and the trustee and paying agents will have no liability therefor.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notes or because of the creation of any indebtedness represented thereby, against any incorporator, stockholder, officer, director, or employee of ours or of any successor person thereof under any law, statute or constitutional provision or by the enforcement of any assessment or by any legal or equitable proceeding or otherwise. Each holder, by accepting the notes, waives and releases all such liability.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notes will be governed by and construed in accordance with the laws of the State of New York.</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maintain ordinary banking relationships and credit facilities with affiliates of the trustee. Gerald L. Hassell, one of Comcast’s directors, is the Chief Executive Officer and President and a director of the trustee.</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are the material U.S. federal income tax consequences to Non-U.S. Holders (as defined below) of owning and disposing of notes purchased in this offering at the “issue price,” which we assume will be the price indicated on the cover of this prospectus supplement, and held as capital assets for U.S. federal income tax purposes.</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This discussion does not describe all of the tax consequences that may be relevant to you in light of your particular circumstances, including alternative minimum tax consequences and differing tax consequences applicable to you if you are, for instance:</w:t>
      </w:r>
    </w:p>
    <w:p>
      <w:pPr>
        <w:spacing w:after="0" w:line="51"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dealer or trader in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holding notes as part of a “straddle” or integrated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your partners will generally depend on the status of the partners and your activities.</w:t>
      </w:r>
    </w:p>
    <w:p>
      <w:pPr>
        <w:spacing w:after="0" w:line="132"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This summary is based on the Internal Revenue Code of 1986, as amended to the date hereof, administrative pronouncements, judicial decisions and final, temporary and proposed Treasury Regulations, changes to any of which subsequent to the date of this prospectus supplement may affect the tax consequences described herein. This summary does not address any aspect of state, local or non-U.S. taxation, any taxes other than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foreign taxing jurisdiction.</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a “Non-U.S. Holder” if for U.S. federal income tax purposes you are a beneficial owner of a note issued in this offering that is:</w:t>
      </w:r>
    </w:p>
    <w:p>
      <w:pPr>
        <w:spacing w:after="0" w:line="9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or disposing of a note.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Payments of principal and interest on the notes by the Company or any paying agent to you will not be subject to U.S. federal income or withholding tax, provided that, in the case of interest,</w:t>
      </w:r>
    </w:p>
    <w:p>
      <w:pPr>
        <w:spacing w:after="0" w:line="51"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you do not own, actually or constructively, ten percent or more of the capital or profits interests in NBCUniversal Holdings;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you are not a controlled foreign corporation related, directly or indirectly, to NBCUniversal Holdings through ownership of equity interests;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you certify on a properly executed IRS Form W-8BEN, under penalties of perjury, that you are not a United States person;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is not effectively connected with your conduct of a trade or business in the United States as described below.</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 cannot satisfy one of the first three requirements described above and interest on the notes is not exempt from withholding because it is effectively connected with your conduct of a trade or business in the United States as described below, payments of interest on the notes will be subject to withholding tax at a rate of 30%, subject to an applicable treaty providing otherwise.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9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9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taxed in the same manner as a United States person.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Information returns are required to be filed with the Internal Revenue Service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The certification procedures required to claim the exemption from withholding tax on interest described above will satisfy the certification requirements necessary to avoid backup withholding as well. The amount of any backup withholding from a payment to you will be allowed as a credit against your U.S. federal income tax liability and may entitle you to a refund, provided that the required information is timely furnished to the IRS.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intend to offer the notes to institutional investors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6120" w:type="dxa"/>
            <w:vAlign w:val="bottom"/>
            <w:vMerge w:val="restart"/>
          </w:tcPr>
          <w:p>
            <w:pPr>
              <w:spacing w:after="0"/>
              <w:rPr>
                <w:sz w:val="14"/>
                <w:szCs w:val="14"/>
                <w:color w:val="auto"/>
              </w:rPr>
            </w:pP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auto"/>
                <w:w w:val="93"/>
              </w:rPr>
              <w:t>Principal Amount of</w:t>
            </w:r>
          </w:p>
        </w:tc>
        <w:tc>
          <w:tcPr>
            <w:tcW w:w="90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w w:val="97"/>
              </w:rPr>
              <w:t>Principal Amount of</w:t>
            </w: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6120" w:type="dxa"/>
            <w:vAlign w:val="bottom"/>
            <w:vMerge w:val="continue"/>
          </w:tcPr>
          <w:p>
            <w:pPr>
              <w:spacing w:after="0"/>
              <w:rPr>
                <w:sz w:val="14"/>
                <w:szCs w:val="14"/>
                <w:color w:val="auto"/>
              </w:rPr>
            </w:pPr>
          </w:p>
        </w:tc>
        <w:tc>
          <w:tcPr>
            <w:tcW w:w="13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85"/>
              </w:rPr>
              <w:t>Senior Notes due 2023</w:t>
            </w:r>
          </w:p>
        </w:tc>
        <w:tc>
          <w:tcPr>
            <w:tcW w:w="900" w:type="dxa"/>
            <w:vAlign w:val="bottom"/>
          </w:tcPr>
          <w:p>
            <w:pPr>
              <w:spacing w:after="0"/>
              <w:rPr>
                <w:sz w:val="14"/>
                <w:szCs w:val="14"/>
                <w:color w:val="auto"/>
              </w:rPr>
            </w:pPr>
          </w:p>
        </w:tc>
        <w:tc>
          <w:tcPr>
            <w:tcW w:w="13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0"/>
              </w:rPr>
              <w:t>Senior Notes due 2043</w:t>
            </w:r>
          </w:p>
        </w:tc>
        <w:tc>
          <w:tcPr>
            <w:tcW w:w="0" w:type="dxa"/>
            <w:vAlign w:val="bottom"/>
          </w:tcPr>
          <w:p>
            <w:pPr>
              <w:spacing w:after="0"/>
              <w:rPr>
                <w:sz w:val="1"/>
                <w:szCs w:val="1"/>
                <w:color w:val="auto"/>
              </w:rPr>
            </w:pPr>
          </w:p>
        </w:tc>
      </w:tr>
      <w:tr>
        <w:trPr>
          <w:trHeight w:val="203"/>
        </w:trPr>
        <w:tc>
          <w:tcPr>
            <w:tcW w:w="6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Credit Suisse Securities (USA) LLC</w:t>
            </w: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160,000,000</w:t>
            </w:r>
          </w:p>
        </w:tc>
        <w:tc>
          <w:tcPr>
            <w:tcW w:w="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160,000,000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160,000,000</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160,000,000</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1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160,000,000</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21,500,000</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1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21,500,000</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21,500,000</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1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21,500,000</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21,500,000</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Lloyds Securities Inc.</w:t>
            </w:r>
          </w:p>
        </w:tc>
        <w:tc>
          <w:tcPr>
            <w:tcW w:w="1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21,500,000</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21,500,000</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rPr>
              <w:t>Incorporated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Inc.</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21,500,000</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RBS Securities Inc.</w:t>
            </w:r>
          </w:p>
        </w:tc>
        <w:tc>
          <w:tcPr>
            <w:tcW w:w="1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21,500,000</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SMBC Nikko Capital Markets Limited</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21,500,000</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1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21,500,000</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21,500,000</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Santander Investment Securities Inc.</w:t>
            </w:r>
          </w:p>
        </w:tc>
        <w:tc>
          <w:tcPr>
            <w:tcW w:w="1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11,250,000</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11,250,000</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Allen &amp; Company LLC</w:t>
            </w:r>
          </w:p>
        </w:tc>
        <w:tc>
          <w:tcPr>
            <w:tcW w:w="1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10,250,000</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Gleacher &amp; Company Securities, Inc.</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10,250,000</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DnB NOR Markets, Inc.</w:t>
            </w:r>
          </w:p>
        </w:tc>
        <w:tc>
          <w:tcPr>
            <w:tcW w:w="1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8,500,000</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8,500,000</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1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8,500,000</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TD Securities (USA) LLC</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8,500,000</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Loop Capital Markets LLC</w:t>
            </w:r>
          </w:p>
        </w:tc>
        <w:tc>
          <w:tcPr>
            <w:tcW w:w="1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6,500,000</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6,500,000</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Drexel Hamilton, LLC</w:t>
            </w:r>
          </w:p>
        </w:tc>
        <w:tc>
          <w:tcPr>
            <w:tcW w:w="1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3,000,000</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Lebenthal &amp; Co., LLC</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3,000,000</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MFR Securities, Inc.</w:t>
            </w:r>
          </w:p>
        </w:tc>
        <w:tc>
          <w:tcPr>
            <w:tcW w:w="1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3,000,000</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A. Ramirez &amp; Co., Inc.</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3,000,000</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1,000,000,000</w:t>
            </w:r>
          </w:p>
        </w:tc>
        <w:tc>
          <w:tcPr>
            <w:tcW w:w="10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1,000,000,000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underwriters are offering the notes to institutional investors,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and to reject orders in whole or in part.</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It is expected that delivery of the notes will be made against payment therefor on or about October 5, 2012, which is the fourth business day following the date hereof (such settlement cycle being referred to as “T+5”). Under Rule 15c6-1 under the Exchange Act, trades in the secondary market generally are required to settle in three business days unless the parties to any such trade expressly agree otherwise. Accordingly, purchasers who wish to trade the notes on the date of pricing will be required, by virtue of the fact that the notes initially will settle in T+5, to specify an alternative settlement cycle at the time of any such trade to prevent failed settlement and should consult their own advisors.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European Union Prospectus Directive</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no offer of notes may be made to the public in that Relevant Member State other than:</w:t>
      </w:r>
    </w:p>
    <w:p>
      <w:pPr>
        <w:spacing w:after="0" w:line="59"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 or</w:t>
      </w:r>
    </w:p>
    <w:p>
      <w:pPr>
        <w:spacing w:after="0" w:line="59" w:lineRule="exact"/>
        <w:rPr>
          <w:rFonts w:ascii="Arial" w:cs="Arial" w:eastAsia="Arial" w:hAnsi="Arial"/>
          <w:sz w:val="18"/>
          <w:szCs w:val="18"/>
          <w:color w:val="auto"/>
        </w:rPr>
      </w:pPr>
    </w:p>
    <w:p>
      <w:pPr>
        <w:jc w:val="both"/>
        <w:ind w:left="900" w:right="14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notes shall require the Company or the representative to publish a prospectus pursuant to Article 3 of the Prospectus Directive or supplement a prospectus pursuant to Article 16 of the Prospectus Directive.</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prospectus has been prepared on the basis that any offer of notes in any Relevant Member State will be made pursuant to an exemption under the Prospectus Directive from the requirement to publish a prospectus for offers of notes. Accordingly any person making or intending to make an offer in that Relevant Member State of notes which are the subject of the offering contemplated in this prospectus may only do so in circumstances in which no obligation arises for the Company or any of the initial purchasers to publish a prospectus pursuant to Article 3 of the Prospectus Directive in relation to such offer. Neither the Company nor the initial purchasers have authorized, nor do they authorize, the making of any offer of notes in circumstances in which an obligation arises for the Company or the initial purchasers to publish a prospectus for such offer.</w:t>
      </w:r>
    </w:p>
    <w:p>
      <w:pPr>
        <w:spacing w:after="0" w:line="12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For the purpose of the above provisions, the expression “an offer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United Kingdom</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Each underwriter has represented, warranted and agreed that 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and it has complied with and will comply with all applicable provisions of FSMA with respect to anything done by it in relation to the notes in, from or otherwise involving the United Kingdom.</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Hong Kong</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Japan</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62" w:lineRule="exact"/>
        <w:rPr>
          <w:sz w:val="20"/>
          <w:szCs w:val="20"/>
          <w:color w:val="auto"/>
        </w:rPr>
      </w:pPr>
    </w:p>
    <w:p>
      <w:pPr>
        <w:ind w:left="1120" w:hanging="217"/>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 a relevant person, or any person pursuant to Section 257(1A), and in accordance with the conditions, specified in Section 275 of the SFA; or</w:t>
      </w:r>
    </w:p>
    <w:p>
      <w:pPr>
        <w:spacing w:after="0" w:line="113" w:lineRule="exact"/>
        <w:rPr>
          <w:rFonts w:ascii="Arial" w:cs="Arial" w:eastAsia="Arial" w:hAnsi="Arial"/>
          <w:sz w:val="16"/>
          <w:szCs w:val="16"/>
          <w:color w:val="auto"/>
        </w:rPr>
      </w:pPr>
    </w:p>
    <w:p>
      <w:pPr>
        <w:ind w:left="1200" w:hanging="297"/>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Whether the notes are subscribed or purchased under Section 275 by a relevant person which is:</w:t>
      </w:r>
    </w:p>
    <w:p>
      <w:pPr>
        <w:spacing w:after="0" w:line="90" w:lineRule="exact"/>
        <w:rPr>
          <w:sz w:val="20"/>
          <w:szCs w:val="20"/>
          <w:color w:val="auto"/>
        </w:rPr>
      </w:pPr>
    </w:p>
    <w:p>
      <w:pPr>
        <w:ind w:left="460" w:firstLine="443"/>
        <w:spacing w:after="0" w:line="268" w:lineRule="auto"/>
        <w:tabs>
          <w:tab w:leader="none" w:pos="1137"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94" w:lineRule="auto"/>
        <w:tabs>
          <w:tab w:leader="none" w:pos="1147"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underwriters have advised us that they propose initially to offer the notes to institutional investors at the initial offering price on the cover page of this prospectus supplement, and to dealers at that price less a concession not in excess of 0.250% and 0.500% of the principal amount of the Senior Notes due 2023 and Senior Notes due 2043, respectively. The underwriters may allow, and the dealers may reallow, a discount not in excess of 0.125% and 0.250% of the principal amount of the Senior Notes due 2023 and Senior Notes due 2043, respectively, to other dealers. After the initial offering, the offering prices, concessions and discounts may be changed.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expenses of the offering, not including the underwriting discount, are estimated to be $750,000 and are payable by 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securities and instruments of the Issuer. Certain of the underwriters or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20"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SMBC Nikko Capital Markets Limited, one of the underwriters, is not a broker-dealer registered with the United States Securities and Exchange Commission. SMBC Nikko Capital Markets Limited will only make sales of the notes in the United States, or to nationals or residents of the United States, through one or more registered broker-dealers in compliance with Rule 15a-6 of the Securities Exchange Act of 1934.</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Certain legal matters in connection with the offering will be passed upon for us by Davis Polk &amp; Wardwell LLP, Menlo Park, California. The validity of the notes will be passed upon for the underwriters by Simpson Thacher &amp; Bartlett LLP, New York, New York.</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consolidated financial statements, and the related consolidated financial statement schedule, incorporated in this Prospectus Supplement by reference from the Company’s Annual Report on Form 10-K for the fiscal year ended December 31, 2011, have been audited by Deloitte &amp; Touche LLP, an independent registered public accounting firm, as stated in their reports, which are incorporated herein by reference. The report on the Company’s consolidated financial statements expresses an unqualified opinion and includes an explanatory paragraph referring to General Electric Company’s transaction with Comcast Corporation on January 28, 2011. Such consolidated financial statements and consolidated financial statement schedule have been so incorporated in reliance upon the reports of such firm given upon their authority as experts in accounting and auditing.</w:t>
      </w:r>
    </w:p>
    <w:p>
      <w:pPr>
        <w:spacing w:after="0" w:line="120"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The annual consolidated financial statements of NBC Universal, Inc. as of December 31, 2010 and for each of the years in the two-year period ended December 31, 2010, have been incorporated by reference herein in reliance upon the report of KPMG LLP, independent registered public accounting firm, incorporated by reference herein, and upon the authority of said firm as experts in accounting and auditing.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S</w:t>
      </w:r>
      <w:r>
        <w:rPr>
          <w:rFonts w:ascii="Arial" w:cs="Arial" w:eastAsia="Arial" w:hAnsi="Arial"/>
          <w:sz w:val="20"/>
          <w:szCs w:val="20"/>
          <w:b w:val="1"/>
          <w:bCs w:val="1"/>
          <w:color w:val="auto"/>
        </w:rPr>
        <w:t>ENIOR</w:t>
      </w:r>
      <w:r>
        <w:rPr>
          <w:rFonts w:ascii="Arial" w:cs="Arial" w:eastAsia="Arial" w:hAnsi="Arial"/>
          <w:sz w:val="24"/>
          <w:szCs w:val="24"/>
          <w:b w:val="1"/>
          <w:bCs w:val="1"/>
          <w:color w:val="auto"/>
        </w:rPr>
        <w:t xml:space="preserve"> D</w:t>
      </w:r>
      <w:r>
        <w:rPr>
          <w:rFonts w:ascii="Arial" w:cs="Arial" w:eastAsia="Arial" w:hAnsi="Arial"/>
          <w:sz w:val="20"/>
          <w:szCs w:val="20"/>
          <w:b w:val="1"/>
          <w:bCs w:val="1"/>
          <w:color w:val="auto"/>
        </w:rPr>
        <w:t>EBT</w:t>
      </w:r>
      <w:r>
        <w:rPr>
          <w:rFonts w:ascii="Arial" w:cs="Arial" w:eastAsia="Arial" w:hAnsi="Arial"/>
          <w:sz w:val="24"/>
          <w:szCs w:val="24"/>
          <w:b w:val="1"/>
          <w:bCs w:val="1"/>
          <w:color w:val="auto"/>
        </w:rPr>
        <w:t xml:space="preserve"> S</w:t>
      </w:r>
      <w:r>
        <w:rPr>
          <w:rFonts w:ascii="Arial" w:cs="Arial" w:eastAsia="Arial" w:hAnsi="Arial"/>
          <w:sz w:val="20"/>
          <w:szCs w:val="20"/>
          <w:b w:val="1"/>
          <w:bCs w:val="1"/>
          <w:color w:val="auto"/>
        </w:rPr>
        <w:t>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NBCUniversal Media, LLC is offering and selling from time to time its Senior Debt Securities under this prospectus. We will describe in a prospectus supplement, which must accompany this prospectus, the specific terms of the securities. Those terms may include:</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tcPr>
          <w:p>
            <w:pPr>
              <w:ind w:left="100"/>
              <w:spacing w:after="0"/>
              <w:rPr>
                <w:sz w:val="20"/>
                <w:szCs w:val="20"/>
                <w:color w:val="auto"/>
              </w:rPr>
            </w:pPr>
            <w:r>
              <w:rPr>
                <w:rFonts w:ascii="Arial" w:cs="Arial" w:eastAsia="Arial" w:hAnsi="Arial"/>
                <w:sz w:val="18"/>
                <w:szCs w:val="18"/>
                <w:color w:val="auto"/>
              </w:rPr>
              <w:t>Maturity</w:t>
            </w:r>
          </w:p>
        </w:tc>
        <w:tc>
          <w:tcPr>
            <w:tcW w:w="1300" w:type="dxa"/>
            <w:vAlign w:val="bottom"/>
          </w:tcPr>
          <w:p>
            <w:pPr>
              <w:ind w:left="1140"/>
              <w:spacing w:after="0"/>
              <w:rPr>
                <w:sz w:val="20"/>
                <w:szCs w:val="20"/>
                <w:color w:val="auto"/>
              </w:rPr>
            </w:pPr>
            <w:r>
              <w:rPr>
                <w:rFonts w:ascii="Arial" w:cs="Arial" w:eastAsia="Arial" w:hAnsi="Arial"/>
                <w:sz w:val="18"/>
                <w:szCs w:val="18"/>
                <w:color w:val="auto"/>
              </w:rPr>
              <w:t>•</w:t>
            </w:r>
          </w:p>
        </w:tc>
        <w:tc>
          <w:tcPr>
            <w:tcW w:w="3020" w:type="dxa"/>
            <w:vAlign w:val="bottom"/>
          </w:tcPr>
          <w:p>
            <w:pPr>
              <w:ind w:left="80"/>
              <w:spacing w:after="0"/>
              <w:rPr>
                <w:sz w:val="20"/>
                <w:szCs w:val="20"/>
                <w:color w:val="auto"/>
              </w:rPr>
            </w:pPr>
            <w:r>
              <w:rPr>
                <w:rFonts w:ascii="Arial" w:cs="Arial" w:eastAsia="Arial" w:hAnsi="Arial"/>
                <w:sz w:val="18"/>
                <w:szCs w:val="18"/>
                <w:color w:val="auto"/>
              </w:rPr>
              <w:t>Currency of payments</w:t>
            </w:r>
          </w:p>
        </w:tc>
        <w:tc>
          <w:tcPr>
            <w:tcW w:w="3080" w:type="dxa"/>
            <w:vAlign w:val="bottom"/>
            <w:gridSpan w:val="2"/>
          </w:tcPr>
          <w:p>
            <w:pPr>
              <w:ind w:left="700"/>
              <w:spacing w:after="0"/>
              <w:rPr>
                <w:sz w:val="20"/>
                <w:szCs w:val="20"/>
                <w:color w:val="auto"/>
              </w:rPr>
            </w:pPr>
            <w:r>
              <w:rPr>
                <w:rFonts w:ascii="Arial" w:cs="Arial" w:eastAsia="Arial" w:hAnsi="Arial"/>
                <w:sz w:val="18"/>
                <w:szCs w:val="18"/>
                <w:color w:val="auto"/>
                <w:w w:val="90"/>
              </w:rPr>
              <w:t>•  Conversion or exchange rights</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tcPr>
          <w:p>
            <w:pPr>
              <w:ind w:left="100"/>
              <w:spacing w:after="0"/>
              <w:rPr>
                <w:sz w:val="20"/>
                <w:szCs w:val="20"/>
                <w:color w:val="auto"/>
              </w:rPr>
            </w:pPr>
            <w:r>
              <w:rPr>
                <w:rFonts w:ascii="Arial" w:cs="Arial" w:eastAsia="Arial" w:hAnsi="Arial"/>
                <w:sz w:val="18"/>
                <w:szCs w:val="18"/>
                <w:color w:val="auto"/>
              </w:rPr>
              <w:t>Interest rate</w:t>
            </w:r>
          </w:p>
        </w:tc>
        <w:tc>
          <w:tcPr>
            <w:tcW w:w="1300" w:type="dxa"/>
            <w:vAlign w:val="bottom"/>
          </w:tcPr>
          <w:p>
            <w:pPr>
              <w:ind w:left="1140"/>
              <w:spacing w:after="0"/>
              <w:rPr>
                <w:sz w:val="20"/>
                <w:szCs w:val="20"/>
                <w:color w:val="auto"/>
              </w:rPr>
            </w:pPr>
            <w:r>
              <w:rPr>
                <w:rFonts w:ascii="Arial" w:cs="Arial" w:eastAsia="Arial" w:hAnsi="Arial"/>
                <w:sz w:val="18"/>
                <w:szCs w:val="18"/>
                <w:color w:val="auto"/>
              </w:rPr>
              <w:t>•</w:t>
            </w:r>
          </w:p>
        </w:tc>
        <w:tc>
          <w:tcPr>
            <w:tcW w:w="3020" w:type="dxa"/>
            <w:vAlign w:val="bottom"/>
          </w:tcPr>
          <w:p>
            <w:pPr>
              <w:ind w:left="80"/>
              <w:spacing w:after="0"/>
              <w:rPr>
                <w:sz w:val="20"/>
                <w:szCs w:val="20"/>
                <w:color w:val="auto"/>
              </w:rPr>
            </w:pPr>
            <w:r>
              <w:rPr>
                <w:rFonts w:ascii="Arial" w:cs="Arial" w:eastAsia="Arial" w:hAnsi="Arial"/>
                <w:sz w:val="18"/>
                <w:szCs w:val="18"/>
                <w:color w:val="auto"/>
              </w:rPr>
              <w:t>Redemption terms</w:t>
            </w:r>
          </w:p>
        </w:tc>
        <w:tc>
          <w:tcPr>
            <w:tcW w:w="840" w:type="dxa"/>
            <w:vAlign w:val="bottom"/>
          </w:tcPr>
          <w:p>
            <w:pPr>
              <w:ind w:left="700"/>
              <w:spacing w:after="0"/>
              <w:rPr>
                <w:sz w:val="20"/>
                <w:szCs w:val="20"/>
                <w:color w:val="auto"/>
              </w:rPr>
            </w:pPr>
            <w:r>
              <w:rPr>
                <w:rFonts w:ascii="Arial" w:cs="Arial" w:eastAsia="Arial" w:hAnsi="Arial"/>
                <w:sz w:val="18"/>
                <w:szCs w:val="18"/>
                <w:color w:val="auto"/>
              </w:rPr>
              <w:t>•</w:t>
            </w:r>
          </w:p>
        </w:tc>
        <w:tc>
          <w:tcPr>
            <w:tcW w:w="2240" w:type="dxa"/>
            <w:vAlign w:val="bottom"/>
          </w:tcPr>
          <w:p>
            <w:pPr>
              <w:ind w:left="100"/>
              <w:spacing w:after="0"/>
              <w:rPr>
                <w:sz w:val="20"/>
                <w:szCs w:val="20"/>
                <w:color w:val="auto"/>
              </w:rPr>
            </w:pPr>
            <w:r>
              <w:rPr>
                <w:rFonts w:ascii="Arial" w:cs="Arial" w:eastAsia="Arial" w:hAnsi="Arial"/>
                <w:sz w:val="18"/>
                <w:szCs w:val="18"/>
                <w:color w:val="auto"/>
              </w:rPr>
              <w:t>Liquidation amount</w:t>
            </w:r>
          </w:p>
        </w:tc>
      </w:t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tcPr>
          <w:p>
            <w:pPr>
              <w:ind w:left="100"/>
              <w:spacing w:after="0"/>
              <w:rPr>
                <w:sz w:val="20"/>
                <w:szCs w:val="20"/>
                <w:color w:val="auto"/>
              </w:rPr>
            </w:pPr>
            <w:r>
              <w:rPr>
                <w:rFonts w:ascii="Arial" w:cs="Arial" w:eastAsia="Arial" w:hAnsi="Arial"/>
                <w:sz w:val="18"/>
                <w:szCs w:val="18"/>
                <w:color w:val="auto"/>
              </w:rPr>
              <w:t>Sinking fund terms</w:t>
            </w:r>
          </w:p>
        </w:tc>
        <w:tc>
          <w:tcPr>
            <w:tcW w:w="4320" w:type="dxa"/>
            <w:vAlign w:val="bottom"/>
            <w:gridSpan w:val="2"/>
          </w:tcPr>
          <w:p>
            <w:pPr>
              <w:ind w:left="1140"/>
              <w:spacing w:after="0"/>
              <w:rPr>
                <w:sz w:val="20"/>
                <w:szCs w:val="20"/>
                <w:color w:val="auto"/>
              </w:rPr>
            </w:pPr>
            <w:r>
              <w:rPr>
                <w:rFonts w:ascii="Arial" w:cs="Arial" w:eastAsia="Arial" w:hAnsi="Arial"/>
                <w:sz w:val="18"/>
                <w:szCs w:val="18"/>
                <w:color w:val="auto"/>
              </w:rPr>
              <w:t>•  Listing on a securities exchange</w:t>
            </w:r>
          </w:p>
        </w:tc>
        <w:tc>
          <w:tcPr>
            <w:tcW w:w="840" w:type="dxa"/>
            <w:vAlign w:val="bottom"/>
          </w:tcPr>
          <w:p>
            <w:pPr>
              <w:ind w:left="700"/>
              <w:spacing w:after="0"/>
              <w:rPr>
                <w:sz w:val="20"/>
                <w:szCs w:val="20"/>
                <w:color w:val="auto"/>
              </w:rPr>
            </w:pPr>
            <w:r>
              <w:rPr>
                <w:rFonts w:ascii="Arial" w:cs="Arial" w:eastAsia="Arial" w:hAnsi="Arial"/>
                <w:sz w:val="18"/>
                <w:szCs w:val="18"/>
                <w:color w:val="auto"/>
              </w:rPr>
              <w:t>•</w:t>
            </w:r>
          </w:p>
        </w:tc>
        <w:tc>
          <w:tcPr>
            <w:tcW w:w="2240" w:type="dxa"/>
            <w:vAlign w:val="bottom"/>
          </w:tcPr>
          <w:p>
            <w:pPr>
              <w:ind w:left="80"/>
              <w:spacing w:after="0"/>
              <w:rPr>
                <w:sz w:val="20"/>
                <w:szCs w:val="20"/>
                <w:color w:val="auto"/>
              </w:rPr>
            </w:pPr>
            <w:r>
              <w:rPr>
                <w:rFonts w:ascii="Arial" w:cs="Arial" w:eastAsia="Arial" w:hAnsi="Arial"/>
                <w:sz w:val="18"/>
                <w:szCs w:val="18"/>
                <w:color w:val="auto"/>
                <w:w w:val="97"/>
              </w:rPr>
              <w:t>Amount payable at maturity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0"/>
          <w:szCs w:val="20"/>
          <w:color w:val="auto"/>
        </w:rPr>
      </w:pPr>
    </w:p>
    <w:p>
      <w:pPr>
        <w:ind w:right="100" w:firstLine="456"/>
        <w:spacing w:after="0" w:line="243" w:lineRule="auto"/>
        <w:rPr>
          <w:sz w:val="20"/>
          <w:szCs w:val="20"/>
          <w:color w:val="auto"/>
        </w:rPr>
      </w:pPr>
      <w:r>
        <w:rPr>
          <w:rFonts w:ascii="Arial" w:cs="Arial" w:eastAsia="Arial" w:hAnsi="Arial"/>
          <w:sz w:val="22"/>
          <w:szCs w:val="22"/>
          <w:b w:val="1"/>
          <w:bCs w:val="1"/>
          <w:color w:val="auto"/>
        </w:rPr>
        <w:t>Investing in these securities involves certain risks. See “Item 1A—Risk Factors” beginning on page 15 of our annual report on Form 10-K for the year ended December 31, 2011, which is included as Exhibit 99.2 to the registration statement of which this prospectus forms a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95250</wp:posOffset>
            </wp:positionV>
            <wp:extent cx="1517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93980</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 You should read this prospectus and any prospectus supplement carefully before you invest.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September 28, 2012</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gridSpan w:val="2"/>
          </w:tcPr>
          <w:p>
            <w:pPr>
              <w:jc w:val="right"/>
              <w:ind w:right="4585"/>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4160" w:type="dxa"/>
            <w:vAlign w:val="bottom"/>
            <w:gridSpan w:val="10"/>
            <w:vMerge w:val="restart"/>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The Company</w:t>
              </w:r>
            </w:hyperlink>
          </w:p>
        </w:tc>
        <w:tc>
          <w:tcPr>
            <w:tcW w:w="68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4160" w:type="dxa"/>
            <w:vAlign w:val="bottom"/>
            <w:gridSpan w:val="10"/>
            <w:vMerge w:val="continue"/>
          </w:tcPr>
          <w:p>
            <w:pPr>
              <w:spacing w:after="0"/>
              <w:rPr>
                <w:sz w:val="13"/>
                <w:szCs w:val="13"/>
                <w:color w:val="auto"/>
              </w:rPr>
            </w:pPr>
          </w:p>
        </w:tc>
        <w:tc>
          <w:tcPr>
            <w:tcW w:w="6880" w:type="dxa"/>
            <w:vAlign w:val="bottom"/>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Caution Concerning Forward-Looking Statements</w:t>
              </w:r>
            </w:hyperlink>
          </w:p>
        </w:tc>
        <w:tc>
          <w:tcPr>
            <w:tcW w:w="620" w:type="dxa"/>
            <w:vAlign w:val="bottom"/>
          </w:tcPr>
          <w:p>
            <w:pPr>
              <w:spacing w:after="0"/>
              <w:rPr>
                <w:sz w:val="18"/>
                <w:szCs w:val="18"/>
                <w:color w:val="auto"/>
              </w:rPr>
            </w:pP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160" w:type="dxa"/>
            <w:vAlign w:val="bottom"/>
            <w:gridSpan w:val="1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Use of Proceeds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Ratio of Earnings to Fixed Charges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Senior Debt Securities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6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Global Securities</w:t>
              </w:r>
            </w:hyperlink>
          </w:p>
        </w:tc>
        <w:tc>
          <w:tcPr>
            <w:tcW w:w="1520" w:type="dxa"/>
            <w:vAlign w:val="bottom"/>
            <w:gridSpan w:val="2"/>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Plan of Distribution</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Legal Matters</w:t>
              </w:r>
            </w:hyperlink>
          </w:p>
        </w:tc>
        <w:tc>
          <w:tcPr>
            <w:tcW w:w="2760" w:type="dxa"/>
            <w:vAlign w:val="bottom"/>
            <w:gridSpan w:val="5"/>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Experts</w:t>
              </w:r>
            </w:hyperlink>
          </w:p>
        </w:tc>
        <w:tc>
          <w:tcPr>
            <w:tcW w:w="3160" w:type="dxa"/>
            <w:vAlign w:val="bottom"/>
            <w:gridSpan w:val="8"/>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0"/>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Available Information</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560" w:type="dxa"/>
            <w:vAlign w:val="bottom"/>
            <w:gridSpan w:val="6"/>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Incorporation of Certain Documents by Reference</w:t>
              </w:r>
            </w:hyperlink>
          </w:p>
        </w:tc>
        <w:tc>
          <w:tcPr>
            <w:tcW w:w="620" w:type="dxa"/>
            <w:vAlign w:val="bottom"/>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or any prospectus supplement or in any free writing prospectus prepared by or on behalf of us or to which we have referred you. We take no responsibility for, and can provide no assurance as to the reliability of, any other information that others may give you. We are not making an offer of these securities in any state where the offer is not permitted. You should not assume that the information contained in or incorporated by reference in this prospectus or any prospectus supplement or in any such free writing prospectus is accurate as of any date other than their respective dates.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this prospectus, unless otherwise indicated or the context otherwise requires, references to “NBCUniversal,” “our company,” “we,” “us” and “our” are both to (i) after January 28, 2011, NBCUniversal Media, LLC, the Delaware limited liability company into which NBC Universal, Inc. converted pursuant to the Joint Venture Transaction (as defined in “The Company”), together with its subsidiaries (including subsidiaries that hold the Comcast Content Business (as defined in “The Company”)) and (ii) on or prior to January 28, 2011, NBC Universal, Inc., together with its subsidiaries; references to “NBC Universal, Inc.” are to NBC Universal, Inc., excluding its subsidiaries; references to “Predecessor” are to NBCUniversal on or prior to January 28, 2011 (without giving effect to the Joint Venture Transaction) and references to “Successor” are to NBCUniversal after January 28, 2011, giving effect to the Joint Venture Transaction; references to “Comcast” are to Comcast Corporation and its subsidiaries; references to “GE” are to General Electric Company and its subsidiaries; and references to “NBCUniversal Holdings” are to NBCUniversal, LLC, a limited liability company that owns 100% of NBCUniversal Media, LLC.</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TRADEMARKS</w:t>
      </w:r>
    </w:p>
    <w:p>
      <w:pPr>
        <w:spacing w:after="0" w:line="17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own or have rights to use the trademarks, service marks and trade names that we use in connection with the operation of our businesses, including NBC</w:t>
      </w:r>
      <w:r>
        <w:rPr>
          <w:rFonts w:ascii="Arial" w:cs="Arial" w:eastAsia="Arial" w:hAnsi="Arial"/>
          <w:sz w:val="10"/>
          <w:szCs w:val="10"/>
          <w:color w:val="auto"/>
        </w:rPr>
        <w:t>®</w:t>
      </w:r>
      <w:r>
        <w:rPr>
          <w:rFonts w:ascii="Arial" w:cs="Arial" w:eastAsia="Arial" w:hAnsi="Arial"/>
          <w:sz w:val="16"/>
          <w:szCs w:val="16"/>
          <w:color w:val="auto"/>
        </w:rPr>
        <w:t>, NBC Universal</w:t>
      </w:r>
      <w:r>
        <w:rPr>
          <w:rFonts w:ascii="Arial" w:cs="Arial" w:eastAsia="Arial" w:hAnsi="Arial"/>
          <w:sz w:val="10"/>
          <w:szCs w:val="10"/>
          <w:color w:val="auto"/>
        </w:rPr>
        <w:t>®</w:t>
      </w:r>
      <w:r>
        <w:rPr>
          <w:rFonts w:ascii="Arial" w:cs="Arial" w:eastAsia="Arial" w:hAnsi="Arial"/>
          <w:sz w:val="16"/>
          <w:szCs w:val="16"/>
          <w:color w:val="auto"/>
        </w:rPr>
        <w:t>, USA Network</w:t>
      </w:r>
      <w:r>
        <w:rPr>
          <w:rFonts w:ascii="Arial" w:cs="Arial" w:eastAsia="Arial" w:hAnsi="Arial"/>
          <w:sz w:val="10"/>
          <w:szCs w:val="10"/>
          <w:color w:val="auto"/>
        </w:rPr>
        <w:t>®</w:t>
      </w:r>
      <w:r>
        <w:rPr>
          <w:rFonts w:ascii="Arial" w:cs="Arial" w:eastAsia="Arial" w:hAnsi="Arial"/>
          <w:sz w:val="16"/>
          <w:szCs w:val="16"/>
          <w:color w:val="auto"/>
        </w:rPr>
        <w:t>, CNBC</w:t>
      </w:r>
      <w:r>
        <w:rPr>
          <w:rFonts w:ascii="Arial" w:cs="Arial" w:eastAsia="Arial" w:hAnsi="Arial"/>
          <w:sz w:val="10"/>
          <w:szCs w:val="10"/>
          <w:color w:val="auto"/>
        </w:rPr>
        <w:t>®</w:t>
      </w:r>
      <w:r>
        <w:rPr>
          <w:rFonts w:ascii="Arial" w:cs="Arial" w:eastAsia="Arial" w:hAnsi="Arial"/>
          <w:sz w:val="16"/>
          <w:szCs w:val="16"/>
          <w:color w:val="auto"/>
        </w:rPr>
        <w:t>, SyfyTM, E!</w:t>
      </w:r>
      <w:r>
        <w:rPr>
          <w:rFonts w:ascii="Arial" w:cs="Arial" w:eastAsia="Arial" w:hAnsi="Arial"/>
          <w:sz w:val="10"/>
          <w:szCs w:val="10"/>
          <w:color w:val="auto"/>
        </w:rPr>
        <w:t>®</w:t>
      </w:r>
      <w:r>
        <w:rPr>
          <w:rFonts w:ascii="Arial" w:cs="Arial" w:eastAsia="Arial" w:hAnsi="Arial"/>
          <w:sz w:val="16"/>
          <w:szCs w:val="16"/>
          <w:color w:val="auto"/>
        </w:rPr>
        <w:t>, Bravo</w:t>
      </w:r>
      <w:r>
        <w:rPr>
          <w:rFonts w:ascii="Arial" w:cs="Arial" w:eastAsia="Arial" w:hAnsi="Arial"/>
          <w:sz w:val="10"/>
          <w:szCs w:val="10"/>
          <w:color w:val="auto"/>
        </w:rPr>
        <w:t>®</w:t>
      </w:r>
      <w:r>
        <w:rPr>
          <w:rFonts w:ascii="Arial" w:cs="Arial" w:eastAsia="Arial" w:hAnsi="Arial"/>
          <w:sz w:val="16"/>
          <w:szCs w:val="16"/>
          <w:color w:val="auto"/>
        </w:rPr>
        <w:t>, The Golf Channel</w:t>
      </w:r>
      <w:r>
        <w:rPr>
          <w:rFonts w:ascii="Arial" w:cs="Arial" w:eastAsia="Arial" w:hAnsi="Arial"/>
          <w:sz w:val="10"/>
          <w:szCs w:val="10"/>
          <w:color w:val="auto"/>
        </w:rPr>
        <w:t>®</w:t>
      </w:r>
      <w:r>
        <w:rPr>
          <w:rFonts w:ascii="Arial" w:cs="Arial" w:eastAsia="Arial" w:hAnsi="Arial"/>
          <w:sz w:val="16"/>
          <w:szCs w:val="16"/>
          <w:color w:val="auto"/>
        </w:rPr>
        <w:t>, Oxygen</w:t>
      </w:r>
      <w:r>
        <w:rPr>
          <w:rFonts w:ascii="Arial" w:cs="Arial" w:eastAsia="Arial" w:hAnsi="Arial"/>
          <w:sz w:val="10"/>
          <w:szCs w:val="10"/>
          <w:color w:val="auto"/>
        </w:rPr>
        <w:t>®</w:t>
      </w:r>
      <w:r>
        <w:rPr>
          <w:rFonts w:ascii="Arial" w:cs="Arial" w:eastAsia="Arial" w:hAnsi="Arial"/>
          <w:sz w:val="16"/>
          <w:szCs w:val="16"/>
          <w:color w:val="auto"/>
        </w:rPr>
        <w:t>, MSNBC</w:t>
      </w:r>
      <w:r>
        <w:rPr>
          <w:rFonts w:ascii="Arial" w:cs="Arial" w:eastAsia="Arial" w:hAnsi="Arial"/>
          <w:sz w:val="10"/>
          <w:szCs w:val="10"/>
          <w:color w:val="auto"/>
        </w:rPr>
        <w:t>®</w:t>
      </w:r>
      <w:r>
        <w:rPr>
          <w:rFonts w:ascii="Arial" w:cs="Arial" w:eastAsia="Arial" w:hAnsi="Arial"/>
          <w:sz w:val="16"/>
          <w:szCs w:val="16"/>
          <w:color w:val="auto"/>
        </w:rPr>
        <w:t>, Style</w:t>
      </w:r>
      <w:r>
        <w:rPr>
          <w:rFonts w:ascii="Arial" w:cs="Arial" w:eastAsia="Arial" w:hAnsi="Arial"/>
          <w:sz w:val="10"/>
          <w:szCs w:val="10"/>
          <w:color w:val="auto"/>
        </w:rPr>
        <w:t>®</w:t>
      </w:r>
      <w:r>
        <w:rPr>
          <w:rFonts w:ascii="Arial" w:cs="Arial" w:eastAsia="Arial" w:hAnsi="Arial"/>
          <w:sz w:val="16"/>
          <w:szCs w:val="16"/>
          <w:color w:val="auto"/>
        </w:rPr>
        <w:t>, G4</w:t>
      </w:r>
      <w:r>
        <w:rPr>
          <w:rFonts w:ascii="Arial" w:cs="Arial" w:eastAsia="Arial" w:hAnsi="Arial"/>
          <w:sz w:val="10"/>
          <w:szCs w:val="10"/>
          <w:color w:val="auto"/>
        </w:rPr>
        <w:t>®</w:t>
      </w:r>
      <w:r>
        <w:rPr>
          <w:rFonts w:ascii="Arial" w:cs="Arial" w:eastAsia="Arial" w:hAnsi="Arial"/>
          <w:sz w:val="16"/>
          <w:szCs w:val="16"/>
          <w:color w:val="auto"/>
        </w:rPr>
        <w:t>, Sleuth</w:t>
      </w:r>
      <w:r>
        <w:rPr>
          <w:rFonts w:ascii="Arial" w:cs="Arial" w:eastAsia="Arial" w:hAnsi="Arial"/>
          <w:sz w:val="10"/>
          <w:szCs w:val="10"/>
          <w:color w:val="auto"/>
        </w:rPr>
        <w:t>®</w:t>
      </w:r>
      <w:r>
        <w:rPr>
          <w:rFonts w:ascii="Arial" w:cs="Arial" w:eastAsia="Arial" w:hAnsi="Arial"/>
          <w:sz w:val="16"/>
          <w:szCs w:val="16"/>
          <w:color w:val="auto"/>
        </w:rPr>
        <w:t>, mun2</w:t>
      </w:r>
      <w:r>
        <w:rPr>
          <w:rFonts w:ascii="Arial" w:cs="Arial" w:eastAsia="Arial" w:hAnsi="Arial"/>
          <w:sz w:val="10"/>
          <w:szCs w:val="10"/>
          <w:color w:val="auto"/>
        </w:rPr>
        <w:t>®</w:t>
      </w:r>
      <w:r>
        <w:rPr>
          <w:rFonts w:ascii="Arial" w:cs="Arial" w:eastAsia="Arial" w:hAnsi="Arial"/>
          <w:sz w:val="16"/>
          <w:szCs w:val="16"/>
          <w:color w:val="auto"/>
        </w:rPr>
        <w:t>, Universal HD</w:t>
      </w:r>
      <w:r>
        <w:rPr>
          <w:rFonts w:ascii="Arial" w:cs="Arial" w:eastAsia="Arial" w:hAnsi="Arial"/>
          <w:sz w:val="10"/>
          <w:szCs w:val="10"/>
          <w:color w:val="auto"/>
        </w:rPr>
        <w:t>®</w:t>
      </w:r>
      <w:r>
        <w:rPr>
          <w:rFonts w:ascii="Arial" w:cs="Arial" w:eastAsia="Arial" w:hAnsi="Arial"/>
          <w:sz w:val="16"/>
          <w:szCs w:val="16"/>
          <w:color w:val="auto"/>
        </w:rPr>
        <w:t>, CNBC World</w:t>
      </w:r>
      <w:r>
        <w:rPr>
          <w:rFonts w:ascii="Arial" w:cs="Arial" w:eastAsia="Arial" w:hAnsi="Arial"/>
          <w:sz w:val="10"/>
          <w:szCs w:val="10"/>
          <w:color w:val="auto"/>
        </w:rPr>
        <w:t>®</w:t>
      </w:r>
      <w:r>
        <w:rPr>
          <w:rFonts w:ascii="Arial" w:cs="Arial" w:eastAsia="Arial" w:hAnsi="Arial"/>
          <w:sz w:val="16"/>
          <w:szCs w:val="16"/>
          <w:color w:val="auto"/>
        </w:rPr>
        <w:t>, Telemundo</w:t>
      </w:r>
      <w:r>
        <w:rPr>
          <w:rFonts w:ascii="Arial" w:cs="Arial" w:eastAsia="Arial" w:hAnsi="Arial"/>
          <w:sz w:val="10"/>
          <w:szCs w:val="10"/>
          <w:color w:val="auto"/>
        </w:rPr>
        <w:t>®</w:t>
      </w:r>
      <w:r>
        <w:rPr>
          <w:rFonts w:ascii="Arial" w:cs="Arial" w:eastAsia="Arial" w:hAnsi="Arial"/>
          <w:sz w:val="16"/>
          <w:szCs w:val="16"/>
          <w:color w:val="auto"/>
        </w:rPr>
        <w:t>, Universal Pictures</w:t>
      </w:r>
      <w:r>
        <w:rPr>
          <w:rFonts w:ascii="Arial" w:cs="Arial" w:eastAsia="Arial" w:hAnsi="Arial"/>
          <w:sz w:val="10"/>
          <w:szCs w:val="10"/>
          <w:color w:val="auto"/>
        </w:rPr>
        <w:t>®</w:t>
      </w:r>
      <w:r>
        <w:rPr>
          <w:rFonts w:ascii="Arial" w:cs="Arial" w:eastAsia="Arial" w:hAnsi="Arial"/>
          <w:sz w:val="16"/>
          <w:szCs w:val="16"/>
          <w:color w:val="auto"/>
        </w:rPr>
        <w:t>, Focus Features</w:t>
      </w:r>
      <w:r>
        <w:rPr>
          <w:rFonts w:ascii="Arial" w:cs="Arial" w:eastAsia="Arial" w:hAnsi="Arial"/>
          <w:sz w:val="10"/>
          <w:szCs w:val="10"/>
          <w:color w:val="auto"/>
        </w:rPr>
        <w:t>®</w:t>
      </w:r>
      <w:r>
        <w:rPr>
          <w:rFonts w:ascii="Arial" w:cs="Arial" w:eastAsia="Arial" w:hAnsi="Arial"/>
          <w:sz w:val="16"/>
          <w:szCs w:val="16"/>
          <w:color w:val="auto"/>
        </w:rPr>
        <w:t>, Universal Studios Hollywood</w:t>
      </w:r>
      <w:r>
        <w:rPr>
          <w:rFonts w:ascii="Arial" w:cs="Arial" w:eastAsia="Arial" w:hAnsi="Arial"/>
          <w:sz w:val="10"/>
          <w:szCs w:val="10"/>
          <w:color w:val="auto"/>
        </w:rPr>
        <w:t>®</w:t>
      </w:r>
      <w:r>
        <w:rPr>
          <w:rFonts w:ascii="Arial" w:cs="Arial" w:eastAsia="Arial" w:hAnsi="Arial"/>
          <w:sz w:val="16"/>
          <w:szCs w:val="16"/>
          <w:color w:val="auto"/>
        </w:rPr>
        <w:t>, Universal Orlando</w:t>
      </w:r>
      <w:r>
        <w:rPr>
          <w:rFonts w:ascii="Arial" w:cs="Arial" w:eastAsia="Arial" w:hAnsi="Arial"/>
          <w:sz w:val="10"/>
          <w:szCs w:val="10"/>
          <w:color w:val="auto"/>
        </w:rPr>
        <w:t>®</w:t>
      </w:r>
      <w:r>
        <w:rPr>
          <w:rFonts w:ascii="Arial" w:cs="Arial" w:eastAsia="Arial" w:hAnsi="Arial"/>
          <w:sz w:val="16"/>
          <w:szCs w:val="16"/>
          <w:color w:val="auto"/>
        </w:rPr>
        <w:t>, Universal Studios Florida</w:t>
      </w:r>
      <w:r>
        <w:rPr>
          <w:rFonts w:ascii="Arial" w:cs="Arial" w:eastAsia="Arial" w:hAnsi="Arial"/>
          <w:sz w:val="10"/>
          <w:szCs w:val="10"/>
          <w:color w:val="auto"/>
        </w:rPr>
        <w:t>®</w:t>
      </w:r>
      <w:r>
        <w:rPr>
          <w:rFonts w:ascii="Arial" w:cs="Arial" w:eastAsia="Arial" w:hAnsi="Arial"/>
          <w:sz w:val="16"/>
          <w:szCs w:val="16"/>
          <w:color w:val="auto"/>
        </w:rPr>
        <w:t>, Universal’s Islands of Adventure</w:t>
      </w:r>
      <w:r>
        <w:rPr>
          <w:rFonts w:ascii="Arial" w:cs="Arial" w:eastAsia="Arial" w:hAnsi="Arial"/>
          <w:sz w:val="10"/>
          <w:szCs w:val="10"/>
          <w:color w:val="auto"/>
        </w:rPr>
        <w:t>®</w:t>
      </w:r>
      <w:r>
        <w:rPr>
          <w:rFonts w:ascii="Arial" w:cs="Arial" w:eastAsia="Arial" w:hAnsi="Arial"/>
          <w:sz w:val="16"/>
          <w:szCs w:val="16"/>
          <w:color w:val="auto"/>
        </w:rPr>
        <w:t>, Universal CityWalk</w:t>
      </w:r>
      <w:r>
        <w:rPr>
          <w:rFonts w:ascii="Arial" w:cs="Arial" w:eastAsia="Arial" w:hAnsi="Arial"/>
          <w:sz w:val="10"/>
          <w:szCs w:val="10"/>
          <w:color w:val="auto"/>
        </w:rPr>
        <w:t>®</w:t>
      </w:r>
      <w:r>
        <w:rPr>
          <w:rFonts w:ascii="Arial" w:cs="Arial" w:eastAsia="Arial" w:hAnsi="Arial"/>
          <w:sz w:val="16"/>
          <w:szCs w:val="16"/>
          <w:color w:val="auto"/>
        </w:rPr>
        <w:t>, CityWalk</w:t>
      </w:r>
      <w:r>
        <w:rPr>
          <w:rFonts w:ascii="Arial" w:cs="Arial" w:eastAsia="Arial" w:hAnsi="Arial"/>
          <w:sz w:val="10"/>
          <w:szCs w:val="10"/>
          <w:color w:val="auto"/>
        </w:rPr>
        <w:t>®</w:t>
      </w:r>
      <w:r>
        <w:rPr>
          <w:rFonts w:ascii="Arial" w:cs="Arial" w:eastAsia="Arial" w:hAnsi="Arial"/>
          <w:sz w:val="16"/>
          <w:szCs w:val="16"/>
          <w:color w:val="auto"/>
        </w:rPr>
        <w:t>, iVillage</w:t>
      </w:r>
      <w:r>
        <w:rPr>
          <w:rFonts w:ascii="Arial" w:cs="Arial" w:eastAsia="Arial" w:hAnsi="Arial"/>
          <w:sz w:val="10"/>
          <w:szCs w:val="10"/>
          <w:color w:val="auto"/>
        </w:rPr>
        <w:t>®</w:t>
      </w:r>
      <w:r>
        <w:rPr>
          <w:rFonts w:ascii="Arial" w:cs="Arial" w:eastAsia="Arial" w:hAnsi="Arial"/>
          <w:sz w:val="16"/>
          <w:szCs w:val="16"/>
          <w:color w:val="auto"/>
        </w:rPr>
        <w:t>, Fandango</w:t>
      </w:r>
      <w:r>
        <w:rPr>
          <w:rFonts w:ascii="Arial" w:cs="Arial" w:eastAsia="Arial" w:hAnsi="Arial"/>
          <w:sz w:val="10"/>
          <w:szCs w:val="10"/>
          <w:color w:val="auto"/>
        </w:rPr>
        <w:t>®</w:t>
      </w:r>
      <w:r>
        <w:rPr>
          <w:rFonts w:ascii="Arial" w:cs="Arial" w:eastAsia="Arial" w:hAnsi="Arial"/>
          <w:sz w:val="16"/>
          <w:szCs w:val="16"/>
          <w:color w:val="auto"/>
        </w:rPr>
        <w:t>, DailyCandy</w:t>
      </w:r>
      <w:r>
        <w:rPr>
          <w:rFonts w:ascii="Arial" w:cs="Arial" w:eastAsia="Arial" w:hAnsi="Arial"/>
          <w:sz w:val="10"/>
          <w:szCs w:val="10"/>
          <w:color w:val="auto"/>
        </w:rPr>
        <w:t>®</w:t>
      </w:r>
      <w:r>
        <w:rPr>
          <w:rFonts w:ascii="Arial" w:cs="Arial" w:eastAsia="Arial" w:hAnsi="Arial"/>
          <w:sz w:val="16"/>
          <w:szCs w:val="16"/>
          <w:color w:val="auto"/>
        </w:rPr>
        <w:t xml:space="preserve"> and other names and marks that identify our networks, programs and other businesses. In addition, we have certain rights to use the Harry Potter™ characters, names and related indicia (which are trademarks and copyrights of Warner Bros. Entertainment, Inc.). Each trademark, service mark or trade name of any other company appearing in this prospectus is, to our knowledge, owned or licensed by such other company.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We are one of the world’s leading media and entertainment companies. We develop, produce and distribute entertainment, news and information, sports and other content for global audiences, and we own and operate a diversified and integrated portfolio of some of the most recognizable media brands in the world.</w:t>
      </w:r>
    </w:p>
    <w:p>
      <w:pPr>
        <w:spacing w:after="0" w:line="6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January 28, 2011, Comcast Corporation (“Comcast”) closed its transaction (the “Joint Venture Transaction”) with General Electric Company (“GE”) to form a new company named NBCUniversal, LLC (“NBCUniversal Holdings”). Comcast now controls and owns 51% of NBCUniversal Holdings and GE owns the remaining 49%. As part of the Joint Venture Transaction, NBC Universal, Inc. (our “Predecessor”) was converted into a limited liability company named NBCUniversal Media, LLC (“NBCUniversal”), which is a wholly owned subsidiary of NBCUniversal Holdings. Comcast contributed to NBCUniversal its national cable networks, its regional sports and news networks, certain of its Internet businesses and other related assets (the “Comcast Content Business”).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report our operations as the following four reportable business segments:</w:t>
      </w:r>
    </w:p>
    <w:p>
      <w:pPr>
        <w:spacing w:after="0" w:line="84" w:lineRule="exact"/>
        <w:rPr>
          <w:sz w:val="20"/>
          <w:szCs w:val="20"/>
          <w:color w:val="auto"/>
        </w:rPr>
      </w:pPr>
    </w:p>
    <w:p>
      <w:pPr>
        <w:ind w:left="900" w:right="560" w:hanging="325"/>
        <w:spacing w:after="0" w:line="275"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our national cable television networks, our regional sports and news networks, our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our cable television production studio, and our related digital media properties.</w:t>
      </w:r>
    </w:p>
    <w:p>
      <w:pPr>
        <w:spacing w:after="0" w:line="38" w:lineRule="exact"/>
        <w:rPr>
          <w:rFonts w:ascii="Arial" w:cs="Arial" w:eastAsia="Arial" w:hAnsi="Arial"/>
          <w:sz w:val="18"/>
          <w:szCs w:val="18"/>
          <w:color w:val="auto"/>
        </w:rPr>
      </w:pPr>
    </w:p>
    <w:p>
      <w:pPr>
        <w:ind w:left="900" w:right="80" w:hanging="325"/>
        <w:spacing w:after="0" w:line="275"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our NBC and Telemundo broadcast networks, our NBC and Telemundo owned local television stations,</w:t>
      </w:r>
      <w:r>
        <w:rPr>
          <w:rFonts w:ascii="Arial" w:cs="Arial" w:eastAsia="Arial" w:hAnsi="Arial"/>
          <w:sz w:val="18"/>
          <w:szCs w:val="18"/>
          <w:b w:val="1"/>
          <w:bCs w:val="1"/>
          <w:color w:val="auto"/>
        </w:rPr>
        <w:t xml:space="preserve"> </w:t>
      </w:r>
      <w:r>
        <w:rPr>
          <w:rFonts w:ascii="Arial" w:cs="Arial" w:eastAsia="Arial" w:hAnsi="Arial"/>
          <w:sz w:val="18"/>
          <w:szCs w:val="18"/>
          <w:color w:val="auto"/>
        </w:rPr>
        <w:t>our broadcast television production operations, and our related digital media properties.</w:t>
      </w:r>
    </w:p>
    <w:p>
      <w:pPr>
        <w:spacing w:after="0" w:line="38" w:lineRule="exact"/>
        <w:rPr>
          <w:rFonts w:ascii="Arial" w:cs="Arial" w:eastAsia="Arial" w:hAnsi="Arial"/>
          <w:sz w:val="18"/>
          <w:szCs w:val="18"/>
          <w:color w:val="auto"/>
        </w:rPr>
      </w:pPr>
    </w:p>
    <w:p>
      <w:pPr>
        <w:ind w:left="900" w:right="20" w:hanging="325"/>
        <w:spacing w:after="0" w:line="275"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of the operations of Universal Pictures, which produces, acquires, markets and distributes filmed entertainment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stage plays worldwide.</w:t>
      </w:r>
    </w:p>
    <w:p>
      <w:pPr>
        <w:spacing w:after="0" w:line="38"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and Hollywood.</w:t>
      </w:r>
    </w:p>
    <w:p>
      <w:pPr>
        <w:spacing w:after="0" w:line="1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(the “SEC” or the “Commission”) incorporated by reference in this prospectus or included in the registration statement of which this prospectus forms a part. For instructions on how to find copies of these and our filings incorporated by reference in this prospectus, see “Available Information”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principal executive offices are located at 30 Rockefeller Plaza, New York, NY, 10112-0015, and our telephone number is (212) 664-4444. Our parent company maintains a website at www.comcast.com where general information about us is available. We are not incorporating the contents of the website into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this Prospectus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This prospectus is part of a registration statement that we filed with the SEC utilizing a “shelf” registration process. Under this shelf process, we may sell the securities described in this prospectus in one or more offerings from time to time.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“Available Information.”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 encourages companies to disclose forward-looking information so that investors can better understand a company’s future prospects and make informed investment decisions. In this prospectus and in documents that are incorporated by reference in this prospectus or included in the registration statement of which this prospectus forms a part,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these statements are only our predictions. In evaluating these statements, you should consider various factors, including the risks and uncertainties listed below, in “Item 1A—Risk Factors” in our Annual Report on Form 10-K for the year ended December 31, 2011 and in other reports we file with the SEC. Our actual results could differ materially from our forward-looking statements or as a result of any of such factors, which could adversely affect our business, results of operations or financial condition. Important factors that could cause actual results to differ materially from those in the forward-looking statements include the following:</w:t>
      </w:r>
    </w:p>
    <w:p>
      <w:pPr>
        <w:spacing w:after="0" w:line="39" w:lineRule="exact"/>
        <w:rPr>
          <w:sz w:val="20"/>
          <w:szCs w:val="20"/>
          <w:color w:val="auto"/>
        </w:rPr>
      </w:pPr>
    </w:p>
    <w:p>
      <w:pPr>
        <w:ind w:left="900" w:right="58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 and results of operations could be adversely affected if we do not compete effectively;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changes in consumer behavior driven by new technologies may adversely affect our competitive position, businesses and results of operations;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results of operations and financial condition;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decline in advertising expenditures or changes in advertising markets could negatively impact our results of operations;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success depends on consumer acceptance of our content, which is difficult to predict, and our results of operations may be adversely affected if our content fails to achieve sufficient consumer acceptance or our costs to acquire content increase;</w:t>
      </w:r>
    </w:p>
    <w:p>
      <w:pPr>
        <w:spacing w:after="0" w:line="5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loss of our programming distribution agreements, or the renewal of these agreements on less favorable terms, could adversely affect our businesses and results of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DVDs have been declining;</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labor disputes, whether involving employees or sports organizations, may disrupt our operations and adversely affect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are controlled by Comcast, and GE has certain approval rights;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NBCUniversal Holdings may be required to purchase all or part of GE’s interests in NBCUniversal Holdings and may cause us to make distributions or loans to it to fund these purchases;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Comcast and GE may compete with us in certain cases and have the ability on their own to pursue opportunities that might be attractive to us;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factors described elsewhere in this prospectus.</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Any forward-looking statement made by us in this prospectus speaks only as of the date on which it is made. Factors or events that could cause our actual results to differ may emerge from time to time, and it is not possible for us to predict all of them. We undertake no obligation to update any forward-looking statement, whether as a result of new information, future developments or otherwise, except as may be required by law.</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9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our historical ratio of earnings to fixed charges for each of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NBCUniversal</w:t>
            </w:r>
          </w:p>
        </w:tc>
        <w:tc>
          <w:tcPr>
            <w:tcW w:w="22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left="166"/>
              <w:spacing w:after="0"/>
              <w:rPr>
                <w:sz w:val="20"/>
                <w:szCs w:val="20"/>
                <w:color w:val="auto"/>
              </w:rPr>
            </w:pPr>
            <w:r>
              <w:rPr>
                <w:rFonts w:ascii="Arial" w:cs="Arial" w:eastAsia="Arial" w:hAnsi="Arial"/>
                <w:sz w:val="14"/>
                <w:szCs w:val="14"/>
                <w:b w:val="1"/>
                <w:bCs w:val="1"/>
                <w:color w:val="auto"/>
                <w:w w:val="89"/>
              </w:rPr>
              <w:t>NBC Universal, Inc.</w:t>
            </w: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0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1"/>
              </w:rPr>
              <w:t>Successor</w:t>
            </w:r>
          </w:p>
        </w:tc>
        <w:tc>
          <w:tcPr>
            <w:tcW w:w="2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80"/>
              </w:rPr>
              <w:t>Predecessor</w:t>
            </w:r>
          </w:p>
        </w:tc>
        <w:tc>
          <w:tcPr>
            <w:tcW w:w="4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11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For the</w:t>
            </w:r>
          </w:p>
        </w:tc>
        <w:tc>
          <w:tcPr>
            <w:tcW w:w="22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For the</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Six</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Period</w:t>
            </w:r>
          </w:p>
        </w:tc>
        <w:tc>
          <w:tcPr>
            <w:tcW w:w="2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Period</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Months</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January 29,</w:t>
            </w:r>
          </w:p>
        </w:tc>
        <w:tc>
          <w:tcPr>
            <w:tcW w:w="2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January 1</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2011 to</w:t>
            </w:r>
          </w:p>
        </w:tc>
        <w:tc>
          <w:tcPr>
            <w:tcW w:w="2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22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January 28,</w:t>
            </w:r>
          </w:p>
        </w:tc>
        <w:tc>
          <w:tcPr>
            <w:tcW w:w="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20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2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400" w:type="dxa"/>
            <w:vAlign w:val="bottom"/>
          </w:tcPr>
          <w:p>
            <w:pPr>
              <w:spacing w:after="0"/>
              <w:rPr>
                <w:sz w:val="12"/>
                <w:szCs w:val="12"/>
                <w:color w:val="auto"/>
              </w:rPr>
            </w:pPr>
          </w:p>
        </w:tc>
        <w:tc>
          <w:tcPr>
            <w:tcW w:w="38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6"/>
              </w:rPr>
              <w:t>2010</w:t>
            </w:r>
          </w:p>
        </w:tc>
        <w:tc>
          <w:tcPr>
            <w:tcW w:w="86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46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46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5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5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4.3x</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8"/>
              </w:rPr>
              <w:t>4.8x</w:t>
            </w:r>
          </w:p>
        </w:tc>
        <w:tc>
          <w:tcPr>
            <w:tcW w:w="220" w:type="dxa"/>
            <w:vAlign w:val="bottom"/>
            <w:tcBorders>
              <w:top w:val="single" w:sz="8" w:color="CCEEFF"/>
              <w:right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2"/>
              </w:rPr>
              <w:t>NM</w:t>
            </w:r>
          </w:p>
        </w:tc>
        <w:tc>
          <w:tcPr>
            <w:tcW w:w="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6.7x</w:t>
            </w:r>
          </w:p>
        </w:tc>
        <w:tc>
          <w:tcPr>
            <w:tcW w:w="4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16.9x</w:t>
            </w:r>
          </w:p>
        </w:tc>
        <w:tc>
          <w:tcPr>
            <w:tcW w:w="4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16.7x</w:t>
            </w:r>
          </w:p>
        </w:tc>
        <w:tc>
          <w:tcPr>
            <w:tcW w:w="4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21.5x</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For purposes of calculating these ratios, the term “earnings” consists of income before income taxes and noncontrolling interests, less net unconsolidated affiliates’ interests, plus fixed charges (excluding capitalized interest). The term “fixed charges” consists of interest expense, the amortization of debt issuance costs and an estimate of interest as a component of rental expense.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SENIOR DEBT SECURITIES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senior debt securities, consisting of notes, debentures or other evidences of indebtedness, may be issued from time to time in one or more series under an indenture dated April 30, 2010, entered into among us and The Bank of New York Mellon, as trustee (the “indenture”). The indenture is incorporated by reference into the registration statement of which this prospectus forms a part.</w:t>
      </w:r>
    </w:p>
    <w:p>
      <w:pPr>
        <w:spacing w:after="0" w:line="14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Because the following is only a summary of the indenture and the senior debt securities, it does not contain all information that you may find useful. For further information about the indenture and the senior debt securities, you should read the indenture. As used in this section of the prospectus, the terms “we,” “us” and “our” refer solely to NBCUniversal and such references do not include any subsidiaries of NBCUniversal.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debt securities will constitute our unsecured and unsubordinated obligations.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senior debt securities being offered:</w:t>
      </w:r>
    </w:p>
    <w:p>
      <w:pPr>
        <w:spacing w:after="0" w:line="90"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designation of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aggregate principal amount of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percentage of their principal amount (</w:t>
      </w:r>
      <w:r>
        <w:rPr>
          <w:rFonts w:ascii="Arial" w:cs="Arial" w:eastAsia="Arial" w:hAnsi="Arial"/>
          <w:sz w:val="18"/>
          <w:szCs w:val="18"/>
          <w:i w:val="1"/>
          <w:iCs w:val="1"/>
          <w:color w:val="auto"/>
        </w:rPr>
        <w:t>i.e.</w:t>
      </w:r>
      <w:r>
        <w:rPr>
          <w:rFonts w:ascii="Arial" w:cs="Arial" w:eastAsia="Arial" w:hAnsi="Arial"/>
          <w:sz w:val="18"/>
          <w:szCs w:val="18"/>
          <w:color w:val="auto"/>
        </w:rPr>
        <w:t>, price) at which the senior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or dates on which the senior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rate or rates, if any, per year, at which the senior debt securities will bear interest, or the method of determining such rate or rates;</w:t>
      </w:r>
    </w:p>
    <w:p>
      <w:pPr>
        <w:spacing w:after="0" w:line="113" w:lineRule="exact"/>
        <w:rPr>
          <w:rFonts w:ascii="Arial" w:cs="Arial" w:eastAsia="Arial" w:hAnsi="Arial"/>
          <w:sz w:val="16"/>
          <w:szCs w:val="16"/>
          <w:color w:val="auto"/>
        </w:rPr>
      </w:pPr>
    </w:p>
    <w:p>
      <w:pPr>
        <w:ind w:left="900" w:right="42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senior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form of the senior debt securities;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senior debt security;</w:t>
      </w:r>
    </w:p>
    <w:p>
      <w:pPr>
        <w:spacing w:after="0" w:line="5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senior debt securities early at your option and the price or prices in the currency or currency unit in which the senior debt securities are payable;</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senior debt securities and the currency, currencies or currency units in which principal and interest, if any, on the senior debt securities may be payable;</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senior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right, if any, to “reopen” a series of the senior debt securities and issue additional senior debt securities of such series; and</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terms of the senior debt securities, including any additional events of default or covenants provided for with respect to the senior debt securities, and any terms which may be required by or advisable under applicable laws or regulations.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You may present senior debt securities for exchange and for transfer in the manner, at the places and subject to the restrictions set forth in the senior debt securities and the prospectus supplement. We will provide these services without charge, although you may have to pay any tax or other governmental charge payable in connection with any exchange or transfer, as set forth in the indenture.</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Senior debt securities will bear interest at a fixed rate or a floating rate. Senior debt securities bearing no interest or interest at a rate that at the time of issuance is below the prevailing market rate may be sold at a discount below their stated principal amount. Special U.S. federal income tax considerations applicable to any such discounted senior debt securities or to certain senior debt securities issued at par which are treated as having been issued at a discount for U.S. federal income tax purposes will be described in the relevant prospectus supplement.</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senior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We have agreed to some restrictions on our activities for the benefit of holders of all series of senior debt securities issued under the indenture. The restrictive covenants summarized below will apply, unless the covenants are waived or amended, so long as any of the senior debt securities are outstanding.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Principal and Interest</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covenant to pay the principal of and interest on senior debt securities of each series when due and in the manner provided in the senior debt securities and the indenture. As used in the indenture and in this “Description of Senior Debt Securities,” the term “principal” will be deemed to include “and premium, if any.”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Consolidation, Merger or Sale of Assets</w:t>
      </w:r>
    </w:p>
    <w:p>
      <w:pPr>
        <w:spacing w:after="0" w:line="9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will not consolidate or combine with or merge with or into or, directly or indirectly, sell, assign, 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59" w:lineRule="exact"/>
        <w:rPr>
          <w:sz w:val="20"/>
          <w:szCs w:val="20"/>
          <w:color w:val="auto"/>
        </w:rPr>
      </w:pPr>
    </w:p>
    <w:p>
      <w:pPr>
        <w:ind w:left="900" w:right="28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9"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 and</w:t>
      </w:r>
    </w:p>
    <w:p>
      <w:pPr>
        <w:spacing w:after="0" w:line="113" w:lineRule="exact"/>
        <w:rPr>
          <w:rFonts w:ascii="Arial" w:cs="Arial" w:eastAsia="Arial" w:hAnsi="Arial"/>
          <w:sz w:val="16"/>
          <w:szCs w:val="16"/>
          <w:color w:val="auto"/>
        </w:rPr>
      </w:pPr>
    </w:p>
    <w:p>
      <w:pPr>
        <w:ind w:left="900" w:right="40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900" w:right="3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 (or similar provision of our state of incorporation).</w:t>
      </w:r>
    </w:p>
    <w:p>
      <w:pPr>
        <w:spacing w:after="0" w:line="13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If any consolidation or merger or any sale, assignment, conveyance, lease, transfer or other disposition of all or substantially all our assets occurs in accordance with the indenture, the successor person will succeed to, and be substituted for, and may exercise every right and power of ours under the indenture with the same effect as if such successor person had been named in our place in the indenture. We will (except in the case of a lease) be discharged from all obligations and covenants under the indenture and any senior debt securities issued thereunder.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Existence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Except as permitted under “—Consolidation, Merger and Sale of Assets,” the indenture requires us to do or cause to be done all things 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Information</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To the extent we are not subject to the reporting requirements of Section 13 or 15(d) of the Exchange Act (the “Reporting Requirements”) or do not otherwise report on an annual and quarterly basis on forms provided for such annual and quarterly reporting pursuant to rules and regulations promulgated by the SEC, we will be required to make available to the trustee and the registered holders, without cost to any holder, within 90 days following our fiscal year end and within 45 days following our first, second and third fiscal quarter ends, the annual and quarterly financial statements that would be required to be filed with the SEC on Forms 10-K and 10-Q (were our company subject to the Reporting Requirements) along with a “Management’s Discussion and Analysis of Financial Condition and Results of Operations” (“MD&amp;A”) and, with respect to annual financial statements, a report thereon by an independent registered public accounting firm, in each case in a manner that complies in all material respects with the requirements specified in such form for such financial statements and MD&amp;A.</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we have electronically filed with the SEC’s Next-Generation EDGAR system (or any successor system), the reports described above, we shall be deemed to have satisfied the foregoing requirements.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the event all series of senior debt securities are unconditionally guaranteed in full by a person subject to the Reporting Requirements, the foregoing requirements will be deemed satisfied by such guarantor filing any document or report that such guarantor is required to file with the SEC pursuant to Section 13 or 15(d) of the Exchange Act.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Negative Covenants</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to the covenants set forth above, the following additional covenants shall apply to the notes of each series. These covenants do not limit our ability to incur indebtedness and apply only to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Limitation on Liens</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With respect to the senior debt securities of each series, we will not create or incur any Lien on any of our Properties, whether now owned or hereafter acquired, in order to secure any of our Indebtedness, without effectively providing that the senior debt securities of such series shall be equally and ratably secured until such time as such Indebtedness is no longer secured by such Lien, except:</w:t>
      </w:r>
    </w:p>
    <w:p>
      <w:pPr>
        <w:spacing w:after="0" w:line="59"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holders of the senior debt securities of such series;</w:t>
      </w:r>
    </w:p>
    <w:p>
      <w:pPr>
        <w:spacing w:after="0" w:line="50" w:lineRule="exact"/>
        <w:rPr>
          <w:rFonts w:ascii="Arial" w:cs="Arial" w:eastAsia="Arial" w:hAnsi="Arial"/>
          <w:sz w:val="18"/>
          <w:szCs w:val="18"/>
          <w:color w:val="auto"/>
        </w:rPr>
      </w:pPr>
    </w:p>
    <w:p>
      <w:pPr>
        <w:ind w:left="900" w:right="20" w:hanging="446"/>
        <w:spacing w:after="0" w:line="298"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Liens securing Indebtedness which are incurred to extend, renew or refinance Indebtedness which is secured by Liens permitted to be incurred under clause (a), (b) and this clause (c) of this covenant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Notwithstanding the foregoing, we may, without securing the senior debt securities of any series, create or incur Liens which would otherwise be subject to the restrictions set forth in the preceding paragraph, if after giving effect thereto, Aggregate Debt does not exceed the greater of (a) 15% of Consolidated Net Worth calculated as of the date of the creation or incurrence of the Lien and (b) 15% of Consolidated Net Worth calculated as of the date of initial issuance of the senior debt securities of such series; provided that Liens created or incurred pursuant to this paragraph may be extended, renewed or replaced so long as the amount of Indebtedness secured is not increased (other than by the amount equal to any costs and expenses (including any premiums, fees or penalties) incurred in connection therewith) and such refinancing Indebtedness, if then outstanding, is included in subsequent calculations of Aggregate Debt.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Limitation on Sale and Lease-Back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respect to the senior debt securities of each series, we will not enter into any sale and lease-back transaction for the sale and leasing back of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Property, whether now owned or hereafter acquired, unless:</w:t>
      </w:r>
    </w:p>
    <w:p>
      <w:pPr>
        <w:spacing w:after="0" w:line="84"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us of any Property by one of our Subsidiaries;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90" w:lineRule="exact"/>
        <w:rPr>
          <w:rFonts w:ascii="Arial" w:cs="Arial" w:eastAsia="Arial" w:hAnsi="Arial"/>
          <w:sz w:val="18"/>
          <w:szCs w:val="18"/>
          <w:color w:val="auto"/>
        </w:rPr>
      </w:pPr>
    </w:p>
    <w:p>
      <w:pPr>
        <w:ind w:left="900" w:right="340" w:hanging="446"/>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“—Limitation on Liens” above; or</w:t>
      </w:r>
    </w:p>
    <w:p>
      <w:pPr>
        <w:spacing w:after="0" w:line="59" w:lineRule="exact"/>
        <w:rPr>
          <w:rFonts w:ascii="Arial" w:cs="Arial" w:eastAsia="Arial" w:hAnsi="Arial"/>
          <w:sz w:val="18"/>
          <w:szCs w:val="18"/>
          <w:color w:val="auto"/>
        </w:rPr>
      </w:pPr>
    </w:p>
    <w:p>
      <w:pPr>
        <w:jc w:val="both"/>
        <w:ind w:left="900" w:right="60" w:hanging="446"/>
        <w:spacing w:after="0" w:line="306"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apply an amount equal to the fair value of the Property sold to the purchase of Property or to the retirement of our long-term Indebtedness within 365 days of the effective date of any such sale and lease-back transaction. In lieu of applying such amount to such retirement, we may deliver senior debt securities to the trustee therefor for cancellation, such senior debt securities to be credited at the cost thereof to us.</w:t>
      </w:r>
    </w:p>
    <w:p>
      <w:pPr>
        <w:spacing w:after="0" w:line="107"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Notwithstanding the foregoing, we may enter into any sale lease-back transaction which would otherwise be subject to the foregoing restrictions with respect to the senior debt securities of any series if after giving effect thereto and at the time of determination, Aggregate Debt does not exceed the greater of (a) 15% of Consolidated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Net Worth calculated as of the closing date of the sale and lease-back transaction and (b) 15% of Consolidated Net Worth calculated as of the date of initial issuance of the senior debt securities of such series.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Certain Definitions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Debt</w:t>
      </w:r>
      <w:r>
        <w:rPr>
          <w:rFonts w:ascii="Arial" w:cs="Arial" w:eastAsia="Arial" w:hAnsi="Arial"/>
          <w:sz w:val="18"/>
          <w:szCs w:val="18"/>
          <w:color w:val="auto"/>
        </w:rPr>
        <w:t>” means the sum of the following as of the date of determination:</w:t>
      </w:r>
    </w:p>
    <w:p>
      <w:pPr>
        <w:spacing w:after="0" w:line="96" w:lineRule="exact"/>
        <w:rPr>
          <w:sz w:val="20"/>
          <w:szCs w:val="20"/>
          <w:color w:val="auto"/>
        </w:rPr>
      </w:pPr>
    </w:p>
    <w:p>
      <w:pPr>
        <w:ind w:left="900" w:right="22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aggregate principal amount of our Indebtedness incurred after the date of initial issuance of the senior debt securities and secured by Liens not permitted by the first sentence under “—Limitation on Liens;” and</w:t>
      </w:r>
    </w:p>
    <w:p>
      <w:pPr>
        <w:spacing w:after="0" w:line="5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Attributable Liens in respect of sale and lease-back transactions entered into after the date of the initial issuance of the senior debt securities pursuant to the second paragraph of “—Limitation on Sale and Lease-Back Transactions.”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Liens</w:t>
      </w:r>
      <w:r>
        <w:rPr>
          <w:rFonts w:ascii="Arial" w:cs="Arial" w:eastAsia="Arial" w:hAnsi="Arial"/>
          <w:sz w:val="18"/>
          <w:szCs w:val="18"/>
          <w:color w:val="auto"/>
        </w:rPr>
        <w:t>” means in connection with a sale and lease-back transaction the lesser of:</w:t>
      </w:r>
    </w:p>
    <w:p>
      <w:pPr>
        <w:spacing w:after="0" w:line="96"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and</w:t>
      </w:r>
    </w:p>
    <w:p>
      <w:pPr>
        <w:spacing w:after="0" w:line="90" w:lineRule="exact"/>
        <w:rPr>
          <w:rFonts w:ascii="Arial" w:cs="Arial" w:eastAsia="Arial" w:hAnsi="Arial"/>
          <w:sz w:val="18"/>
          <w:szCs w:val="18"/>
          <w:color w:val="auto"/>
        </w:rPr>
      </w:pPr>
    </w:p>
    <w:p>
      <w:pPr>
        <w:ind w:left="900" w:right="280" w:hanging="446"/>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senior debt securities issued under the indenture determined on a weighted average basis and compounded semi-annually) of the obligations of the lessee for rental payments during the term of the related lease.</w:t>
      </w:r>
    </w:p>
    <w:p>
      <w:pPr>
        <w:spacing w:after="0" w:line="134" w:lineRule="exact"/>
        <w:rPr>
          <w:sz w:val="20"/>
          <w:szCs w:val="20"/>
          <w:color w:val="auto"/>
        </w:rPr>
      </w:pPr>
    </w:p>
    <w:p>
      <w:pPr>
        <w:ind w:right="3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means any Indebtedness represented by a lease obligation of a Person incurred with respect to real property or equipment acquired or leased by such Person and used in its business that is required to be recorded as a capital lease in accordance with GAAP.</w:t>
      </w:r>
    </w:p>
    <w:p>
      <w:pPr>
        <w:spacing w:after="0" w:line="74" w:lineRule="exact"/>
        <w:rPr>
          <w:sz w:val="20"/>
          <w:szCs w:val="20"/>
          <w:color w:val="auto"/>
        </w:rPr>
      </w:pPr>
    </w:p>
    <w:p>
      <w:pPr>
        <w:ind w:right="7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Worth</w:t>
      </w:r>
      <w:r>
        <w:rPr>
          <w:rFonts w:ascii="Arial" w:cs="Arial" w:eastAsia="Arial" w:hAnsi="Arial"/>
          <w:sz w:val="18"/>
          <w:szCs w:val="18"/>
          <w:color w:val="auto"/>
        </w:rPr>
        <w:t>” means, as of any date of determination, our stockholders’ equity or members’ capital as reflected on the most recent consolidated balance sheet available to holders and prepared in accordance with GAAP.</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indenture shall be computed in conformity with GAAP applied on a consistent basis.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96" w:lineRule="exact"/>
        <w:rPr>
          <w:sz w:val="20"/>
          <w:szCs w:val="20"/>
          <w:color w:val="auto"/>
        </w:rPr>
      </w:pPr>
    </w:p>
    <w:p>
      <w:pPr>
        <w:ind w:left="900" w:right="22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interest rate lock agreements and interest rate collar agreements;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or commodity prices;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such Person against fluctuations in equity prices.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08"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w:t>
      </w:r>
    </w:p>
    <w:p>
      <w:pPr>
        <w:spacing w:after="0" w:line="96" w:lineRule="exact"/>
        <w:rPr>
          <w:sz w:val="20"/>
          <w:szCs w:val="20"/>
          <w:color w:val="auto"/>
        </w:rPr>
      </w:pPr>
    </w:p>
    <w:p>
      <w:pPr>
        <w:ind w:left="900" w:right="340" w:hanging="446"/>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on any of our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59" w:lineRule="exact"/>
        <w:rPr>
          <w:rFonts w:ascii="Arial" w:cs="Arial" w:eastAsia="Arial" w:hAnsi="Arial"/>
          <w:sz w:val="18"/>
          <w:szCs w:val="18"/>
          <w:color w:val="auto"/>
        </w:rPr>
      </w:pPr>
    </w:p>
    <w:p>
      <w:pPr>
        <w:ind w:left="900" w:hanging="446"/>
        <w:spacing w:after="0" w:line="253"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us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66"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our books in conformity with GAAP;</w:t>
      </w:r>
    </w:p>
    <w:p>
      <w:pPr>
        <w:spacing w:after="0" w:line="5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50" w:lineRule="exact"/>
        <w:rPr>
          <w:rFonts w:ascii="Arial" w:cs="Arial" w:eastAsia="Arial" w:hAnsi="Arial"/>
          <w:sz w:val="18"/>
          <w:szCs w:val="18"/>
          <w:color w:val="auto"/>
        </w:rPr>
      </w:pPr>
    </w:p>
    <w:p>
      <w:pPr>
        <w:ind w:left="900" w:right="80" w:hanging="446"/>
        <w:spacing w:after="0" w:line="306"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us from fluctuations in interest rates, currencies, equities or the price of commodities;</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in our favor;</w:t>
      </w:r>
    </w:p>
    <w:p>
      <w:pPr>
        <w:spacing w:after="0" w:line="90" w:lineRule="exact"/>
        <w:rPr>
          <w:rFonts w:ascii="Arial" w:cs="Arial" w:eastAsia="Arial" w:hAnsi="Arial"/>
          <w:sz w:val="18"/>
          <w:szCs w:val="18"/>
          <w:color w:val="auto"/>
        </w:rPr>
      </w:pPr>
    </w:p>
    <w:p>
      <w:pPr>
        <w:ind w:left="900" w:right="260" w:hanging="446"/>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we are a party as lessee, provided the aggregate value of all such pledges and deposits in connection with any such lease does not at any time exceed 16 2/3% of the annual fixed rentals payable under such lease;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our statutory obligations in the ordinary course of our business;</w:t>
      </w:r>
    </w:p>
    <w:p>
      <w:pPr>
        <w:spacing w:after="0" w:line="9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we are a party in the ordinary course of our business, but not in excess of $25,000,000;</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secured thereby does not exceed $300,000,000 at any one time;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securing Specified Non-Recourse Debt;</w:t>
      </w:r>
    </w:p>
    <w:p>
      <w:pPr>
        <w:spacing w:after="0" w:line="90"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65"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any property or asset, whether real, personal or mixed, or tangible or intangible, including shares of capital stock.</w:t>
      </w:r>
    </w:p>
    <w:p>
      <w:pPr>
        <w:spacing w:after="0" w:line="171" w:lineRule="exact"/>
        <w:rPr>
          <w:sz w:val="20"/>
          <w:szCs w:val="20"/>
          <w:color w:val="auto"/>
        </w:rPr>
      </w:pPr>
    </w:p>
    <w:p>
      <w:pPr>
        <w:ind w:right="2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Non-Recourse Debt</w:t>
      </w:r>
      <w:r>
        <w:rPr>
          <w:rFonts w:ascii="Arial" w:cs="Arial" w:eastAsia="Arial" w:hAnsi="Arial"/>
          <w:sz w:val="16"/>
          <w:szCs w:val="16"/>
          <w:color w:val="auto"/>
        </w:rPr>
        <w:t>” means any account or trade receivable factoring, securitization, sale or financing facility, the obligations of which are non-recourse (except with respect to customary representations, warranties, covenants and indemnities made in connection with such facility) to us.</w:t>
      </w:r>
    </w:p>
    <w:p>
      <w:pPr>
        <w:spacing w:after="0" w:line="74"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will constitute an “Event of Default” in the indenture with respect to the senior debt securities of any series:</w:t>
      </w:r>
    </w:p>
    <w:p>
      <w:pPr>
        <w:spacing w:after="0" w:line="90"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default in paying interest on the senior debt securities of such series when it becomes due and the default continues for a period of 30 days or more;</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56"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in the indenture (other than defaults specified in clause (a) and (b) above) and the default or breach continues for a period of 90 days or more after we receive written notice from the trustee or we and the trustee receive notice from the holders of at least 25% in aggregate principal amount of the senior debt securities of all affected series outstanding under the indenture (voting together as a single class); or</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events of bankruptcy, insolvency, reorganization, administration or similar proceedings with respect to us have occurred.</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 Event of Default (other than an Event of Default specified in clause (d) above) under the indenture occurs and is continuing, then the trustee may and, at the direction of the holders of at least 25% in aggregate principal amount of the senior debt securities of all affected series under the indenture (voting together as a single class), will by written notice, require us to repay immediately the entire principal amount of the outstanding senior debt securities of each affected series, together with all accrued and unpaid interest.</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If an Event of Default under the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has become due solely as a result of the accelerated payment requirement, have been cured or waived and if the rescission of acceleration would not conflict with any judgment or decree and if all sums paid or advanced by the trustee under the indenture and the reasonable compensation, expenses, disbursements and advances of the trustee and its agents and counsel have been paid.</w:t>
      </w:r>
    </w:p>
    <w:p>
      <w:pPr>
        <w:spacing w:after="0" w:line="12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outstanding under the indenture (voting together as a single class) also have the right to waive past defaults, except a default in paying principal or interest on any outstanding senior debt security of such series, or in respect of a covenant or a provision that cannot be modified or amended without the consent of all holders of the senior debt securities of such series.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outstanding under the indenture (voting together as a single class) may seek to institute a proceeding only after they have made written request, and offered indemnity as the trustee may reasonably require, to the trustee to institute a proceeding and the trustee has failed to do so within 60 days after it received this notice. In addition, within this 60-day period the trustee must not have received directions inconsistent with this written request by holders of a majority in principal amount of the senior debt securities of all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as the trustee may reasonably require. Subject to certain provisions, the holders of 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majority in aggregate principal amount of the senior debt securities of all affected series under the indenture (voting together as a single class) have the right to direct the time, method and place of conducting any proceeding for any remedy available to the trustee, or exercising any trust, or power conferred on the trustee.</w:t>
      </w:r>
    </w:p>
    <w:p>
      <w:pPr>
        <w:spacing w:after="0" w:line="6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indenture within 120 days of the end of each fiscal year.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and the trustee may amend or modify the indenture or the senior debt securities of any series without notice to or the consent of any holder of senior debt securities in order to:</w:t>
      </w:r>
    </w:p>
    <w:p>
      <w:pPr>
        <w:spacing w:after="0" w:line="51"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cure ambiguities, omissions, defects or inconsistencies;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 the form or forms of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obligations to holders of any outstanding senior debt securities in compliance with the provisions of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Senior Debt Securities”;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Other amendments and modifications of the indenture or the senior debt securities of any series may be made with the consent of the holders of not less than a majority in aggregate principal amount of the senior debt securities of all series outstanding under the indenture that are affected by the amendment or modification (voting together as a single class), and our compliance with any provision of the indenture with respect to the senior debt securities of any series issued under the indenture may be waived by written notice to us and the trustee by the holders of a majority in aggregate principal amount of the senior debt securities of all series outstanding under the indenture that are affected by the waiver (voting together as a single class). However, no modification or amendment may, without the consent of the holder of such affected senior debt securities or other debt security:</w:t>
      </w:r>
    </w:p>
    <w:p>
      <w:pPr>
        <w:spacing w:after="0" w:line="39" w:lineRule="exact"/>
        <w:rPr>
          <w:sz w:val="20"/>
          <w:szCs w:val="20"/>
          <w:color w:val="auto"/>
        </w:rPr>
      </w:pPr>
    </w:p>
    <w:p>
      <w:pPr>
        <w:ind w:left="900" w:right="16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459"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Satisfaction, Discharge and Covenant Defeasance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terminate our obligations under the indenture with respect to the senior debt securities of any series, when:</w:t>
      </w:r>
    </w:p>
    <w:p>
      <w:pPr>
        <w:spacing w:after="0" w:line="90"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80" w:right="460" w:hanging="446"/>
        <w:spacing w:after="0" w:line="268"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480" w:right="100" w:hanging="446"/>
        <w:spacing w:after="0" w:line="294" w:lineRule="auto"/>
        <w:tabs>
          <w:tab w:leader="none" w:pos="14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interest and any premium;</w:t>
      </w:r>
    </w:p>
    <w:p>
      <w:pPr>
        <w:spacing w:after="0" w:line="34"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900" w:right="480" w:hanging="325"/>
        <w:spacing w:after="0" w:line="370" w:lineRule="auto"/>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2" w:lineRule="exact"/>
        <w:rPr>
          <w:sz w:val="20"/>
          <w:szCs w:val="20"/>
          <w:color w:val="auto"/>
        </w:rPr>
      </w:pPr>
    </w:p>
    <w:p>
      <w:pPr>
        <w:jc w:val="both"/>
        <w:ind w:right="360" w:firstLine="456"/>
        <w:spacing w:after="0" w:line="357" w:lineRule="auto"/>
        <w:rPr>
          <w:sz w:val="20"/>
          <w:szCs w:val="20"/>
          <w:color w:val="auto"/>
        </w:rPr>
      </w:pPr>
      <w:r>
        <w:rPr>
          <w:rFonts w:ascii="Arial" w:cs="Arial" w:eastAsia="Arial" w:hAnsi="Arial"/>
          <w:sz w:val="15"/>
          <w:szCs w:val="15"/>
          <w:color w:val="auto"/>
        </w:rPr>
        <w:t>We may elect to have our obligations under the indenture discharged with respect to the senior debt securities of any series (“legal defeasance”). Legal defeasance means that we will be deemed to have paid and discharged the entire indebtedness represented by the senior debt securities of a series, except for:</w:t>
      </w: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obligations with respect to the senior debt securities of such series concerning issuing temporary senior debt securities, registration of transfer of senior debt securities, substitution of mutilated, destroyed, lost or stolen senior debt securities and the maintenance of an office or agency for payment of the senior debt securities of such series;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we may elect to have our obligations released with respect to certain covenants in the indenture (“covenant defeasance”). Any failure to comply with these obligations will not constitute a default or an Event of Default with respect to the senior debt securities of a series. In the event covenant defeasance occurs, certain events, not including nonpayment, bankruptcy and insolvency events, described under “—Events of Default” will no longer constitute an Event of Default for that series.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 with respect to outstanding senior debt securities of any series:</w:t>
      </w:r>
    </w:p>
    <w:p>
      <w:pPr>
        <w:spacing w:after="0" w:line="90" w:lineRule="exact"/>
        <w:rPr>
          <w:sz w:val="20"/>
          <w:szCs w:val="20"/>
          <w:color w:val="auto"/>
        </w:rPr>
      </w:pPr>
    </w:p>
    <w:p>
      <w:pPr>
        <w:ind w:left="900" w:right="440" w:hanging="325"/>
        <w:spacing w:after="0" w:line="332"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U.S. government obligations;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 combination of cash and U.S. government obligations, the scheduled payments of principal and interest on which shall be in an amount;</w:t>
      </w:r>
    </w:p>
    <w:p>
      <w:pPr>
        <w:spacing w:after="0" w:line="11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rFonts w:ascii="Arial" w:cs="Arial" w:eastAsia="Arial" w:hAnsi="Arial"/>
          <w:sz w:val="18"/>
          <w:szCs w:val="18"/>
          <w:color w:val="auto"/>
        </w:rPr>
      </w:pPr>
    </w:p>
    <w:p>
      <w:pPr>
        <w:ind w:left="900" w:right="80" w:hanging="325"/>
        <w:spacing w:after="0" w:line="298"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the case of legal defeasance, we have delivered to the trustee an opinion of counsel stating that, as a result of an Internal Revenue Service (“IRS”) ruling or a change in applicable federal income tax law, the holders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31" w:lineRule="exact"/>
        <w:rPr>
          <w:rFonts w:ascii="Arial" w:cs="Arial" w:eastAsia="Arial" w:hAnsi="Arial"/>
          <w:sz w:val="16"/>
          <w:szCs w:val="16"/>
          <w:color w:val="auto"/>
        </w:rPr>
      </w:pPr>
    </w:p>
    <w:p>
      <w:pPr>
        <w:ind w:left="900" w:right="40" w:hanging="325"/>
        <w:spacing w:after="0" w:line="306"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the case of covenant defeasance, we have delivered to the trustee an opinion of counsel to the effect that the holders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25" w:lineRule="exact"/>
        <w:rPr>
          <w:rFonts w:ascii="Arial" w:cs="Arial" w:eastAsia="Arial" w:hAnsi="Arial"/>
          <w:sz w:val="16"/>
          <w:szCs w:val="16"/>
          <w:color w:val="auto"/>
        </w:rPr>
      </w:pPr>
    </w:p>
    <w:p>
      <w:pPr>
        <w:ind w:left="900" w:right="100" w:hanging="325"/>
        <w:spacing w:after="0" w:line="323" w:lineRule="auto"/>
        <w:tabs>
          <w:tab w:leader="none" w:pos="9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16" w:lineRule="exact"/>
        <w:rPr>
          <w:rFonts w:ascii="Arial" w:cs="Arial" w:eastAsia="Arial" w:hAnsi="Arial"/>
          <w:sz w:val="15"/>
          <w:szCs w:val="15"/>
          <w:color w:val="auto"/>
        </w:rPr>
      </w:pPr>
    </w:p>
    <w:p>
      <w:pPr>
        <w:ind w:left="900" w:right="26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or any other material agreement or instrument to which we are a party;</w:t>
      </w:r>
    </w:p>
    <w:p>
      <w:pPr>
        <w:spacing w:after="0" w:line="59" w:lineRule="exact"/>
        <w:rPr>
          <w:rFonts w:ascii="Arial" w:cs="Arial" w:eastAsia="Arial" w:hAnsi="Arial"/>
          <w:sz w:val="18"/>
          <w:szCs w:val="18"/>
          <w:color w:val="auto"/>
        </w:rPr>
      </w:pPr>
    </w:p>
    <w:p>
      <w:pPr>
        <w:ind w:left="900" w:right="440" w:hanging="325"/>
        <w:spacing w:after="0" w:line="357" w:lineRule="auto"/>
        <w:tabs>
          <w:tab w:leader="none" w:pos="9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ind w:left="900" w:right="2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senior debt securities or because of the creation of any indebtedness represented thereby, against any incorporator, stockholder, officer, director, or employee of ours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senior debt securities will be governed by and construed in accordance with the laws of the State of New York.</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maintain ordinary banking relationships and credit facilities with affiliates of the trustee. Gerald L. Hassell, one of Comcast’s directors, is the Chief Executive Officer and President and a director of the trustee.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459" w:right="3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may issue the senior debt securities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indenture.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indenture.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indenture. We understand that under existing industry practices, if we request any action of holders or if an owner of a beneficial interest in a global security desires to give or take any action which a holder is entitled to give or take under the indenture,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Principal, premium, if any, and interest payments on senior debt securities represented by a global security registered in the name of a depositary or its nominee will be made to such depositary or its nominee, as the case may be, as the registered owner of such global security. None of us, the trustees or any of our other agents or agent of the trustees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trustee or other relevant agent of ours. We expect that such instructions will be based upon directions received by the depositary from participants with respect to ownership of beneficial interests in such global security.</w:t>
      </w:r>
    </w:p>
    <w:p>
      <w:pPr>
        <w:spacing w:after="0" w:line="274"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We may directly solicit offers to purchase securities, or we may designate agents to solicit such offers. We will, in the prospectus supplement relating to such offering, name any agent that could be viewed as an underwriter under the Securities Act of 1933, as amended (the “Securities Act”), and describe any commissions we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validity of the securities in respect of which this prospectus is being delivered will be passed on for us by Davis Polk &amp; Wardwell LLP, Menlo Park, California.</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consolidated financial statements and the related consolidated financial statement schedule appearing in the Company’s Annual Report on Form 10-K for the fiscal year ended December 31, 2011, which is included in this Registration Statement as Exhibit 99.2, have been audited by Deloitte &amp; Touche LLP, an independent registered public accounting firm, as stated in their reports, which are included in the Company’s Annual Report on Form 10-K for the fiscal year ended December 31, 2011 at Exhibit 99.2 of this Registration Statement. The report on the Company’s consolidated financial statements expresses an unqualified opinion and includes an explanatory paragraph referring to General Electric Company’s transaction with Comcast Corporation on January 28, 2011. Such consolidated financial statements and consolidated financial statement schedule have been so included in reliance upon the reports of such firm given upon their authority as experts in accounting and auditing.</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annual consolidated financial statements of NBC Universal, Inc. as of December 31, 2010 and for each of the years in the two-year period ended December 31, 2010, contained in the Company’s Annual Report on Form 10-K, which is included in the registration statement of which this prospectus forms a part, have been included in reliance upon the reports of KPMG LLP, independent registered public accounting firm, included in the registration statement of which this prospectus forms a part, and upon the authority of said firm as experts in accounting and auditing.</w:t>
      </w: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filed with the SEC a registration statement on Form S-3 under the Securities Act. This prospectus, which is a part of the registration statement, does not contain all of the information included in the registration statement. Any statement made in this prospectus concerning the contents of any contract, agreement or other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document is not necessarily complete. For further information regarding NBCUniversal, please refer to the registration statement, including its exhibits. If we have filed any contract, agreement or other document as an exhibit to the registration statement, you should read the exhibit for a more complete understanding of the documents or matters involved. Copies of our Annual Report on Form 10-K for the year ended December 31, 2011, our Quarterly Reports on Form 10-Q for the three months ended March 31, 2012 and the six months ended June 30, 2012 and our Current Report on Form 8-K dated August 22, 2012 are filed as exhibits 99.2 through 99.5 to the registration statement of which this prospectus forms a part.</w:t>
      </w:r>
    </w:p>
    <w:p>
      <w:pPr>
        <w:spacing w:after="0" w:line="116" w:lineRule="exact"/>
        <w:rPr>
          <w:sz w:val="20"/>
          <w:szCs w:val="20"/>
          <w:color w:val="auto"/>
        </w:rPr>
      </w:pPr>
    </w:p>
    <w:p>
      <w:pPr>
        <w:jc w:val="both"/>
        <w:ind w:right="40" w:firstLine="456"/>
        <w:spacing w:after="0" w:line="303" w:lineRule="auto"/>
        <w:rPr>
          <w:sz w:val="20"/>
          <w:szCs w:val="20"/>
          <w:color w:val="auto"/>
        </w:rPr>
      </w:pPr>
      <w:r>
        <w:rPr>
          <w:rFonts w:ascii="Arial" w:cs="Arial" w:eastAsia="Arial" w:hAnsi="Arial"/>
          <w:sz w:val="15"/>
          <w:szCs w:val="15"/>
          <w:color w:val="auto"/>
        </w:rPr>
        <w:t>We file annual, quarterly and special reports and other information with the SEC. You may read and copy any reports or other information filed by us at the SEC’s public reference room at 100 F Street N.E., Washington, DC 20549. Copies of this material can be obtained from the Public Reference Section of the SEC upon payment of fees prescribed by the SEC. You may call the SEC at 1-800-SEC-0330 for further information on the operation of the public reference room.</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filings will also be available to the public from commercial document retrieval services and at the SEC website at “www.sec.gov.” In addition, you may request a copy of any of these filings, at no cost, by writing or telephoning us at the following address or phone number: NBCUniversal Media, LLC, c/o Comcast Corporation, One Comcast Center, Philadelphia, Pennsylvania 19103-2838, (215) 286-1700.</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rely only on the information contained in this prospectus, in any accompanying prospectus supplement and in material we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any prospectus supplement and our filings with the SEC is accurate only as of its date, regardless of the time of delivery of this prospectus and any prospectus supplement or of any sale of the securities.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 NCORPORATION OF CERTAIN DOCUMENTS BY REFERENCE</w:t>
      </w:r>
    </w:p>
    <w:p>
      <w:pPr>
        <w:spacing w:after="0" w:line="17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SEC requires us to include certain information in the registration statement of which this prospectus forms a part, which means that we can disclose important information to you by referring you to those documents. The information in the registration statement is considered to be part of this prospectus. In addition, information we file with the SEC in the future will automatically be incorporated by reference into this prospectus and will update and supersede information contained in this prospectus and any accompanying prospectus supplement.</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incorporate by reference into this prospectus additional documents that we may file with the SEC under Sections 13(a), 13(c), 14 or 15(d) of the Exchange Act until we sell all of the securities we are offering; provided, that any documents we may file on Form SD will not be incorporated by reference into this prospectus. Any statement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30 Rockefeller Plaza, New York, NY, 10112-0015, (212) 664-4444.</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 information regarding NBCUniversal is also included in the following exhibits to the registration statement of which this prospectus forms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part:</w:t>
      </w:r>
    </w:p>
    <w:p>
      <w:pPr>
        <w:spacing w:after="0" w:line="84"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Exhibit 99.2: Annual Report on Form 10-K for the year ended December 31,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Exhibit 99.3: Quarterly Report on Form 10-Q for the three months ended March 31,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Exhibit 99.4: Quarterly Report on Form 10-Q for the six months ended June 30, 2012;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Exhibit 99.5: Current Report on Form 8-K dated August 22, 2012.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40"/>
        <w:spacing w:after="0"/>
        <w:rPr>
          <w:sz w:val="20"/>
          <w:szCs w:val="20"/>
          <w:color w:val="auto"/>
        </w:rPr>
      </w:pPr>
      <w:r>
        <w:rPr>
          <w:rFonts w:ascii="Arial" w:cs="Arial" w:eastAsia="Arial" w:hAnsi="Arial"/>
          <w:sz w:val="24"/>
          <w:szCs w:val="24"/>
          <w:b w:val="1"/>
          <w:bCs w:val="1"/>
          <w:color w:val="auto"/>
        </w:rPr>
        <w:t>$1,000,000,000 2.875% Senior Notes due 2023</w:t>
      </w:r>
    </w:p>
    <w:p>
      <w:pPr>
        <w:spacing w:after="0" w:line="36" w:lineRule="exact"/>
        <w:rPr>
          <w:sz w:val="20"/>
          <w:szCs w:val="20"/>
          <w:color w:val="auto"/>
        </w:rPr>
      </w:pPr>
    </w:p>
    <w:p>
      <w:pPr>
        <w:ind w:left="3340"/>
        <w:spacing w:after="0"/>
        <w:rPr>
          <w:sz w:val="20"/>
          <w:szCs w:val="20"/>
          <w:color w:val="auto"/>
        </w:rPr>
      </w:pPr>
      <w:r>
        <w:rPr>
          <w:rFonts w:ascii="Arial" w:cs="Arial" w:eastAsia="Arial" w:hAnsi="Arial"/>
          <w:sz w:val="24"/>
          <w:szCs w:val="24"/>
          <w:b w:val="1"/>
          <w:bCs w:val="1"/>
          <w:color w:val="auto"/>
        </w:rPr>
        <w:t>$1,000,000,000 4.450% Senior Notes due 2043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494030</wp:posOffset>
            </wp:positionV>
            <wp:extent cx="15176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71120</wp:posOffset>
            </wp:positionV>
            <wp:extent cx="15176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192" w:lineRule="exact"/>
        <w:rPr>
          <w:sz w:val="20"/>
          <w:szCs w:val="20"/>
          <w:color w:val="auto"/>
        </w:rPr>
      </w:pPr>
    </w:p>
    <w:p>
      <w:pPr>
        <w:spacing w:after="0"/>
        <w:tabs>
          <w:tab w:leader="none" w:pos="2660" w:val="left"/>
          <w:tab w:leader="none" w:pos="5180" w:val="left"/>
          <w:tab w:leader="none" w:pos="8260" w:val="left"/>
        </w:tabs>
        <w:rPr>
          <w:sz w:val="20"/>
          <w:szCs w:val="20"/>
          <w:color w:val="auto"/>
        </w:rPr>
      </w:pPr>
      <w:r>
        <w:rPr>
          <w:rFonts w:ascii="Arial" w:cs="Arial" w:eastAsia="Arial" w:hAnsi="Arial"/>
          <w:sz w:val="24"/>
          <w:szCs w:val="24"/>
          <w:b w:val="1"/>
          <w:bCs w:val="1"/>
          <w:color w:val="auto"/>
        </w:rPr>
        <w:t>Credit Suisse</w:t>
      </w:r>
      <w:r>
        <w:rPr>
          <w:sz w:val="20"/>
          <w:szCs w:val="20"/>
          <w:color w:val="auto"/>
        </w:rPr>
        <w:tab/>
      </w:r>
      <w:r>
        <w:rPr>
          <w:rFonts w:ascii="Arial" w:cs="Arial" w:eastAsia="Arial" w:hAnsi="Arial"/>
          <w:sz w:val="24"/>
          <w:szCs w:val="24"/>
          <w:b w:val="1"/>
          <w:bCs w:val="1"/>
          <w:color w:val="auto"/>
        </w:rPr>
        <w:t>J.P. Morgan</w:t>
      </w:r>
      <w:r>
        <w:rPr>
          <w:sz w:val="20"/>
          <w:szCs w:val="20"/>
          <w:color w:val="auto"/>
        </w:rPr>
        <w:tab/>
      </w:r>
      <w:r>
        <w:rPr>
          <w:rFonts w:ascii="Arial" w:cs="Arial" w:eastAsia="Arial" w:hAnsi="Arial"/>
          <w:sz w:val="24"/>
          <w:szCs w:val="24"/>
          <w:b w:val="1"/>
          <w:bCs w:val="1"/>
          <w:color w:val="auto"/>
        </w:rPr>
        <w:t>Morgan Stanley</w:t>
      </w:r>
      <w:r>
        <w:rPr>
          <w:sz w:val="20"/>
          <w:szCs w:val="20"/>
          <w:color w:val="auto"/>
        </w:rPr>
        <w:tab/>
      </w:r>
      <w:r>
        <w:rPr>
          <w:rFonts w:ascii="Arial" w:cs="Arial" w:eastAsia="Arial" w:hAnsi="Arial"/>
          <w:sz w:val="23"/>
          <w:szCs w:val="23"/>
          <w:b w:val="1"/>
          <w:bCs w:val="1"/>
          <w:color w:val="auto"/>
        </w:rPr>
        <w:t>RBC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434340</wp:posOffset>
            </wp:positionV>
            <wp:extent cx="15176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20" w:type="dxa"/>
            <w:vAlign w:val="bottom"/>
          </w:tcPr>
          <w:p>
            <w:pPr>
              <w:spacing w:after="0"/>
              <w:rPr>
                <w:sz w:val="20"/>
                <w:szCs w:val="20"/>
                <w:color w:val="auto"/>
              </w:rPr>
            </w:pPr>
            <w:r>
              <w:rPr>
                <w:rFonts w:ascii="Arial" w:cs="Arial" w:eastAsia="Arial" w:hAnsi="Arial"/>
                <w:sz w:val="22"/>
                <w:szCs w:val="22"/>
                <w:b w:val="1"/>
                <w:bCs w:val="1"/>
                <w:color w:val="auto"/>
              </w:rPr>
              <w:t>Barclays</w:t>
            </w:r>
          </w:p>
        </w:tc>
        <w:tc>
          <w:tcPr>
            <w:tcW w:w="5020" w:type="dxa"/>
            <w:vAlign w:val="bottom"/>
          </w:tcPr>
          <w:p>
            <w:pPr>
              <w:jc w:val="center"/>
              <w:ind w:left="52"/>
              <w:spacing w:after="0"/>
              <w:rPr>
                <w:sz w:val="20"/>
                <w:szCs w:val="20"/>
                <w:color w:val="auto"/>
              </w:rPr>
            </w:pPr>
            <w:r>
              <w:rPr>
                <w:rFonts w:ascii="Arial" w:cs="Arial" w:eastAsia="Arial" w:hAnsi="Arial"/>
                <w:sz w:val="22"/>
                <w:szCs w:val="22"/>
                <w:b w:val="1"/>
                <w:bCs w:val="1"/>
                <w:color w:val="auto"/>
                <w:w w:val="93"/>
              </w:rPr>
              <w:t>BNP PARIBAS</w:t>
            </w:r>
          </w:p>
        </w:tc>
        <w:tc>
          <w:tcPr>
            <w:tcW w:w="3380" w:type="dxa"/>
            <w:vAlign w:val="bottom"/>
          </w:tcPr>
          <w:p>
            <w:pPr>
              <w:jc w:val="right"/>
              <w:spacing w:after="0"/>
              <w:rPr>
                <w:sz w:val="20"/>
                <w:szCs w:val="20"/>
                <w:color w:val="auto"/>
              </w:rPr>
            </w:pPr>
            <w:r>
              <w:rPr>
                <w:rFonts w:ascii="Arial" w:cs="Arial" w:eastAsia="Arial" w:hAnsi="Arial"/>
                <w:sz w:val="22"/>
                <w:szCs w:val="22"/>
                <w:b w:val="1"/>
                <w:bCs w:val="1"/>
                <w:color w:val="auto"/>
              </w:rPr>
              <w:t>BofA Merrill Lynch</w:t>
            </w:r>
          </w:p>
        </w:tc>
      </w:tr>
      <w:tr>
        <w:trPr>
          <w:trHeight w:val="243"/>
        </w:trPr>
        <w:tc>
          <w:tcPr>
            <w:tcW w:w="3020" w:type="dxa"/>
            <w:vAlign w:val="bottom"/>
          </w:tcPr>
          <w:p>
            <w:pPr>
              <w:spacing w:after="0" w:line="243" w:lineRule="exact"/>
              <w:rPr>
                <w:sz w:val="20"/>
                <w:szCs w:val="20"/>
                <w:color w:val="auto"/>
              </w:rPr>
            </w:pPr>
            <w:r>
              <w:rPr>
                <w:rFonts w:ascii="Arial" w:cs="Arial" w:eastAsia="Arial" w:hAnsi="Arial"/>
                <w:sz w:val="22"/>
                <w:szCs w:val="22"/>
                <w:b w:val="1"/>
                <w:bCs w:val="1"/>
                <w:color w:val="auto"/>
              </w:rPr>
              <w:t>Citigroup</w:t>
            </w:r>
          </w:p>
        </w:tc>
        <w:tc>
          <w:tcPr>
            <w:tcW w:w="5020" w:type="dxa"/>
            <w:vAlign w:val="bottom"/>
          </w:tcPr>
          <w:p>
            <w:pPr>
              <w:jc w:val="center"/>
              <w:ind w:left="52"/>
              <w:spacing w:after="0" w:line="243" w:lineRule="exact"/>
              <w:rPr>
                <w:sz w:val="20"/>
                <w:szCs w:val="20"/>
                <w:color w:val="auto"/>
              </w:rPr>
            </w:pPr>
            <w:r>
              <w:rPr>
                <w:rFonts w:ascii="Arial" w:cs="Arial" w:eastAsia="Arial" w:hAnsi="Arial"/>
                <w:sz w:val="22"/>
                <w:szCs w:val="22"/>
                <w:b w:val="1"/>
                <w:bCs w:val="1"/>
                <w:color w:val="auto"/>
                <w:w w:val="86"/>
              </w:rPr>
              <w:t>Deutsche Bank Securities</w:t>
            </w:r>
          </w:p>
        </w:tc>
        <w:tc>
          <w:tcPr>
            <w:tcW w:w="33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Goldman, Sachs &amp; Co.</w:t>
            </w:r>
          </w:p>
        </w:tc>
      </w:tr>
      <w:tr>
        <w:trPr>
          <w:trHeight w:val="243"/>
        </w:trPr>
        <w:tc>
          <w:tcPr>
            <w:tcW w:w="3020" w:type="dxa"/>
            <w:vAlign w:val="bottom"/>
          </w:tcPr>
          <w:p>
            <w:pPr>
              <w:spacing w:after="0" w:line="243" w:lineRule="exact"/>
              <w:rPr>
                <w:sz w:val="20"/>
                <w:szCs w:val="20"/>
                <w:color w:val="auto"/>
              </w:rPr>
            </w:pPr>
            <w:r>
              <w:rPr>
                <w:rFonts w:ascii="Arial" w:cs="Arial" w:eastAsia="Arial" w:hAnsi="Arial"/>
                <w:sz w:val="22"/>
                <w:szCs w:val="22"/>
                <w:b w:val="1"/>
                <w:bCs w:val="1"/>
                <w:color w:val="auto"/>
              </w:rPr>
              <w:t>Lloyds Securities</w:t>
            </w:r>
          </w:p>
        </w:tc>
        <w:tc>
          <w:tcPr>
            <w:tcW w:w="5020" w:type="dxa"/>
            <w:vAlign w:val="bottom"/>
          </w:tcPr>
          <w:p>
            <w:pPr>
              <w:jc w:val="center"/>
              <w:ind w:left="52"/>
              <w:spacing w:after="0" w:line="243" w:lineRule="exact"/>
              <w:rPr>
                <w:sz w:val="20"/>
                <w:szCs w:val="20"/>
                <w:color w:val="auto"/>
              </w:rPr>
            </w:pPr>
            <w:r>
              <w:rPr>
                <w:rFonts w:ascii="Arial" w:cs="Arial" w:eastAsia="Arial" w:hAnsi="Arial"/>
                <w:sz w:val="22"/>
                <w:szCs w:val="22"/>
                <w:b w:val="1"/>
                <w:bCs w:val="1"/>
                <w:color w:val="auto"/>
                <w:w w:val="88"/>
              </w:rPr>
              <w:t>Mizuho Securities</w:t>
            </w:r>
          </w:p>
        </w:tc>
        <w:tc>
          <w:tcPr>
            <w:tcW w:w="33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RBS</w:t>
            </w:r>
          </w:p>
        </w:tc>
      </w:tr>
      <w:tr>
        <w:trPr>
          <w:trHeight w:val="281"/>
        </w:trPr>
        <w:tc>
          <w:tcPr>
            <w:tcW w:w="3020" w:type="dxa"/>
            <w:vAlign w:val="bottom"/>
          </w:tcPr>
          <w:p>
            <w:pPr>
              <w:spacing w:after="0"/>
              <w:rPr>
                <w:sz w:val="20"/>
                <w:szCs w:val="20"/>
                <w:color w:val="auto"/>
              </w:rPr>
            </w:pPr>
            <w:r>
              <w:rPr>
                <w:rFonts w:ascii="Arial" w:cs="Arial" w:eastAsia="Arial" w:hAnsi="Arial"/>
                <w:sz w:val="22"/>
                <w:szCs w:val="22"/>
                <w:b w:val="1"/>
                <w:bCs w:val="1"/>
                <w:color w:val="auto"/>
              </w:rPr>
              <w:t>SMBC Nikko</w:t>
            </w:r>
          </w:p>
        </w:tc>
        <w:tc>
          <w:tcPr>
            <w:tcW w:w="5020" w:type="dxa"/>
            <w:vAlign w:val="bottom"/>
          </w:tcPr>
          <w:p>
            <w:pPr>
              <w:jc w:val="center"/>
              <w:ind w:left="52"/>
              <w:spacing w:after="0"/>
              <w:rPr>
                <w:sz w:val="20"/>
                <w:szCs w:val="20"/>
                <w:color w:val="auto"/>
              </w:rPr>
            </w:pPr>
            <w:r>
              <w:rPr>
                <w:rFonts w:ascii="Arial" w:cs="Arial" w:eastAsia="Arial" w:hAnsi="Arial"/>
                <w:sz w:val="22"/>
                <w:szCs w:val="22"/>
                <w:b w:val="1"/>
                <w:bCs w:val="1"/>
                <w:color w:val="auto"/>
                <w:w w:val="90"/>
              </w:rPr>
              <w:t>UBS Investment Bank</w:t>
            </w:r>
          </w:p>
        </w:tc>
        <w:tc>
          <w:tcPr>
            <w:tcW w:w="3380" w:type="dxa"/>
            <w:vAlign w:val="bottom"/>
          </w:tcPr>
          <w:p>
            <w:pPr>
              <w:jc w:val="right"/>
              <w:spacing w:after="0"/>
              <w:rPr>
                <w:sz w:val="20"/>
                <w:szCs w:val="20"/>
                <w:color w:val="auto"/>
              </w:rPr>
            </w:pPr>
            <w:r>
              <w:rPr>
                <w:rFonts w:ascii="Arial" w:cs="Arial" w:eastAsia="Arial" w:hAnsi="Arial"/>
                <w:sz w:val="22"/>
                <w:szCs w:val="22"/>
                <w:b w:val="1"/>
                <w:bCs w:val="1"/>
                <w:color w:val="auto"/>
              </w:rPr>
              <w:t>Wells Fargo Securities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405130</wp:posOffset>
            </wp:positionV>
            <wp:extent cx="15176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Santander</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Gleacher &amp; Company</w:t>
      </w:r>
    </w:p>
    <w:p>
      <w:pPr>
        <w:spacing w:after="0" w:line="4"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auto"/>
        </w:rPr>
        <w:t>SunTrust Robinson Humphrey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560"/>
        <w:spacing w:after="0"/>
        <w:rPr>
          <w:sz w:val="20"/>
          <w:szCs w:val="20"/>
          <w:color w:val="auto"/>
        </w:rPr>
      </w:pPr>
      <w:r>
        <w:rPr>
          <w:rFonts w:ascii="Arial" w:cs="Arial" w:eastAsia="Arial" w:hAnsi="Arial"/>
          <w:sz w:val="22"/>
          <w:szCs w:val="22"/>
          <w:b w:val="1"/>
          <w:bCs w:val="1"/>
          <w:color w:val="auto"/>
        </w:rPr>
        <w:t>US Bancorp</w:t>
      </w:r>
    </w:p>
    <w:p>
      <w:pPr>
        <w:spacing w:after="0" w:line="28" w:lineRule="exact"/>
        <w:rPr>
          <w:sz w:val="20"/>
          <w:szCs w:val="20"/>
          <w:color w:val="auto"/>
        </w:rPr>
      </w:pPr>
    </w:p>
    <w:p>
      <w:pPr>
        <w:jc w:val="center"/>
        <w:ind w:right="1560"/>
        <w:spacing w:after="0"/>
        <w:rPr>
          <w:sz w:val="20"/>
          <w:szCs w:val="20"/>
          <w:color w:val="auto"/>
        </w:rPr>
      </w:pPr>
      <w:r>
        <w:rPr>
          <w:rFonts w:ascii="Arial" w:cs="Arial" w:eastAsia="Arial" w:hAnsi="Arial"/>
          <w:sz w:val="19"/>
          <w:szCs w:val="19"/>
          <w:b w:val="1"/>
          <w:bCs w:val="1"/>
          <w:color w:val="auto"/>
        </w:rPr>
        <w:t>DnB NOR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609600</wp:posOffset>
            </wp:positionV>
            <wp:extent cx="15176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line="256" w:lineRule="auto"/>
        <w:rPr>
          <w:sz w:val="20"/>
          <w:szCs w:val="20"/>
          <w:color w:val="auto"/>
        </w:rPr>
      </w:pPr>
      <w:r>
        <w:rPr>
          <w:rFonts w:ascii="Arial" w:cs="Arial" w:eastAsia="Arial" w:hAnsi="Arial"/>
          <w:sz w:val="22"/>
          <w:szCs w:val="22"/>
          <w:b w:val="1"/>
          <w:bCs w:val="1"/>
          <w:color w:val="auto"/>
        </w:rPr>
        <w:t>Allen &amp; Company LLC PNC Capital Markets LLC TD Securities</w:t>
      </w:r>
    </w:p>
    <w:p>
      <w:pPr>
        <w:spacing w:after="0" w:line="200" w:lineRule="exact"/>
        <w:rPr>
          <w:sz w:val="20"/>
          <w:szCs w:val="20"/>
          <w:color w:val="auto"/>
        </w:rPr>
      </w:pPr>
    </w:p>
    <w:p>
      <w:pPr>
        <w:sectPr>
          <w:pgSz w:w="11900" w:h="16838" w:orient="portrait"/>
          <w:cols w:equalWidth="0" w:num="3">
            <w:col w:w="4120" w:space="720"/>
            <w:col w:w="3340" w:space="720"/>
            <w:col w:w="25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940"/>
        <w:spacing w:after="0" w:line="335" w:lineRule="auto"/>
        <w:rPr>
          <w:sz w:val="20"/>
          <w:szCs w:val="20"/>
          <w:color w:val="auto"/>
        </w:rPr>
      </w:pPr>
      <w:r>
        <w:rPr>
          <w:rFonts w:ascii="Arial" w:cs="Arial" w:eastAsia="Arial" w:hAnsi="Arial"/>
          <w:sz w:val="19"/>
          <w:szCs w:val="19"/>
          <w:b w:val="1"/>
          <w:bCs w:val="1"/>
          <w:color w:val="auto"/>
        </w:rPr>
        <w:t>Loop Capital Markets Lebenthal Capital Markets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400"/>
        <w:spacing w:after="0"/>
        <w:rPr>
          <w:sz w:val="20"/>
          <w:szCs w:val="20"/>
          <w:color w:val="auto"/>
        </w:rPr>
      </w:pPr>
      <w:r>
        <w:rPr>
          <w:rFonts w:ascii="Arial" w:cs="Arial" w:eastAsia="Arial" w:hAnsi="Arial"/>
          <w:sz w:val="19"/>
          <w:szCs w:val="19"/>
          <w:b w:val="1"/>
          <w:bCs w:val="1"/>
          <w:color w:val="auto"/>
        </w:rPr>
        <w:t>The Williams Capital Group, L.P.</w:t>
      </w:r>
    </w:p>
    <w:p>
      <w:pPr>
        <w:spacing w:after="0" w:line="49" w:lineRule="exact"/>
        <w:rPr>
          <w:sz w:val="20"/>
          <w:szCs w:val="20"/>
          <w:color w:val="auto"/>
        </w:rPr>
      </w:pPr>
    </w:p>
    <w:p>
      <w:pPr>
        <w:jc w:val="center"/>
        <w:ind w:right="1400"/>
        <w:spacing w:after="0"/>
        <w:rPr>
          <w:sz w:val="20"/>
          <w:szCs w:val="20"/>
          <w:color w:val="auto"/>
        </w:rPr>
      </w:pPr>
      <w:r>
        <w:rPr>
          <w:rFonts w:ascii="Arial" w:cs="Arial" w:eastAsia="Arial" w:hAnsi="Arial"/>
          <w:sz w:val="22"/>
          <w:szCs w:val="22"/>
          <w:b w:val="1"/>
          <w:bCs w:val="1"/>
          <w:color w:val="auto"/>
        </w:rPr>
        <w:t>MFR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407670</wp:posOffset>
            </wp:positionV>
            <wp:extent cx="15176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Drexel Hamilton</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Ramirez and Co., Inc.</w:t>
      </w:r>
    </w:p>
    <w:p>
      <w:pPr>
        <w:spacing w:after="0" w:line="324" w:lineRule="exact"/>
        <w:rPr>
          <w:sz w:val="20"/>
          <w:szCs w:val="20"/>
          <w:color w:val="auto"/>
        </w:rPr>
      </w:pPr>
    </w:p>
    <w:p>
      <w:pPr>
        <w:sectPr>
          <w:pgSz w:w="11900" w:h="16838" w:orient="portrait"/>
          <w:cols w:equalWidth="0" w:num="3">
            <w:col w:w="3460" w:space="720"/>
            <w:col w:w="4500" w:space="720"/>
            <w:col w:w="20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September 28,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lvl w:ilvl="1">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lowerLetter"/>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1)"/>
      <w:numFmt w:val="lowerLetter"/>
      <w:start w:val="1"/>
    </w:lvl>
  </w:abstractNum>
  <w:abstractNum w:abstractNumId="11">
    <w:nsid w:val="614FD4A1"/>
    <w:multiLevelType w:val="hybridMultilevel"/>
    <w:lvl w:ilvl="0">
      <w:lvlJc w:val="left"/>
      <w:lvlText w:val="(%1)"/>
      <w:numFmt w:val="lowerLetter"/>
      <w:start w:val="1"/>
    </w:lvl>
  </w:abstractNum>
  <w:abstractNum w:abstractNumId="12">
    <w:nsid w:val="419AC241"/>
    <w:multiLevelType w:val="hybridMultilevel"/>
    <w:lvl w:ilvl="0">
      <w:lvlJc w:val="left"/>
      <w:lvlText w:val="(%1)"/>
      <w:numFmt w:val="lowerLetter"/>
      <w:start w:val="1"/>
    </w:lvl>
  </w:abstractNum>
  <w:abstractNum w:abstractNumId="13">
    <w:nsid w:val="5577F8E1"/>
    <w:multiLevelType w:val="hybridMultilevel"/>
    <w:lvl w:ilvl="0">
      <w:lvlJc w:val="left"/>
      <w:lvlText w:val="(%1)"/>
      <w:numFmt w:val="lowerLetter"/>
      <w:start w:val="1"/>
    </w:lvl>
  </w:abstractNum>
  <w:abstractNum w:abstractNumId="14">
    <w:nsid w:val="440BADFC"/>
    <w:multiLevelType w:val="hybridMultilevel"/>
    <w:lvl w:ilvl="0">
      <w:lvlJc w:val="left"/>
      <w:lvlText w:val="(%1)"/>
      <w:numFmt w:val="lowerLetter"/>
      <w:start w:val="1"/>
    </w:lvl>
  </w:abstractNum>
  <w:abstractNum w:abstractNumId="15">
    <w:nsid w:val="5072367"/>
    <w:multiLevelType w:val="hybridMultilevel"/>
    <w:lvl w:ilvl="0">
      <w:lvlJc w:val="left"/>
      <w:lvlText w:val="(%1)"/>
      <w:numFmt w:val="lowerLetter"/>
      <w:start w:val="1"/>
    </w:lvl>
  </w:abstractNum>
  <w:abstractNum w:abstractNumId="16">
    <w:nsid w:val="3804823E"/>
    <w:multiLevelType w:val="hybridMultilevel"/>
    <w:lvl w:ilvl="0">
      <w:lvlJc w:val="left"/>
      <w:lvlText w:val="(%1)"/>
      <w:numFmt w:val="lowerLetter"/>
      <w:start w:val="11"/>
    </w:lvl>
  </w:abstractNum>
  <w:abstractNum w:abstractNumId="17">
    <w:nsid w:val="77465F01"/>
    <w:multiLevelType w:val="hybridMultilevel"/>
    <w:lvl w:ilvl="0">
      <w:lvlJc w:val="left"/>
      <w:lvlText w:val="(%1)"/>
      <w:numFmt w:val="lowerLetter"/>
      <w:start w:val="1"/>
    </w:lvl>
  </w:abstractNum>
  <w:abstractNum w:abstractNumId="18">
    <w:nsid w:val="7724C67E"/>
    <w:multiLevelType w:val="hybridMultilevel"/>
    <w:lvl w:ilvl="0">
      <w:lvlJc w:val="left"/>
      <w:lvlText w:val="(%1)"/>
      <w:numFmt w:val="lowerLetter"/>
      <w:start w:val="3"/>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lvl w:ilvl="1">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lvl w:ilvl="1">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1."/>
      <w:numFmt w:val="upperLetter"/>
      <w:start w:val="1"/>
    </w:lvl>
  </w:abstractNum>
  <w:abstractNum w:abstractNumId="30">
    <w:nsid w:val="1D4ED43B"/>
    <w:multiLevelType w:val="hybridMultilevel"/>
    <w:lvl w:ilvl="0">
      <w:lvlJc w:val="left"/>
      <w:lvlText w:val="(%1)"/>
      <w:numFmt w:val="lowerRoman"/>
      <w:start w:val="1"/>
    </w:lvl>
  </w:abstractNum>
  <w:abstractNum w:abstractNumId="31">
    <w:nsid w:val="725A06FB"/>
    <w:multiLevelType w:val="hybridMultilevel"/>
    <w:lvl w:ilvl="0">
      <w:lvlJc w:val="left"/>
      <w:lvlText w:val="(%1)"/>
      <w:numFmt w:val="lowerLetter"/>
      <w:start w:val="1"/>
    </w:lvl>
  </w:abstractNum>
  <w:abstractNum w:abstractNumId="32">
    <w:nsid w:val="2CD89A32"/>
    <w:multiLevelType w:val="hybridMultilevel"/>
    <w:lvl w:ilvl="0">
      <w:lvlJc w:val="left"/>
      <w:lvlText w:val="(%1)"/>
      <w:numFmt w:val="lowerLetter"/>
      <w:start w:val="2"/>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1)"/>
      <w:numFmt w:val="lowerLetter"/>
      <w:start w:val="1"/>
    </w:lvl>
  </w:abstractNum>
  <w:abstractNum w:abstractNumId="40">
    <w:nsid w:val="32FFF902"/>
    <w:multiLevelType w:val="hybridMultilevel"/>
    <w:lvl w:ilvl="0">
      <w:lvlJc w:val="left"/>
      <w:lvlText w:val="(%1)"/>
      <w:numFmt w:val="lowerLetter"/>
      <w:start w:val="1"/>
    </w:lvl>
  </w:abstractNum>
  <w:abstractNum w:abstractNumId="41">
    <w:nsid w:val="684A481A"/>
    <w:multiLevelType w:val="hybridMultilevel"/>
    <w:lvl w:ilvl="0">
      <w:lvlJc w:val="left"/>
      <w:lvlText w:val="(%1)"/>
      <w:numFmt w:val="lowerLetter"/>
      <w:start w:val="1"/>
    </w:lvl>
  </w:abstractNum>
  <w:abstractNum w:abstractNumId="42">
    <w:nsid w:val="579478FE"/>
    <w:multiLevelType w:val="hybridMultilevel"/>
    <w:lvl w:ilvl="0">
      <w:lvlJc w:val="left"/>
      <w:lvlText w:val="(%1)"/>
      <w:numFmt w:val="lowerLetter"/>
      <w:start w:val="1"/>
    </w:lvl>
  </w:abstractNum>
  <w:abstractNum w:abstractNumId="43">
    <w:nsid w:val="749ABB43"/>
    <w:multiLevelType w:val="hybridMultilevel"/>
    <w:lvl w:ilvl="0">
      <w:lvlJc w:val="left"/>
      <w:lvlText w:val="(%1)"/>
      <w:numFmt w:val="lowerLetter"/>
      <w:start w:val="1"/>
    </w:lvl>
  </w:abstractNum>
  <w:abstractNum w:abstractNumId="44">
    <w:nsid w:val="3DC240FB"/>
    <w:multiLevelType w:val="hybridMultilevel"/>
    <w:lvl w:ilvl="0">
      <w:lvlJc w:val="left"/>
      <w:lvlText w:val="(%1)"/>
      <w:numFmt w:val="lowerLetter"/>
      <w:start w:val="1"/>
    </w:lvl>
  </w:abstractNum>
  <w:abstractNum w:abstractNumId="45">
    <w:nsid w:val="1BA026FA"/>
    <w:multiLevelType w:val="hybridMultilevel"/>
    <w:lvl w:ilvl="0">
      <w:lvlJc w:val="left"/>
      <w:lvlText w:val="(%1)"/>
      <w:numFmt w:val="lowerLetter"/>
      <w:start w:val="11"/>
    </w:lvl>
  </w:abstractNum>
  <w:abstractNum w:abstractNumId="46">
    <w:nsid w:val="79A1DEAA"/>
    <w:multiLevelType w:val="hybridMultilevel"/>
    <w:lvl w:ilvl="0">
      <w:lvlJc w:val="left"/>
      <w:lvlText w:val="(%1)"/>
      <w:numFmt w:val="lowerLetter"/>
      <w:start w:val="1"/>
    </w:lvl>
  </w:abstractNum>
  <w:abstractNum w:abstractNumId="47">
    <w:nsid w:val="75C6C33A"/>
    <w:multiLevelType w:val="hybridMultilevel"/>
    <w:lvl w:ilvl="0">
      <w:lvlJc w:val="left"/>
      <w:lvlText w:val="(%1)"/>
      <w:numFmt w:val="lowerLetter"/>
      <w:start w:val="3"/>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lvl w:ilvl="1">
      <w:lvlJc w:val="left"/>
      <w:lvlText w:val="•"/>
      <w:numFmt w:val="bullet"/>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
      <w:numFmt w:val="bullet"/>
      <w:start w:val="1"/>
    </w:lvl>
    <w:lvl w:ilvl="1">
      <w:lvlJc w:val="left"/>
      <w:lvlText w:val="•"/>
      <w:numFmt w:val="bullet"/>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2019-12-11T05:43:22Z</dcterms:created>
  <dcterms:modified xsi:type="dcterms:W3CDTF">2019-12-11T05:43:22Z</dcterms:modified>
</cp:coreProperties>
</file>