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Reid Thomas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92,478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92,478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92,478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subject to the achievement of performance conditions, which were attained on the transaction date. The restricted stock units vest 100% on the 3rd anniversary of the grant date.</w:t>
      </w:r>
    </w:p>
    <w:p>
      <w:pPr>
        <w:ind w:left="6600"/>
        <w:spacing w:after="0" w:line="231" w:lineRule="auto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02/27/2025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122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2025-02-27T16:16:14Z</dcterms:created>
  <dcterms:modified xsi:type="dcterms:W3CDTF">2025-02-27T16:16:14Z</dcterms:modified>
</cp:coreProperties>
</file>