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20594</w:t>
      </w:r>
    </w:p>
    <w:p>
      <w:pPr>
        <w:spacing w:after="0" w:line="372"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640"/>
        <w:spacing w:after="0"/>
        <w:tabs>
          <w:tab w:leader="none" w:pos="46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Special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200300200</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right="2739"/>
        <w:spacing w:after="0" w:line="260"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93" w:lineRule="exact"/>
        <w:rPr>
          <w:sz w:val="24"/>
          <w:szCs w:val="24"/>
          <w:color w:val="auto"/>
        </w:rPr>
      </w:pPr>
    </w:p>
    <w:p>
      <w:pPr>
        <w:jc w:val="both"/>
        <w:ind w:right="2839"/>
        <w:spacing w:after="0" w:line="31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right="273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20"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169"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372"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9" w:lineRule="exact"/>
        <w:rPr>
          <w:sz w:val="20"/>
          <w:szCs w:val="20"/>
          <w:color w:val="auto"/>
        </w:rPr>
      </w:pPr>
    </w:p>
    <w:p>
      <w:pPr>
        <w:ind w:left="1900" w:right="6519" w:hanging="417"/>
        <w:spacing w:after="0" w:line="585"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2,138,350</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21,794,160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2619" w:hanging="427"/>
        <w:spacing w:after="0" w:line="585"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21,794,160 Beneficial ownership disclaimed pursuant to Rule 13d-4</w:t>
      </w:r>
    </w:p>
    <w:p>
      <w:pPr>
        <w:spacing w:after="0" w:line="19"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7.0%</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1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488"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right="451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82"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372" w:lineRule="exact"/>
        <w:rPr>
          <w:sz w:val="20"/>
          <w:szCs w:val="20"/>
          <w:color w:val="auto"/>
        </w:rPr>
      </w:pPr>
    </w:p>
    <w:p>
      <w:pPr>
        <w:ind w:left="540" w:hanging="427"/>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right="5899" w:hanging="427"/>
        <w:spacing w:after="0" w:line="58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9" w:lineRule="exact"/>
        <w:rPr>
          <w:sz w:val="20"/>
          <w:szCs w:val="20"/>
          <w:color w:val="auto"/>
        </w:rPr>
      </w:pPr>
    </w:p>
    <w:p>
      <w:pPr>
        <w:ind w:left="1900" w:right="6519" w:hanging="417"/>
        <w:spacing w:after="0" w:line="585" w:lineRule="auto"/>
        <w:tabs>
          <w:tab w:leader="none" w:pos="19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1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NUMBER OF</w:t>
      </w:r>
    </w:p>
    <w:p>
      <w:pPr>
        <w:ind w:left="320"/>
        <w:spacing w:after="0" w:line="238" w:lineRule="auto"/>
        <w:rPr>
          <w:sz w:val="20"/>
          <w:szCs w:val="20"/>
          <w:color w:val="auto"/>
        </w:rPr>
      </w:pPr>
      <w:r>
        <w:rPr>
          <w:rFonts w:ascii="Courier New" w:cs="Courier New" w:eastAsia="Courier New" w:hAnsi="Courier New"/>
          <w:sz w:val="18"/>
          <w:szCs w:val="18"/>
          <w:color w:val="auto"/>
        </w:rPr>
        <w:t>SHARES</w:t>
      </w:r>
    </w:p>
    <w:p>
      <w:pPr>
        <w:ind w:left="1900"/>
        <w:spacing w:after="0"/>
        <w:rPr>
          <w:sz w:val="20"/>
          <w:szCs w:val="20"/>
          <w:color w:val="auto"/>
        </w:rPr>
      </w:pPr>
      <w:r>
        <w:rPr>
          <w:rFonts w:ascii="Courier New" w:cs="Courier New" w:eastAsia="Courier New" w:hAnsi="Courier New"/>
          <w:sz w:val="18"/>
          <w:szCs w:val="18"/>
          <w:color w:val="auto"/>
        </w:rPr>
        <w:t>NONE</w:t>
      </w: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20"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8" w:lineRule="auto"/>
        <w:rPr>
          <w:sz w:val="20"/>
          <w:szCs w:val="20"/>
          <w:color w:val="auto"/>
        </w:rPr>
      </w:pPr>
      <w:r>
        <w:rPr>
          <w:rFonts w:ascii="Courier New" w:cs="Courier New" w:eastAsia="Courier New" w:hAnsi="Courier New"/>
          <w:sz w:val="18"/>
          <w:szCs w:val="18"/>
          <w:color w:val="auto"/>
        </w:rPr>
        <w:t>REPORTING</w:t>
      </w:r>
    </w:p>
    <w:p>
      <w:pPr>
        <w:ind w:left="1900"/>
        <w:spacing w:after="0"/>
        <w:rPr>
          <w:sz w:val="20"/>
          <w:szCs w:val="20"/>
          <w:color w:val="auto"/>
        </w:rPr>
      </w:pPr>
      <w:r>
        <w:rPr>
          <w:rFonts w:ascii="Courier New" w:cs="Courier New" w:eastAsia="Courier New" w:hAnsi="Courier New"/>
          <w:sz w:val="18"/>
          <w:szCs w:val="18"/>
          <w:color w:val="auto"/>
        </w:rPr>
        <w:t>19,315,900</w:t>
      </w:r>
    </w:p>
    <w:p>
      <w:pPr>
        <w:spacing w:after="0"/>
        <w:rPr>
          <w:sz w:val="20"/>
          <w:szCs w:val="20"/>
          <w:color w:val="auto"/>
        </w:rPr>
      </w:pPr>
      <w:r>
        <w:rPr>
          <w:rFonts w:ascii="Courier New" w:cs="Courier New" w:eastAsia="Courier New" w:hAnsi="Courier New"/>
          <w:sz w:val="18"/>
          <w:szCs w:val="18"/>
          <w:color w:val="auto"/>
        </w:rPr>
        <w:t>PERSON WITH</w:t>
      </w:r>
    </w:p>
    <w:p>
      <w:pPr>
        <w:spacing w:after="0" w:line="372" w:lineRule="exact"/>
        <w:rPr>
          <w:sz w:val="20"/>
          <w:szCs w:val="20"/>
          <w:color w:val="auto"/>
        </w:rPr>
      </w:pPr>
    </w:p>
    <w:p>
      <w:pPr>
        <w:ind w:left="1900" w:right="5779" w:hanging="417"/>
        <w:spacing w:after="0" w:line="585" w:lineRule="auto"/>
        <w:tabs>
          <w:tab w:leader="none" w:pos="19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19" w:lineRule="exact"/>
        <w:rPr>
          <w:sz w:val="20"/>
          <w:szCs w:val="20"/>
          <w:color w:val="auto"/>
        </w:rPr>
      </w:pPr>
    </w:p>
    <w:p>
      <w:pPr>
        <w:ind w:left="540" w:right="2619" w:hanging="427"/>
        <w:spacing w:after="0" w:line="585" w:lineRule="auto"/>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19,315,900 Beneficial ownership disclaimed pursuant to Rule 13d-4</w:t>
      </w:r>
    </w:p>
    <w:p>
      <w:pPr>
        <w:spacing w:after="0" w:line="19" w:lineRule="exact"/>
        <w:rPr>
          <w:sz w:val="20"/>
          <w:szCs w:val="20"/>
          <w:color w:val="auto"/>
        </w:rPr>
      </w:pPr>
    </w:p>
    <w:p>
      <w:pPr>
        <w:ind w:left="540" w:hanging="427"/>
        <w:spacing w:after="0"/>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58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6.2%</w:t>
      </w:r>
    </w:p>
    <w:p>
      <w:pPr>
        <w:spacing w:after="0" w:line="18" w:lineRule="exact"/>
        <w:rPr>
          <w:rFonts w:ascii="Courier New" w:cs="Courier New" w:eastAsia="Courier New" w:hAnsi="Courier New"/>
          <w:sz w:val="18"/>
          <w:szCs w:val="18"/>
          <w:color w:val="auto"/>
        </w:rPr>
      </w:pPr>
    </w:p>
    <w:p>
      <w:pPr>
        <w:ind w:left="540" w:right="7059" w:hanging="427"/>
        <w:spacing w:after="0" w:line="58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1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893"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Comcast Corporation</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31" w:lineRule="exact"/>
        <w:rPr>
          <w:sz w:val="20"/>
          <w:szCs w:val="20"/>
          <w:color w:val="auto"/>
        </w:rPr>
      </w:pPr>
    </w:p>
    <w:p>
      <w:pPr>
        <w:ind w:left="740" w:right="3679"/>
        <w:spacing w:after="0" w:line="309" w:lineRule="auto"/>
        <w:rPr>
          <w:sz w:val="20"/>
          <w:szCs w:val="20"/>
          <w:color w:val="auto"/>
        </w:rPr>
      </w:pPr>
      <w:r>
        <w:rPr>
          <w:rFonts w:ascii="Courier New" w:cs="Courier New" w:eastAsia="Courier New" w:hAnsi="Courier New"/>
          <w:sz w:val="18"/>
          <w:szCs w:val="18"/>
          <w:color w:val="auto"/>
        </w:rPr>
        <w:t>The Capital Group Companies, Inc., Capital Research and Management Company</w:t>
      </w:r>
    </w:p>
    <w:p>
      <w:pPr>
        <w:spacing w:after="0" w:line="5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169"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Class A Special Common Stock</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3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200300200</w:t>
      </w:r>
    </w:p>
    <w:p>
      <w:pPr>
        <w:spacing w:after="0" w:line="16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1" w:lineRule="exact"/>
        <w:rPr>
          <w:sz w:val="20"/>
          <w:szCs w:val="20"/>
          <w:color w:val="auto"/>
        </w:rPr>
      </w:pPr>
    </w:p>
    <w:p>
      <w:pPr>
        <w:ind w:left="1280" w:right="2839" w:hanging="535"/>
        <w:spacing w:after="0" w:line="257" w:lineRule="auto"/>
        <w:tabs>
          <w:tab w:leader="none" w:pos="1491"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ind w:left="1280" w:right="2939" w:hanging="535"/>
        <w:spacing w:after="0" w:line="309" w:lineRule="auto"/>
        <w:tabs>
          <w:tab w:leader="none" w:pos="149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740" w:right="2619"/>
        <w:spacing w:after="0" w:line="246"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ectPr>
          <w:pgSz w:w="11900" w:h="16838" w:orient="portrait"/>
          <w:cols w:equalWidth="0" w:num="1">
            <w:col w:w="10219"/>
          </w:cols>
          <w:pgMar w:left="240" w:top="691" w:right="1440" w:bottom="1440" w:gutter="0" w:footer="0" w:header="0"/>
        </w:sectPr>
      </w:pPr>
    </w:p>
    <w:bookmarkStart w:id="6" w:name="page7"/>
    <w:bookmarkEnd w:id="6"/>
    <w:p>
      <w:pPr>
        <w:spacing w:after="0" w:line="246" w:lineRule="auto"/>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740" w:right="2619"/>
        <w:spacing w:after="0" w:line="253"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and wholly owned subsidiary of The Capital Group Companies, Inc., is the beneficial owner of 19,315,900 shares or 6.2% of the 308,407,000 shares of Class A Special Common Stock believed to be outstanding as a result of acting as investment adviser to various investment companies registered under Section 8 of the Investment Company Act of 1940.</w:t>
      </w:r>
    </w:p>
    <w:p>
      <w:pPr>
        <w:spacing w:after="0" w:line="104" w:lineRule="exact"/>
        <w:rPr>
          <w:sz w:val="20"/>
          <w:szCs w:val="20"/>
          <w:color w:val="auto"/>
        </w:rPr>
      </w:pPr>
    </w:p>
    <w:p>
      <w:pPr>
        <w:ind w:left="740" w:right="2739"/>
        <w:spacing w:after="0" w:line="265" w:lineRule="auto"/>
        <w:rPr>
          <w:sz w:val="20"/>
          <w:szCs w:val="20"/>
          <w:color w:val="auto"/>
        </w:rPr>
      </w:pPr>
      <w:r>
        <w:rPr>
          <w:rFonts w:ascii="Courier New" w:cs="Courier New" w:eastAsia="Courier New" w:hAnsi="Courier New"/>
          <w:sz w:val="18"/>
          <w:szCs w:val="18"/>
          <w:color w:val="auto"/>
        </w:rPr>
        <w:t>The remaining shares reported as being beneficially owned by The Capital Group Companies, Inc. are beneficially owned by other subsidiaries of The Capital Group Companies, Inc. listed under item 7, none of which by itself owns 5% or more of the outstanding securities.</w:t>
      </w:r>
    </w:p>
    <w:p>
      <w:pPr>
        <w:spacing w:after="0" w:line="9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Shares reported by The Capital Group Companies, Inc., includes</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1,622,210 shares resulting from the assumed conversion of</w:t>
      </w:r>
    </w:p>
    <w:p>
      <w:pPr>
        <w:ind w:left="740"/>
        <w:spacing w:after="0"/>
        <w:rPr>
          <w:sz w:val="20"/>
          <w:szCs w:val="20"/>
          <w:color w:val="auto"/>
        </w:rPr>
      </w:pPr>
      <w:r>
        <w:rPr>
          <w:rFonts w:ascii="Courier New" w:cs="Courier New" w:eastAsia="Courier New" w:hAnsi="Courier New"/>
          <w:sz w:val="16"/>
          <w:szCs w:val="16"/>
          <w:color w:val="auto"/>
        </w:rPr>
        <w:t>$84,000,000 principal amount of the 1.125% Convertible Note, due</w:t>
      </w:r>
    </w:p>
    <w:p>
      <w:pPr>
        <w:spacing w:after="0" w:line="2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2007.</w:t>
      </w:r>
    </w:p>
    <w:p>
      <w:pPr>
        <w:spacing w:after="0" w:line="37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pacing w:after="0" w:line="201" w:lineRule="exact"/>
        <w:rPr>
          <w:sz w:val="20"/>
          <w:szCs w:val="20"/>
          <w:color w:val="auto"/>
        </w:rPr>
      </w:pPr>
    </w:p>
    <w:p>
      <w:pPr>
        <w:ind w:left="740" w:right="3039" w:hanging="736"/>
        <w:spacing w:after="0" w:line="292"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6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1060" w:right="2839"/>
        <w:spacing w:after="0" w:line="262" w:lineRule="auto"/>
        <w:rPr>
          <w:sz w:val="20"/>
          <w:szCs w:val="20"/>
          <w:color w:val="auto"/>
        </w:rPr>
      </w:pPr>
      <w:r>
        <w:rPr>
          <w:rFonts w:ascii="Courier New" w:cs="Courier New" w:eastAsia="Courier New" w:hAnsi="Courier New"/>
          <w:sz w:val="18"/>
          <w:szCs w:val="18"/>
          <w:color w:val="auto"/>
        </w:rPr>
        <w:t>Capital Research and Management Company is an Investment Adviser registered under Section 203 of the Investment Advisers Act of 1940 and is a wholly owned subsidiary of The Capital Group Companies, Inc.</w:t>
      </w:r>
    </w:p>
    <w:p>
      <w:pPr>
        <w:spacing w:after="0" w:line="90"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left="1060" w:right="2619"/>
        <w:spacing w:after="0" w:line="273"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8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left="1060" w:right="2619"/>
        <w:spacing w:after="0" w:line="247" w:lineRule="auto"/>
        <w:rPr>
          <w:sz w:val="20"/>
          <w:szCs w:val="20"/>
          <w:color w:val="auto"/>
        </w:rPr>
      </w:pPr>
      <w:r>
        <w:rPr>
          <w:rFonts w:ascii="Courier New" w:cs="Courier New" w:eastAsia="Courier New" w:hAnsi="Courier New"/>
          <w:sz w:val="18"/>
          <w:szCs w:val="18"/>
          <w:color w:val="auto"/>
        </w:rPr>
        <w:t>Capital International Limited (CIL)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CIL is a wholly owned subsidiary of Capital Group International, Inc. which is a wholly owned subsidiary of The Capital Group Companies, Inc.</w:t>
      </w:r>
    </w:p>
    <w:p>
      <w:pPr>
        <w:spacing w:after="0" w:line="105"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ind w:left="1060" w:right="2739"/>
        <w:spacing w:after="0" w:line="247" w:lineRule="auto"/>
        <w:rPr>
          <w:sz w:val="20"/>
          <w:szCs w:val="20"/>
          <w:color w:val="auto"/>
        </w:rPr>
      </w:pPr>
      <w:r>
        <w:rPr>
          <w:rFonts w:ascii="Courier New" w:cs="Courier New" w:eastAsia="Courier New" w:hAnsi="Courier New"/>
          <w:sz w:val="18"/>
          <w:szCs w:val="18"/>
          <w:color w:val="auto"/>
        </w:rPr>
        <w:t>Capital International S.A. (CISA) does not fall within any of the categories described in Rule 13d-1-(b)(ii)(A-F) but its holdings of any reported securities come within the five percent limitation as set forth in a December 15, 1986 no-action letter from the Staff of the Securities and Exchange Commission to The Capital Group Companies, Inc. CISA is a wholly owned subsidiary of Capital Group International, Inc. which is a wholly owned subsidiary of The Capital Group Companies, Inc.</w:t>
      </w:r>
    </w:p>
    <w:p>
      <w:pPr>
        <w:spacing w:after="0" w:line="308"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ectPr>
          <w:pgSz w:w="11900" w:h="16838" w:orient="portrait"/>
          <w:cols w:equalWidth="0" w:num="1">
            <w:col w:w="10219"/>
          </w:cols>
          <w:pgMar w:left="240" w:top="893" w:right="1440" w:bottom="1440" w:gutter="0" w:footer="0" w:header="0"/>
        </w:sectPr>
      </w:pPr>
    </w:p>
    <w:bookmarkStart w:id="8" w:name="page9"/>
    <w:bookmarkEnd w:id="8"/>
    <w:p>
      <w:pPr>
        <w:spacing w:after="0"/>
        <w:tabs>
          <w:tab w:leader="none" w:pos="940" w:val="left"/>
          <w:tab w:leader="none" w:pos="7260" w:val="left"/>
        </w:tabs>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740" w:right="261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9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740" w:right="315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7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spacing w:after="0" w:line="3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President</w:t>
      </w:r>
    </w:p>
    <w:p>
      <w:pPr>
        <w:spacing w:after="0" w:line="16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1580" w:right="2739"/>
        <w:spacing w:after="0" w:line="265"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p>
      <w:pPr>
        <w:sectPr>
          <w:pgSz w:w="11900" w:h="16838" w:orient="portrait"/>
          <w:cols w:equalWidth="0" w:num="1">
            <w:col w:w="10219"/>
          </w:cols>
          <w:pgMar w:left="240" w:top="1096" w:right="1440" w:bottom="1440" w:gutter="0" w:footer="0" w:header="0"/>
        </w:sectPr>
      </w:pPr>
    </w:p>
    <w:bookmarkStart w:id="10" w:name="page11"/>
    <w:bookmarkEnd w:id="10"/>
    <w:p>
      <w:pPr>
        <w:spacing w:after="0" w:line="265" w:lineRule="auto"/>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jc w:val="center"/>
        <w:ind w:right="271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Los Angeles, CA</w:t>
      </w:r>
    </w:p>
    <w:p>
      <w:pPr>
        <w:spacing w:after="0" w:line="3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8"/>
          <w:szCs w:val="18"/>
          <w:color w:val="auto"/>
        </w:rPr>
        <w:t>February 10, 1998</w:t>
      </w:r>
    </w:p>
    <w:p>
      <w:pPr>
        <w:spacing w:after="0" w:line="169" w:lineRule="exact"/>
        <w:rPr>
          <w:sz w:val="20"/>
          <w:szCs w:val="20"/>
          <w:color w:val="auto"/>
        </w:rPr>
      </w:pPr>
    </w:p>
    <w:p>
      <w:pPr>
        <w:ind w:right="2939" w:firstLine="211"/>
        <w:spacing w:after="0" w:line="265" w:lineRule="auto"/>
        <w:rPr>
          <w:sz w:val="20"/>
          <w:szCs w:val="20"/>
          <w:color w:val="auto"/>
        </w:rPr>
      </w:pPr>
      <w:r>
        <w:rPr>
          <w:rFonts w:ascii="Courier New" w:cs="Courier New" w:eastAsia="Courier New" w:hAnsi="Courier New"/>
          <w:sz w:val="18"/>
          <w:szCs w:val="18"/>
          <w:color w:val="auto"/>
        </w:rPr>
        <w:t>The Capital Group Companies, Inc. ("CGC") and Capital Research and Management Company ("CRMC") hereby agree to file a joint statement on Schedule 13G under the Securities Exchange Act of 1934 (the "Act") in connection with their beneficial ownership of Class A Special Common Stock issued by Comcast Corporation.</w:t>
      </w:r>
    </w:p>
    <w:p>
      <w:pPr>
        <w:spacing w:after="0" w:line="90" w:lineRule="exact"/>
        <w:rPr>
          <w:sz w:val="20"/>
          <w:szCs w:val="20"/>
          <w:color w:val="auto"/>
        </w:rPr>
      </w:pPr>
    </w:p>
    <w:p>
      <w:pPr>
        <w:ind w:right="3039" w:firstLine="211"/>
        <w:spacing w:after="0" w:line="347" w:lineRule="auto"/>
        <w:rPr>
          <w:sz w:val="20"/>
          <w:szCs w:val="20"/>
          <w:color w:val="auto"/>
        </w:rPr>
      </w:pPr>
      <w:r>
        <w:rPr>
          <w:rFonts w:ascii="Courier New" w:cs="Courier New" w:eastAsia="Courier New" w:hAnsi="Courier New"/>
          <w:sz w:val="18"/>
          <w:szCs w:val="18"/>
          <w:color w:val="auto"/>
        </w:rPr>
        <w:t>CGC and CRMC state that they are each entitled to individually use Schedule 13G pursuant to Rule 13d-1(c) of the Act.</w:t>
      </w:r>
    </w:p>
    <w:p>
      <w:pPr>
        <w:spacing w:after="0" w:line="18" w:lineRule="exact"/>
        <w:rPr>
          <w:sz w:val="20"/>
          <w:szCs w:val="20"/>
          <w:color w:val="auto"/>
        </w:rPr>
      </w:pPr>
    </w:p>
    <w:p>
      <w:pPr>
        <w:ind w:right="2939" w:firstLine="211"/>
        <w:spacing w:after="0" w:line="265" w:lineRule="auto"/>
        <w:rPr>
          <w:sz w:val="20"/>
          <w:szCs w:val="20"/>
          <w:color w:val="auto"/>
        </w:rPr>
      </w:pPr>
      <w:r>
        <w:rPr>
          <w:rFonts w:ascii="Courier New" w:cs="Courier New" w:eastAsia="Courier New" w:hAnsi="Courier New"/>
          <w:sz w:val="18"/>
          <w:szCs w:val="18"/>
          <w:color w:val="auto"/>
        </w:rPr>
        <w:t>CGC and CRMC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95"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Larry P. Clemmensen, President</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Capital Group Companies,</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37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spacing w:after="0" w:line="2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Vice President</w:t>
      </w:r>
    </w:p>
    <w:p>
      <w:pPr>
        <w:ind w:left="3700"/>
        <w:spacing w:after="0" w:line="238" w:lineRule="auto"/>
        <w:rPr>
          <w:sz w:val="20"/>
          <w:szCs w:val="20"/>
          <w:color w:val="auto"/>
        </w:rPr>
      </w:pPr>
      <w:r>
        <w:rPr>
          <w:rFonts w:ascii="Courier New" w:cs="Courier New" w:eastAsia="Courier New" w:hAnsi="Courier New"/>
          <w:sz w:val="18"/>
          <w:szCs w:val="18"/>
          <w:color w:val="auto"/>
        </w:rPr>
        <w:t>Capital Research and Management</w:t>
      </w:r>
    </w:p>
    <w:p>
      <w:pPr>
        <w:ind w:left="3700"/>
        <w:spacing w:after="0"/>
        <w:rPr>
          <w:sz w:val="20"/>
          <w:szCs w:val="20"/>
          <w:color w:val="auto"/>
        </w:rPr>
      </w:pPr>
      <w:r>
        <w:rPr>
          <w:rFonts w:ascii="Courier New" w:cs="Courier New" w:eastAsia="Courier New" w:hAnsi="Courier New"/>
          <w:sz w:val="18"/>
          <w:szCs w:val="18"/>
          <w:color w:val="auto"/>
        </w:rPr>
        <w:t>Company</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spacing w:after="0" w:line="3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Attorney-in-fact</w:t>
      </w:r>
    </w:p>
    <w:p>
      <w:pPr>
        <w:spacing w:after="0" w:line="169" w:lineRule="exact"/>
        <w:rPr>
          <w:sz w:val="20"/>
          <w:szCs w:val="20"/>
          <w:color w:val="auto"/>
        </w:rPr>
      </w:pPr>
    </w:p>
    <w:p>
      <w:pPr>
        <w:ind w:left="540" w:right="2939"/>
        <w:spacing w:after="0" w:line="318" w:lineRule="auto"/>
        <w:rPr>
          <w:sz w:val="20"/>
          <w:szCs w:val="20"/>
          <w:color w:val="auto"/>
        </w:rPr>
      </w:pPr>
      <w:r>
        <w:rPr>
          <w:rFonts w:ascii="Courier New" w:cs="Courier New" w:eastAsia="Courier New" w:hAnsi="Courier New"/>
          <w:sz w:val="16"/>
          <w:szCs w:val="16"/>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bullet"/>
      <w:start w:val="1"/>
    </w:lvl>
  </w:abstractNum>
  <w:abstractNum w:abstractNumId="1">
    <w:nsid w:val="4DB127F8"/>
    <w:multiLevelType w:val="hybridMultilevel"/>
    <w:lvl w:ilvl="0">
      <w:lvlJc w:val="left"/>
      <w:lvlText w:val="2"/>
      <w:numFmt w:val="bullet"/>
      <w:start w:val="1"/>
    </w:lvl>
  </w:abstractNum>
  <w:abstractNum w:abstractNumId="2">
    <w:nsid w:val="216231B"/>
    <w:multiLevelType w:val="hybridMultilevel"/>
    <w:lvl w:ilvl="0">
      <w:lvlJc w:val="left"/>
      <w:lvlText w:val="3"/>
      <w:numFmt w:val="bullet"/>
      <w:start w:val="1"/>
    </w:lvl>
  </w:abstractNum>
  <w:abstractNum w:abstractNumId="3">
    <w:nsid w:val="1F16E9E8"/>
    <w:multiLevelType w:val="hybridMultilevel"/>
    <w:lvl w:ilvl="0">
      <w:lvlJc w:val="left"/>
      <w:lvlText w:val="4"/>
      <w:numFmt w:val="bullet"/>
      <w:start w:val="1"/>
    </w:lvl>
  </w:abstractNum>
  <w:abstractNum w:abstractNumId="4">
    <w:nsid w:val="1190CDE7"/>
    <w:multiLevelType w:val="hybridMultilevel"/>
    <w:lvl w:ilvl="0">
      <w:lvlJc w:val="left"/>
      <w:lvlText w:val="5"/>
      <w:numFmt w:val="bullet"/>
      <w:start w:val="1"/>
    </w:lvl>
  </w:abstractNum>
  <w:abstractNum w:abstractNumId="5">
    <w:nsid w:val="66EF438D"/>
    <w:multiLevelType w:val="hybridMultilevel"/>
    <w:lvl w:ilvl="0">
      <w:lvlJc w:val="left"/>
      <w:lvlText w:val="8"/>
      <w:numFmt w:val="bullet"/>
      <w:start w:val="1"/>
    </w:lvl>
  </w:abstractNum>
  <w:abstractNum w:abstractNumId="6">
    <w:nsid w:val="140E0F76"/>
    <w:multiLevelType w:val="hybridMultilevel"/>
    <w:lvl w:ilvl="0">
      <w:lvlJc w:val="left"/>
      <w:lvlText w:val="9"/>
      <w:numFmt w:val="bullet"/>
      <w:start w:val="1"/>
    </w:lvl>
  </w:abstractNum>
  <w:abstractNum w:abstractNumId="7">
    <w:nsid w:val="3352255A"/>
    <w:multiLevelType w:val="hybridMultilevel"/>
    <w:lvl w:ilvl="0">
      <w:lvlJc w:val="left"/>
      <w:lvlText w:val="%1"/>
      <w:numFmt w:val="decimal"/>
      <w:start w:val="10"/>
    </w:lvl>
    <w:lvl w:ilvl="1">
      <w:lvlJc w:val="left"/>
      <w:lvlText w:val="*"/>
      <w:numFmt w:val="bullet"/>
      <w:start w:val="1"/>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5"/>
      <w:numFmt w:val="bullet"/>
      <w:start w:val="1"/>
    </w:lvl>
  </w:abstractNum>
  <w:abstractNum w:abstractNumId="13">
    <w:nsid w:val="6B68079A"/>
    <w:multiLevelType w:val="hybridMultilevel"/>
    <w:lvl w:ilvl="0">
      <w:lvlJc w:val="left"/>
      <w:lvlText w:val="8"/>
      <w:numFmt w:val="bullet"/>
      <w:start w:val="1"/>
    </w:lvl>
  </w:abstractNum>
  <w:abstractNum w:abstractNumId="14">
    <w:nsid w:val="4E6AFB66"/>
    <w:multiLevelType w:val="hybridMultilevel"/>
    <w:lvl w:ilvl="0">
      <w:lvlJc w:val="left"/>
      <w:lvlText w:val="9"/>
      <w:numFmt w:val="bullet"/>
      <w:start w:val="1"/>
    </w:lvl>
  </w:abstractNum>
  <w:abstractNum w:abstractNumId="15">
    <w:nsid w:val="25E45D32"/>
    <w:multiLevelType w:val="hybridMultilevel"/>
    <w:lvl w:ilvl="0">
      <w:lvlJc w:val="left"/>
      <w:lvlText w:val="%1"/>
      <w:numFmt w:val="decimal"/>
      <w:start w:val="10"/>
    </w:lvl>
    <w:lvl w:ilvl="1">
      <w:lvlJc w:val="left"/>
      <w:lvlText w:val="*"/>
      <w:numFmt w:val="bullet"/>
      <w:start w:val="1"/>
    </w:lvl>
  </w:abstractNum>
  <w:abstractNum w:abstractNumId="16">
    <w:nsid w:val="519B500D"/>
    <w:multiLevelType w:val="hybridMultilevel"/>
    <w:lvl w:ilvl="0">
      <w:lvlJc w:val="left"/>
      <w:lvlText w:val="(%1)"/>
      <w:numFmt w:val="lowerLetter"/>
      <w:start w:val="5"/>
    </w:lvl>
  </w:abstractNum>
  <w:abstractNum w:abstractNumId="17">
    <w:nsid w:val="431BD7B7"/>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2019-12-12T23:08:43Z</dcterms:created>
  <dcterms:modified xsi:type="dcterms:W3CDTF">2019-12-12T23:08:43Z</dcterms:modified>
</cp:coreProperties>
</file>