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040"/>
        <w:spacing w:after="0"/>
        <w:rPr>
          <w:sz w:val="20"/>
          <w:szCs w:val="20"/>
          <w:color w:val="auto"/>
        </w:rPr>
      </w:pPr>
      <w:r>
        <w:rPr>
          <w:rFonts w:ascii="Arial" w:cs="Arial" w:eastAsia="Arial" w:hAnsi="Arial"/>
          <w:sz w:val="17"/>
          <w:szCs w:val="17"/>
          <w:color w:val="auto"/>
        </w:rPr>
        <w:t>Filed by Comcast Corporation</w:t>
      </w:r>
    </w:p>
    <w:p>
      <w:pPr>
        <w:spacing w:after="0" w:line="21" w:lineRule="exact"/>
        <w:rPr>
          <w:sz w:val="24"/>
          <w:szCs w:val="24"/>
          <w:color w:val="auto"/>
        </w:rPr>
      </w:pPr>
    </w:p>
    <w:p>
      <w:pPr>
        <w:ind w:left="8680"/>
        <w:spacing w:after="0"/>
        <w:rPr>
          <w:sz w:val="20"/>
          <w:szCs w:val="20"/>
          <w:color w:val="auto"/>
        </w:rPr>
      </w:pPr>
      <w:r>
        <w:rPr>
          <w:rFonts w:ascii="Arial" w:cs="Arial" w:eastAsia="Arial" w:hAnsi="Arial"/>
          <w:sz w:val="17"/>
          <w:szCs w:val="17"/>
          <w:color w:val="auto"/>
        </w:rPr>
        <w:t>(Commission File No.: 001-32871)</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425 of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of the Securities Exchange Act of 1934</w:t>
      </w:r>
    </w:p>
    <w:p>
      <w:pPr>
        <w:spacing w:after="0" w:line="27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Subject Company: Time Warner Cable Inc.</w:t>
      </w:r>
    </w:p>
    <w:p>
      <w:pPr>
        <w:spacing w:after="0" w:line="279" w:lineRule="exact"/>
        <w:rPr>
          <w:sz w:val="24"/>
          <w:szCs w:val="24"/>
          <w:color w:val="auto"/>
        </w:rPr>
      </w:pPr>
    </w:p>
    <w:p>
      <w:pPr>
        <w:ind w:left="7620"/>
        <w:spacing w:after="0"/>
        <w:rPr>
          <w:sz w:val="20"/>
          <w:szCs w:val="20"/>
          <w:color w:val="auto"/>
        </w:rPr>
      </w:pPr>
      <w:r>
        <w:rPr>
          <w:rFonts w:ascii="Arial" w:cs="Arial" w:eastAsia="Arial" w:hAnsi="Arial"/>
          <w:sz w:val="17"/>
          <w:szCs w:val="17"/>
          <w:color w:val="auto"/>
        </w:rPr>
        <w:t>Commission File No. for Registration Statement</w:t>
      </w:r>
    </w:p>
    <w:p>
      <w:pPr>
        <w:spacing w:after="0" w:line="21" w:lineRule="exact"/>
        <w:rPr>
          <w:sz w:val="24"/>
          <w:szCs w:val="24"/>
          <w:color w:val="auto"/>
        </w:rPr>
      </w:pPr>
    </w:p>
    <w:p>
      <w:pPr>
        <w:ind w:left="6980"/>
        <w:spacing w:after="0"/>
        <w:rPr>
          <w:sz w:val="20"/>
          <w:szCs w:val="20"/>
          <w:color w:val="auto"/>
        </w:rPr>
      </w:pPr>
      <w:r>
        <w:rPr>
          <w:rFonts w:ascii="Arial" w:cs="Arial" w:eastAsia="Arial" w:hAnsi="Arial"/>
          <w:sz w:val="18"/>
          <w:szCs w:val="18"/>
          <w:color w:val="auto"/>
        </w:rPr>
        <w:t>on Form S-4 filed by Comcast Corporation: 333-194698</w:t>
      </w:r>
    </w:p>
    <w:p>
      <w:pPr>
        <w:spacing w:after="0" w:line="200" w:lineRule="exact"/>
        <w:rPr>
          <w:sz w:val="24"/>
          <w:szCs w:val="24"/>
          <w:color w:val="auto"/>
        </w:rPr>
      </w:pPr>
    </w:p>
    <w:p>
      <w:pPr>
        <w:spacing w:after="0" w:line="349" w:lineRule="exact"/>
        <w:rPr>
          <w:sz w:val="24"/>
          <w:szCs w:val="24"/>
          <w:color w:val="auto"/>
        </w:rPr>
      </w:pPr>
    </w:p>
    <w:p>
      <w:pPr>
        <w:spacing w:after="0"/>
        <w:rPr>
          <w:sz w:val="20"/>
          <w:szCs w:val="20"/>
          <w:color w:val="auto"/>
        </w:rPr>
      </w:pPr>
      <w:r>
        <w:rPr>
          <w:rFonts w:ascii="Arial" w:cs="Arial" w:eastAsia="Arial" w:hAnsi="Arial"/>
          <w:sz w:val="18"/>
          <w:szCs w:val="18"/>
          <w:color w:val="auto"/>
        </w:rPr>
        <w:t>The following Supplemental Data and Information Letter was posted by Comcast on its website:</w:t>
      </w:r>
    </w:p>
    <w:p>
      <w:pPr>
        <w:spacing w:after="0" w:line="26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REDACTED – FOR PUBLIC INSPECTION</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spacing w:after="0"/>
        <w:rPr>
          <w:sz w:val="20"/>
          <w:szCs w:val="20"/>
          <w:color w:val="auto"/>
        </w:rPr>
      </w:pPr>
      <w:r>
        <w:rPr>
          <w:rFonts w:ascii="Arial" w:cs="Arial" w:eastAsia="Arial" w:hAnsi="Arial"/>
          <w:sz w:val="18"/>
          <w:szCs w:val="18"/>
          <w:color w:val="auto"/>
        </w:rPr>
        <w:t>June 27, 2014</w:t>
      </w:r>
    </w:p>
    <w:p>
      <w:pPr>
        <w:spacing w:after="0" w:line="275"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HAND DELIVERY AND ELECTRONIC FILING</w:t>
      </w:r>
    </w:p>
    <w:p>
      <w:pPr>
        <w:spacing w:after="0" w:line="283" w:lineRule="exact"/>
        <w:rPr>
          <w:sz w:val="24"/>
          <w:szCs w:val="24"/>
          <w:color w:val="auto"/>
        </w:rPr>
      </w:pPr>
    </w:p>
    <w:p>
      <w:pPr>
        <w:spacing w:after="0"/>
        <w:rPr>
          <w:sz w:val="20"/>
          <w:szCs w:val="20"/>
          <w:color w:val="auto"/>
        </w:rPr>
      </w:pPr>
      <w:r>
        <w:rPr>
          <w:rFonts w:ascii="Arial" w:cs="Arial" w:eastAsia="Arial" w:hAnsi="Arial"/>
          <w:sz w:val="18"/>
          <w:szCs w:val="18"/>
          <w:color w:val="auto"/>
        </w:rPr>
        <w:t>Marlene H. Dortch</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Secretary</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Federal Communications Commission</w:t>
      </w:r>
    </w:p>
    <w:p>
      <w:pPr>
        <w:spacing w:after="0" w:line="189" w:lineRule="auto"/>
        <w:rPr>
          <w:sz w:val="20"/>
          <w:szCs w:val="20"/>
          <w:color w:val="auto"/>
        </w:rPr>
      </w:pPr>
      <w:r>
        <w:rPr>
          <w:rFonts w:ascii="Arial" w:cs="Arial" w:eastAsia="Arial" w:hAnsi="Arial"/>
          <w:sz w:val="18"/>
          <w:szCs w:val="18"/>
          <w:color w:val="auto"/>
        </w:rPr>
        <w:t>445 12</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Street, S.W.</w:t>
      </w:r>
    </w:p>
    <w:p>
      <w:pPr>
        <w:spacing w:after="0"/>
        <w:rPr>
          <w:sz w:val="20"/>
          <w:szCs w:val="20"/>
          <w:color w:val="auto"/>
        </w:rPr>
      </w:pPr>
      <w:r>
        <w:rPr>
          <w:rFonts w:ascii="Arial" w:cs="Arial" w:eastAsia="Arial" w:hAnsi="Arial"/>
          <w:sz w:val="18"/>
          <w:szCs w:val="18"/>
          <w:color w:val="auto"/>
        </w:rPr>
        <w:t>Washington, DC 20554</w:t>
      </w:r>
    </w:p>
    <w:p>
      <w:pPr>
        <w:spacing w:after="0" w:line="286" w:lineRule="exact"/>
        <w:rPr>
          <w:sz w:val="24"/>
          <w:szCs w:val="24"/>
          <w:color w:val="auto"/>
        </w:rPr>
      </w:pPr>
    </w:p>
    <w:p>
      <w:pPr>
        <w:ind w:left="1180" w:right="960" w:hanging="739"/>
        <w:spacing w:after="0" w:line="277" w:lineRule="auto"/>
        <w:tabs>
          <w:tab w:leader="none" w:pos="116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b w:val="1"/>
          <w:bCs w:val="1"/>
          <w:i w:val="1"/>
          <w:iCs w:val="1"/>
          <w:color w:val="auto"/>
        </w:rPr>
        <w:t>In the Matter of Applications of Comcast Corp. and Time Warner Cable Inc. for Consent to Transfer Control of Licenses and Authorizations</w:t>
      </w:r>
      <w:r>
        <w:rPr>
          <w:rFonts w:ascii="Arial" w:cs="Arial" w:eastAsia="Arial" w:hAnsi="Arial"/>
          <w:sz w:val="18"/>
          <w:szCs w:val="18"/>
          <w:b w:val="1"/>
          <w:bCs w:val="1"/>
          <w:color w:val="auto"/>
        </w:rPr>
        <w:t>, MB Docket No. 14-57</w:t>
      </w:r>
    </w:p>
    <w:p>
      <w:pPr>
        <w:spacing w:after="0" w:line="201" w:lineRule="exact"/>
        <w:rPr>
          <w:sz w:val="24"/>
          <w:szCs w:val="24"/>
          <w:color w:val="auto"/>
        </w:rPr>
      </w:pPr>
    </w:p>
    <w:p>
      <w:pPr>
        <w:spacing w:after="0"/>
        <w:rPr>
          <w:sz w:val="20"/>
          <w:szCs w:val="20"/>
          <w:color w:val="auto"/>
        </w:rPr>
      </w:pPr>
      <w:r>
        <w:rPr>
          <w:rFonts w:ascii="Arial" w:cs="Arial" w:eastAsia="Arial" w:hAnsi="Arial"/>
          <w:sz w:val="18"/>
          <w:szCs w:val="18"/>
          <w:color w:val="auto"/>
        </w:rPr>
        <w:t>Dear Ms. Dortch:</w:t>
      </w:r>
    </w:p>
    <w:p>
      <w:pPr>
        <w:spacing w:after="0" w:line="279" w:lineRule="exact"/>
        <w:rPr>
          <w:sz w:val="24"/>
          <w:szCs w:val="24"/>
          <w:color w:val="auto"/>
        </w:rPr>
      </w:pPr>
    </w:p>
    <w:p>
      <w:pPr>
        <w:spacing w:after="0"/>
        <w:rPr>
          <w:sz w:val="20"/>
          <w:szCs w:val="20"/>
          <w:color w:val="auto"/>
        </w:rPr>
      </w:pPr>
      <w:r>
        <w:rPr>
          <w:rFonts w:ascii="Arial" w:cs="Arial" w:eastAsia="Arial" w:hAnsi="Arial"/>
          <w:sz w:val="17"/>
          <w:szCs w:val="17"/>
          <w:color w:val="auto"/>
        </w:rPr>
        <w:t>On June 24, 2014, Comcast Corporation (“Comcast”), Time Warner Cable Inc. (“TWC”), and Charter Communications, Inc. (“Charter”) (collectively, the</w:t>
      </w:r>
    </w:p>
    <w:p>
      <w:pPr>
        <w:spacing w:after="0" w:line="35" w:lineRule="exact"/>
        <w:rPr>
          <w:sz w:val="24"/>
          <w:szCs w:val="24"/>
          <w:color w:val="auto"/>
        </w:rPr>
      </w:pPr>
    </w:p>
    <w:p>
      <w:pPr>
        <w:spacing w:after="0"/>
        <w:rPr>
          <w:sz w:val="20"/>
          <w:szCs w:val="20"/>
          <w:color w:val="auto"/>
        </w:rPr>
      </w:pPr>
      <w:r>
        <w:rPr>
          <w:rFonts w:ascii="Arial" w:cs="Arial" w:eastAsia="Arial" w:hAnsi="Arial"/>
          <w:sz w:val="17"/>
          <w:szCs w:val="17"/>
          <w:color w:val="auto"/>
        </w:rPr>
        <w:t>“parties”) submitted a letter in the above-captioned proceeding to provide additional data and information to the Commission about Comcast, Charter,</w:t>
      </w: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color w:val="auto"/>
        </w:rPr>
        <w:t>SpinCo, and Bright House Networks (“BHN”) following the Comcast-TWC Transaction and the “Divestiture Transactions” between Comcast and</w:t>
      </w:r>
    </w:p>
    <w:p>
      <w:pPr>
        <w:spacing w:after="0" w:line="215" w:lineRule="auto"/>
        <w:rPr>
          <w:sz w:val="20"/>
          <w:szCs w:val="20"/>
          <w:color w:val="auto"/>
        </w:rPr>
      </w:pPr>
      <w:r>
        <w:rPr>
          <w:rFonts w:ascii="Arial" w:cs="Arial" w:eastAsia="Arial" w:hAnsi="Arial"/>
          <w:sz w:val="16"/>
          <w:szCs w:val="16"/>
          <w:color w:val="auto"/>
        </w:rPr>
        <w:t>Charter.</w:t>
      </w:r>
      <w:r>
        <w:rPr>
          <w:rFonts w:ascii="Arial" w:cs="Arial" w:eastAsia="Arial" w:hAnsi="Arial"/>
          <w:sz w:val="22"/>
          <w:szCs w:val="22"/>
          <w:color w:val="auto"/>
          <w:vertAlign w:val="superscript"/>
        </w:rPr>
        <w:t>1</w:t>
      </w:r>
      <w:r>
        <w:rPr>
          <w:rFonts w:ascii="Arial" w:cs="Arial" w:eastAsia="Arial" w:hAnsi="Arial"/>
          <w:sz w:val="16"/>
          <w:szCs w:val="16"/>
          <w:color w:val="auto"/>
        </w:rPr>
        <w:t xml:space="preserve"> At the request of Commission staff, below the parties provide additional detail on two of the issues addressed in the June 24 Letter: (1) subscriber</w:t>
      </w:r>
    </w:p>
    <w:p>
      <w:pPr>
        <w:spacing w:after="0"/>
        <w:rPr>
          <w:sz w:val="20"/>
          <w:szCs w:val="20"/>
          <w:color w:val="auto"/>
        </w:rPr>
      </w:pPr>
      <w:r>
        <w:rPr>
          <w:rFonts w:ascii="Arial" w:cs="Arial" w:eastAsia="Arial" w:hAnsi="Arial"/>
          <w:sz w:val="16"/>
          <w:szCs w:val="16"/>
          <w:color w:val="auto"/>
        </w:rPr>
        <w:t>and homes passed data; and (2) broadband share data. We also provide updated calculations of Comcast’s broadband shares based on the most recent Internet</w:t>
      </w:r>
    </w:p>
    <w:p>
      <w:pPr>
        <w:spacing w:after="0" w:line="30" w:lineRule="exact"/>
        <w:rPr>
          <w:sz w:val="24"/>
          <w:szCs w:val="24"/>
          <w:color w:val="auto"/>
        </w:rPr>
      </w:pPr>
    </w:p>
    <w:p>
      <w:pPr>
        <w:spacing w:after="0"/>
        <w:rPr>
          <w:sz w:val="20"/>
          <w:szCs w:val="20"/>
          <w:color w:val="auto"/>
        </w:rPr>
      </w:pPr>
      <w:r>
        <w:rPr>
          <w:rFonts w:ascii="Arial" w:cs="Arial" w:eastAsia="Arial" w:hAnsi="Arial"/>
          <w:sz w:val="18"/>
          <w:szCs w:val="18"/>
          <w:color w:val="auto"/>
        </w:rPr>
        <w:t>Access Services Report that was released earlier this week by the Commission.</w:t>
      </w:r>
    </w:p>
    <w:p>
      <w:pPr>
        <w:spacing w:after="0" w:line="288" w:lineRule="exact"/>
        <w:rPr>
          <w:sz w:val="24"/>
          <w:szCs w:val="24"/>
          <w:color w:val="auto"/>
        </w:rPr>
      </w:pPr>
    </w:p>
    <w:p>
      <w:pPr>
        <w:ind w:left="780"/>
        <w:spacing w:after="0"/>
        <w:tabs>
          <w:tab w:leader="none" w:pos="104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6"/>
          <w:szCs w:val="16"/>
          <w:b w:val="1"/>
          <w:bCs w:val="1"/>
          <w:color w:val="auto"/>
        </w:rPr>
        <w:t>Subscriber and Homes Passed Data</w:t>
      </w:r>
    </w:p>
    <w:p>
      <w:pPr>
        <w:spacing w:after="0" w:line="310" w:lineRule="exact"/>
        <w:rPr>
          <w:sz w:val="24"/>
          <w:szCs w:val="24"/>
          <w:color w:val="auto"/>
        </w:rPr>
      </w:pPr>
    </w:p>
    <w:p>
      <w:pPr>
        <w:ind w:right="500" w:firstLine="648"/>
        <w:spacing w:after="0" w:line="277" w:lineRule="auto"/>
        <w:rPr>
          <w:sz w:val="20"/>
          <w:szCs w:val="20"/>
          <w:color w:val="auto"/>
        </w:rPr>
      </w:pPr>
      <w:r>
        <w:rPr>
          <w:rFonts w:ascii="Arial" w:cs="Arial" w:eastAsia="Arial" w:hAnsi="Arial"/>
          <w:sz w:val="18"/>
          <w:szCs w:val="18"/>
          <w:color w:val="auto"/>
        </w:rPr>
        <w:t>In the June 24 Letter, the parties provided data detailing video, broadband, and voice customers, as well as total homes passed. Comcast’s and SpinCo’s customer numbers included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75882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58825" cy="34290"/>
                    </a:xfrm>
                    <a:prstGeom prst="rect">
                      <a:avLst/>
                    </a:prstGeom>
                    <a:noFill/>
                  </pic:spPr>
                </pic:pic>
              </a:graphicData>
            </a:graphic>
          </wp:anchor>
        </w:drawing>
      </w:r>
    </w:p>
    <w:p>
      <w:pPr>
        <w:spacing w:after="0" w:line="200" w:lineRule="exact"/>
        <w:rPr>
          <w:sz w:val="24"/>
          <w:szCs w:val="24"/>
          <w:color w:val="auto"/>
        </w:rPr>
      </w:pPr>
    </w:p>
    <w:p>
      <w:pPr>
        <w:spacing w:after="0" w:line="339" w:lineRule="exact"/>
        <w:rPr>
          <w:sz w:val="24"/>
          <w:szCs w:val="24"/>
          <w:color w:val="auto"/>
        </w:rPr>
      </w:pPr>
    </w:p>
    <w:p>
      <w:pPr>
        <w:ind w:left="120" w:hanging="112"/>
        <w:spacing w:after="0"/>
        <w:tabs>
          <w:tab w:leader="none" w:pos="120" w:val="left"/>
        </w:tabs>
        <w:numPr>
          <w:ilvl w:val="0"/>
          <w:numId w:val="1"/>
        </w:numPr>
        <w:rPr>
          <w:rFonts w:ascii="Arial" w:cs="Arial" w:eastAsia="Arial" w:hAnsi="Arial"/>
          <w:sz w:val="25"/>
          <w:szCs w:val="25"/>
          <w:color w:val="auto"/>
          <w:vertAlign w:val="superscript"/>
        </w:rPr>
      </w:pPr>
      <w:r>
        <w:rPr>
          <w:rFonts w:ascii="Arial" w:cs="Arial" w:eastAsia="Arial" w:hAnsi="Arial"/>
          <w:sz w:val="18"/>
          <w:szCs w:val="18"/>
          <w:color w:val="auto"/>
        </w:rPr>
        <w:t>Letter from Kathryn A. Zachem, Comcast, et al., to Marlene H. Dortch, FCC, MB Docket No. 14-57 (June 24, 2014) (“June 24 Letter”).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255270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47"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4"/>
          <w:szCs w:val="14"/>
          <w:b w:val="1"/>
          <w:bCs w:val="1"/>
          <w:color w:val="auto"/>
        </w:rPr>
        <w:t>REDACTED – FOR PUBLIC INSPECTION</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Ms. Marlene H. Dortch</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June 27, 2014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00" w:lineRule="exact"/>
        <w:rPr>
          <w:sz w:val="20"/>
          <w:szCs w:val="20"/>
          <w:color w:val="auto"/>
        </w:rPr>
      </w:pPr>
    </w:p>
    <w:p>
      <w:pPr>
        <w:spacing w:after="0" w:line="281" w:lineRule="exact"/>
        <w:rPr>
          <w:sz w:val="20"/>
          <w:szCs w:val="20"/>
          <w:color w:val="auto"/>
        </w:rPr>
      </w:pPr>
    </w:p>
    <w:p>
      <w:pPr>
        <w:ind w:right="60"/>
        <w:spacing w:after="0" w:line="287" w:lineRule="auto"/>
        <w:rPr>
          <w:sz w:val="20"/>
          <w:szCs w:val="20"/>
          <w:color w:val="auto"/>
        </w:rPr>
      </w:pPr>
      <w:r>
        <w:rPr>
          <w:rFonts w:ascii="Arial" w:cs="Arial" w:eastAsia="Arial" w:hAnsi="Arial"/>
          <w:sz w:val="17"/>
          <w:szCs w:val="17"/>
          <w:color w:val="auto"/>
        </w:rPr>
        <w:t>in that letter combined residential and commercial totals, because that is how Comcast has always publicly reported those numbers to the SEC and elsewhere, whereas the customer totals for TWC, Charter, and BHN were residential-only. At the request of Commission staff, the parties provide in each chart below additional detail that breaks out the number of residential and commercial customers and homes passed for all parties.</w:t>
      </w:r>
      <w:r>
        <w:rPr>
          <w:rFonts w:ascii="Arial" w:cs="Arial" w:eastAsia="Arial" w:hAnsi="Arial"/>
          <w:sz w:val="24"/>
          <w:szCs w:val="24"/>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2311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231140"/>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AND TWC</w:t>
      </w:r>
    </w:p>
    <w:p>
      <w:pPr>
        <w:spacing w:after="0" w:line="68"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1220" w:type="dxa"/>
            <w:vAlign w:val="bottom"/>
            <w:tcBorders>
              <w:left w:val="single" w:sz="8" w:color="auto"/>
              <w:right w:val="single" w:sz="8" w:color="auto"/>
            </w:tcBorders>
            <w:shd w:val="clear" w:color="auto" w:fill="D9D9D9"/>
          </w:tcPr>
          <w:p>
            <w:pPr>
              <w:spacing w:after="0"/>
              <w:rPr>
                <w:sz w:val="19"/>
                <w:szCs w:val="19"/>
                <w:color w:val="auto"/>
              </w:rPr>
            </w:pPr>
          </w:p>
        </w:tc>
        <w:tc>
          <w:tcPr>
            <w:tcW w:w="2380" w:type="dxa"/>
            <w:vAlign w:val="bottom"/>
            <w:tcBorders>
              <w:right w:val="single" w:sz="8" w:color="auto"/>
            </w:tcBorders>
            <w:gridSpan w:val="2"/>
            <w:vMerge w:val="restart"/>
            <w:shd w:val="clear" w:color="auto" w:fill="D9D9D9"/>
          </w:tcPr>
          <w:p>
            <w:pPr>
              <w:ind w:left="840"/>
              <w:spacing w:after="0"/>
              <w:rPr>
                <w:sz w:val="20"/>
                <w:szCs w:val="20"/>
                <w:color w:val="auto"/>
              </w:rPr>
            </w:pPr>
            <w:r>
              <w:rPr>
                <w:rFonts w:ascii="Arial" w:cs="Arial" w:eastAsia="Arial" w:hAnsi="Arial"/>
                <w:sz w:val="18"/>
                <w:szCs w:val="18"/>
                <w:b w:val="1"/>
                <w:bCs w:val="1"/>
                <w:color w:val="auto"/>
              </w:rPr>
              <w:t>Comcast</w:t>
            </w:r>
          </w:p>
        </w:tc>
        <w:tc>
          <w:tcPr>
            <w:tcW w:w="2380" w:type="dxa"/>
            <w:vAlign w:val="bottom"/>
            <w:tcBorders>
              <w:right w:val="single" w:sz="8" w:color="auto"/>
            </w:tcBorders>
            <w:gridSpan w:val="2"/>
            <w:shd w:val="clear" w:color="auto" w:fill="D9D9D9"/>
          </w:tcPr>
          <w:p>
            <w:pPr>
              <w:jc w:val="center"/>
              <w:spacing w:after="0"/>
              <w:rPr>
                <w:sz w:val="20"/>
                <w:szCs w:val="20"/>
                <w:color w:val="auto"/>
              </w:rPr>
            </w:pPr>
            <w:r>
              <w:rPr>
                <w:rFonts w:ascii="Arial" w:cs="Arial" w:eastAsia="Arial" w:hAnsi="Arial"/>
                <w:sz w:val="18"/>
                <w:szCs w:val="18"/>
                <w:b w:val="1"/>
                <w:bCs w:val="1"/>
                <w:color w:val="auto"/>
              </w:rPr>
              <w:t>TWC</w:t>
            </w:r>
          </w:p>
        </w:tc>
        <w:tc>
          <w:tcPr>
            <w:tcW w:w="2660" w:type="dxa"/>
            <w:vAlign w:val="bottom"/>
            <w:tcBorders>
              <w:right w:val="single" w:sz="8" w:color="auto"/>
            </w:tcBorders>
            <w:gridSpan w:val="2"/>
            <w:shd w:val="clear" w:color="auto" w:fill="D9D9D9"/>
          </w:tcPr>
          <w:p>
            <w:pPr>
              <w:jc w:val="center"/>
              <w:spacing w:after="0"/>
              <w:rPr>
                <w:sz w:val="20"/>
                <w:szCs w:val="20"/>
                <w:color w:val="auto"/>
              </w:rPr>
            </w:pPr>
            <w:r>
              <w:rPr>
                <w:rFonts w:ascii="Arial" w:cs="Arial" w:eastAsia="Arial" w:hAnsi="Arial"/>
                <w:sz w:val="18"/>
                <w:szCs w:val="18"/>
                <w:b w:val="1"/>
                <w:bCs w:val="1"/>
                <w:color w:val="auto"/>
                <w:w w:val="92"/>
              </w:rPr>
              <w:t>Post-TWC Transaction</w:t>
            </w:r>
          </w:p>
        </w:tc>
        <w:tc>
          <w:tcPr>
            <w:tcW w:w="1320" w:type="dxa"/>
            <w:vAlign w:val="bottom"/>
            <w:tcBorders>
              <w:right w:val="single" w:sz="8" w:color="D9D9D9"/>
            </w:tcBorders>
            <w:shd w:val="clear" w:color="auto" w:fill="D9D9D9"/>
          </w:tcPr>
          <w:p>
            <w:pPr>
              <w:spacing w:after="0"/>
              <w:rPr>
                <w:sz w:val="19"/>
                <w:szCs w:val="19"/>
                <w:color w:val="auto"/>
              </w:rPr>
            </w:pPr>
          </w:p>
        </w:tc>
        <w:tc>
          <w:tcPr>
            <w:tcW w:w="1460" w:type="dxa"/>
            <w:vAlign w:val="bottom"/>
            <w:tcBorders>
              <w:right w:val="single" w:sz="8" w:color="auto"/>
            </w:tcBorders>
            <w:shd w:val="clear" w:color="auto" w:fill="D9D9D9"/>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1220" w:type="dxa"/>
            <w:vAlign w:val="bottom"/>
            <w:tcBorders>
              <w:left w:val="single" w:sz="8" w:color="auto"/>
              <w:right w:val="single" w:sz="8" w:color="auto"/>
            </w:tcBorders>
            <w:shd w:val="clear" w:color="auto" w:fill="D9D9D9"/>
          </w:tcPr>
          <w:p>
            <w:pPr>
              <w:spacing w:after="0"/>
              <w:rPr>
                <w:sz w:val="9"/>
                <w:szCs w:val="9"/>
                <w:color w:val="auto"/>
              </w:rPr>
            </w:pPr>
          </w:p>
        </w:tc>
        <w:tc>
          <w:tcPr>
            <w:tcW w:w="2380" w:type="dxa"/>
            <w:vAlign w:val="bottom"/>
            <w:tcBorders>
              <w:right w:val="single" w:sz="8" w:color="auto"/>
            </w:tcBorders>
            <w:gridSpan w:val="2"/>
            <w:vMerge w:val="continue"/>
            <w:shd w:val="clear" w:color="auto" w:fill="D9D9D9"/>
          </w:tcPr>
          <w:p>
            <w:pPr>
              <w:spacing w:after="0"/>
              <w:rPr>
                <w:sz w:val="9"/>
                <w:szCs w:val="9"/>
                <w:color w:val="auto"/>
              </w:rPr>
            </w:pPr>
          </w:p>
        </w:tc>
        <w:tc>
          <w:tcPr>
            <w:tcW w:w="2380" w:type="dxa"/>
            <w:vAlign w:val="bottom"/>
            <w:tcBorders>
              <w:right w:val="single" w:sz="8" w:color="auto"/>
            </w:tcBorders>
            <w:gridSpan w:val="2"/>
            <w:vMerge w:val="restart"/>
            <w:shd w:val="clear" w:color="auto" w:fill="D9D9D9"/>
          </w:tcPr>
          <w:p>
            <w:pPr>
              <w:jc w:val="center"/>
              <w:spacing w:after="0"/>
              <w:rPr>
                <w:sz w:val="20"/>
                <w:szCs w:val="20"/>
                <w:color w:val="auto"/>
              </w:rPr>
            </w:pPr>
            <w:r>
              <w:rPr>
                <w:rFonts w:ascii="Arial" w:cs="Arial" w:eastAsia="Arial" w:hAnsi="Arial"/>
                <w:sz w:val="18"/>
                <w:szCs w:val="18"/>
                <w:b w:val="1"/>
                <w:bCs w:val="1"/>
                <w:color w:val="auto"/>
                <w:w w:val="95"/>
              </w:rPr>
              <w:t>Current</w:t>
            </w:r>
          </w:p>
        </w:tc>
        <w:tc>
          <w:tcPr>
            <w:tcW w:w="2660" w:type="dxa"/>
            <w:vAlign w:val="bottom"/>
            <w:tcBorders>
              <w:right w:val="single" w:sz="8" w:color="auto"/>
            </w:tcBorders>
            <w:gridSpan w:val="2"/>
            <w:vMerge w:val="restart"/>
            <w:shd w:val="clear" w:color="auto" w:fill="D9D9D9"/>
          </w:tcPr>
          <w:p>
            <w:pPr>
              <w:jc w:val="center"/>
              <w:spacing w:after="0"/>
              <w:rPr>
                <w:sz w:val="20"/>
                <w:szCs w:val="20"/>
                <w:color w:val="auto"/>
              </w:rPr>
            </w:pPr>
            <w:r>
              <w:rPr>
                <w:rFonts w:ascii="Arial" w:cs="Arial" w:eastAsia="Arial" w:hAnsi="Arial"/>
                <w:sz w:val="18"/>
                <w:szCs w:val="18"/>
                <w:b w:val="1"/>
                <w:bCs w:val="1"/>
                <w:color w:val="auto"/>
                <w:w w:val="92"/>
              </w:rPr>
              <w:t>(i.e., Comcast + TWC without</w:t>
            </w:r>
          </w:p>
        </w:tc>
        <w:tc>
          <w:tcPr>
            <w:tcW w:w="2780" w:type="dxa"/>
            <w:vAlign w:val="bottom"/>
            <w:tcBorders>
              <w:right w:val="single" w:sz="8" w:color="auto"/>
            </w:tcBorders>
            <w:gridSpan w:val="2"/>
            <w:vMerge w:val="restart"/>
            <w:shd w:val="clear" w:color="auto" w:fill="D9D9D9"/>
          </w:tcPr>
          <w:p>
            <w:pPr>
              <w:ind w:left="220"/>
              <w:spacing w:after="0"/>
              <w:rPr>
                <w:sz w:val="20"/>
                <w:szCs w:val="20"/>
                <w:color w:val="auto"/>
              </w:rPr>
            </w:pPr>
            <w:r>
              <w:rPr>
                <w:rFonts w:ascii="Arial" w:cs="Arial" w:eastAsia="Arial" w:hAnsi="Arial"/>
                <w:sz w:val="18"/>
                <w:szCs w:val="18"/>
                <w:b w:val="1"/>
                <w:bCs w:val="1"/>
                <w:color w:val="auto"/>
                <w:w w:val="98"/>
              </w:rPr>
              <w:t>Post-Divestiture Transactions</w:t>
            </w:r>
          </w:p>
        </w:tc>
        <w:tc>
          <w:tcPr>
            <w:tcW w:w="0" w:type="dxa"/>
            <w:vAlign w:val="bottom"/>
          </w:tcPr>
          <w:p>
            <w:pPr>
              <w:spacing w:after="0"/>
              <w:rPr>
                <w:sz w:val="1"/>
                <w:szCs w:val="1"/>
                <w:color w:val="auto"/>
              </w:rPr>
            </w:pPr>
          </w:p>
        </w:tc>
      </w:tr>
      <w:tr>
        <w:trPr>
          <w:trHeight w:val="108"/>
        </w:trPr>
        <w:tc>
          <w:tcPr>
            <w:tcW w:w="1220" w:type="dxa"/>
            <w:vAlign w:val="bottom"/>
            <w:tcBorders>
              <w:left w:val="single" w:sz="8" w:color="auto"/>
              <w:right w:val="single" w:sz="8" w:color="auto"/>
            </w:tcBorders>
            <w:shd w:val="clear" w:color="auto" w:fill="D9D9D9"/>
          </w:tcPr>
          <w:p>
            <w:pPr>
              <w:spacing w:after="0"/>
              <w:rPr>
                <w:sz w:val="9"/>
                <w:szCs w:val="9"/>
                <w:color w:val="auto"/>
              </w:rPr>
            </w:pPr>
          </w:p>
        </w:tc>
        <w:tc>
          <w:tcPr>
            <w:tcW w:w="2380" w:type="dxa"/>
            <w:vAlign w:val="bottom"/>
            <w:tcBorders>
              <w:right w:val="single" w:sz="8" w:color="auto"/>
            </w:tcBorders>
            <w:gridSpan w:val="2"/>
            <w:vMerge w:val="restart"/>
            <w:shd w:val="clear" w:color="auto" w:fill="D9D9D9"/>
          </w:tcPr>
          <w:p>
            <w:pPr>
              <w:ind w:left="860"/>
              <w:spacing w:after="0"/>
              <w:rPr>
                <w:sz w:val="20"/>
                <w:szCs w:val="20"/>
                <w:color w:val="auto"/>
              </w:rPr>
            </w:pPr>
            <w:r>
              <w:rPr>
                <w:rFonts w:ascii="Arial" w:cs="Arial" w:eastAsia="Arial" w:hAnsi="Arial"/>
                <w:sz w:val="18"/>
                <w:szCs w:val="18"/>
                <w:b w:val="1"/>
                <w:bCs w:val="1"/>
                <w:color w:val="auto"/>
              </w:rPr>
              <w:t>Current</w:t>
            </w:r>
          </w:p>
        </w:tc>
        <w:tc>
          <w:tcPr>
            <w:tcW w:w="2380" w:type="dxa"/>
            <w:vAlign w:val="bottom"/>
            <w:tcBorders>
              <w:right w:val="single" w:sz="8" w:color="auto"/>
            </w:tcBorders>
            <w:gridSpan w:val="2"/>
            <w:vMerge w:val="continue"/>
            <w:shd w:val="clear" w:color="auto" w:fill="D9D9D9"/>
          </w:tcPr>
          <w:p>
            <w:pPr>
              <w:spacing w:after="0"/>
              <w:rPr>
                <w:sz w:val="9"/>
                <w:szCs w:val="9"/>
                <w:color w:val="auto"/>
              </w:rPr>
            </w:pPr>
          </w:p>
        </w:tc>
        <w:tc>
          <w:tcPr>
            <w:tcW w:w="2660" w:type="dxa"/>
            <w:vAlign w:val="bottom"/>
            <w:tcBorders>
              <w:right w:val="single" w:sz="8" w:color="auto"/>
            </w:tcBorders>
            <w:gridSpan w:val="2"/>
            <w:vMerge w:val="continue"/>
            <w:shd w:val="clear" w:color="auto" w:fill="D9D9D9"/>
          </w:tcPr>
          <w:p>
            <w:pPr>
              <w:spacing w:after="0"/>
              <w:rPr>
                <w:sz w:val="9"/>
                <w:szCs w:val="9"/>
                <w:color w:val="auto"/>
              </w:rPr>
            </w:pPr>
          </w:p>
        </w:tc>
        <w:tc>
          <w:tcPr>
            <w:tcW w:w="2780" w:type="dxa"/>
            <w:vAlign w:val="bottom"/>
            <w:tcBorders>
              <w:right w:val="single" w:sz="8" w:color="auto"/>
            </w:tcBorders>
            <w:gridSpan w:val="2"/>
            <w:vMerge w:val="continue"/>
            <w:shd w:val="clear" w:color="auto" w:fill="D9D9D9"/>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220" w:type="dxa"/>
            <w:vAlign w:val="bottom"/>
            <w:tcBorders>
              <w:left w:val="single" w:sz="8" w:color="auto"/>
              <w:right w:val="single" w:sz="8" w:color="auto"/>
            </w:tcBorders>
            <w:shd w:val="clear" w:color="auto" w:fill="D9D9D9"/>
          </w:tcPr>
          <w:p>
            <w:pPr>
              <w:spacing w:after="0"/>
              <w:rPr>
                <w:sz w:val="10"/>
                <w:szCs w:val="10"/>
                <w:color w:val="auto"/>
              </w:rPr>
            </w:pPr>
          </w:p>
        </w:tc>
        <w:tc>
          <w:tcPr>
            <w:tcW w:w="2380" w:type="dxa"/>
            <w:vAlign w:val="bottom"/>
            <w:tcBorders>
              <w:right w:val="single" w:sz="8" w:color="auto"/>
            </w:tcBorders>
            <w:gridSpan w:val="2"/>
            <w:vMerge w:val="continue"/>
            <w:shd w:val="clear" w:color="auto" w:fill="D9D9D9"/>
          </w:tcPr>
          <w:p>
            <w:pPr>
              <w:spacing w:after="0"/>
              <w:rPr>
                <w:sz w:val="10"/>
                <w:szCs w:val="10"/>
                <w:color w:val="auto"/>
              </w:rPr>
            </w:pPr>
          </w:p>
        </w:tc>
        <w:tc>
          <w:tcPr>
            <w:tcW w:w="1180" w:type="dxa"/>
            <w:vAlign w:val="bottom"/>
            <w:tcBorders>
              <w:right w:val="single" w:sz="8" w:color="D9D9D9"/>
            </w:tcBorders>
            <w:shd w:val="clear" w:color="auto" w:fill="D9D9D9"/>
          </w:tcPr>
          <w:p>
            <w:pPr>
              <w:spacing w:after="0"/>
              <w:rPr>
                <w:sz w:val="10"/>
                <w:szCs w:val="10"/>
                <w:color w:val="auto"/>
              </w:rPr>
            </w:pPr>
          </w:p>
        </w:tc>
        <w:tc>
          <w:tcPr>
            <w:tcW w:w="1200" w:type="dxa"/>
            <w:vAlign w:val="bottom"/>
            <w:tcBorders>
              <w:right w:val="single" w:sz="8" w:color="auto"/>
            </w:tcBorders>
            <w:shd w:val="clear" w:color="auto" w:fill="D9D9D9"/>
          </w:tcPr>
          <w:p>
            <w:pPr>
              <w:spacing w:after="0"/>
              <w:rPr>
                <w:sz w:val="10"/>
                <w:szCs w:val="10"/>
                <w:color w:val="auto"/>
              </w:rPr>
            </w:pPr>
          </w:p>
        </w:tc>
        <w:tc>
          <w:tcPr>
            <w:tcW w:w="2660" w:type="dxa"/>
            <w:vAlign w:val="bottom"/>
            <w:tcBorders>
              <w:right w:val="single" w:sz="8" w:color="auto"/>
            </w:tcBorders>
            <w:gridSpan w:val="2"/>
            <w:vMerge w:val="restart"/>
            <w:shd w:val="clear" w:color="auto" w:fill="D9D9D9"/>
          </w:tcPr>
          <w:p>
            <w:pPr>
              <w:jc w:val="center"/>
              <w:spacing w:after="0"/>
              <w:rPr>
                <w:sz w:val="20"/>
                <w:szCs w:val="20"/>
                <w:color w:val="auto"/>
              </w:rPr>
            </w:pPr>
            <w:r>
              <w:rPr>
                <w:rFonts w:ascii="Arial" w:cs="Arial" w:eastAsia="Arial" w:hAnsi="Arial"/>
                <w:sz w:val="18"/>
                <w:szCs w:val="18"/>
                <w:b w:val="1"/>
                <w:bCs w:val="1"/>
                <w:color w:val="auto"/>
                <w:w w:val="87"/>
              </w:rPr>
              <w:t>divestitures)</w:t>
            </w:r>
          </w:p>
        </w:tc>
        <w:tc>
          <w:tcPr>
            <w:tcW w:w="1320" w:type="dxa"/>
            <w:vAlign w:val="bottom"/>
            <w:tcBorders>
              <w:right w:val="single" w:sz="8" w:color="D9D9D9"/>
            </w:tcBorders>
            <w:shd w:val="clear" w:color="auto" w:fill="D9D9D9"/>
          </w:tcPr>
          <w:p>
            <w:pPr>
              <w:spacing w:after="0"/>
              <w:rPr>
                <w:sz w:val="10"/>
                <w:szCs w:val="10"/>
                <w:color w:val="auto"/>
              </w:rPr>
            </w:pPr>
          </w:p>
        </w:tc>
        <w:tc>
          <w:tcPr>
            <w:tcW w:w="1460" w:type="dxa"/>
            <w:vAlign w:val="bottom"/>
            <w:tcBorders>
              <w:right w:val="single" w:sz="8" w:color="auto"/>
            </w:tcBorders>
            <w:shd w:val="clear" w:color="auto" w:fill="D9D9D9"/>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220" w:type="dxa"/>
            <w:vAlign w:val="bottom"/>
            <w:tcBorders>
              <w:left w:val="single" w:sz="8" w:color="auto"/>
              <w:bottom w:val="single" w:sz="8" w:color="D9D9D9"/>
              <w:right w:val="single" w:sz="8" w:color="auto"/>
            </w:tcBorders>
            <w:shd w:val="clear" w:color="auto" w:fill="D9D9D9"/>
          </w:tcPr>
          <w:p>
            <w:pPr>
              <w:spacing w:after="0"/>
              <w:rPr>
                <w:sz w:val="11"/>
                <w:szCs w:val="11"/>
                <w:color w:val="auto"/>
              </w:rPr>
            </w:pPr>
          </w:p>
        </w:tc>
        <w:tc>
          <w:tcPr>
            <w:tcW w:w="1180" w:type="dxa"/>
            <w:vAlign w:val="bottom"/>
            <w:tcBorders>
              <w:bottom w:val="single" w:sz="8" w:color="D9D9D9"/>
              <w:right w:val="single" w:sz="8" w:color="D9D9D9"/>
            </w:tcBorders>
            <w:shd w:val="clear" w:color="auto" w:fill="D9D9D9"/>
          </w:tcPr>
          <w:p>
            <w:pPr>
              <w:spacing w:after="0"/>
              <w:rPr>
                <w:sz w:val="11"/>
                <w:szCs w:val="11"/>
                <w:color w:val="auto"/>
              </w:rPr>
            </w:pPr>
          </w:p>
        </w:tc>
        <w:tc>
          <w:tcPr>
            <w:tcW w:w="1200" w:type="dxa"/>
            <w:vAlign w:val="bottom"/>
            <w:tcBorders>
              <w:bottom w:val="single" w:sz="8" w:color="D9D9D9"/>
              <w:right w:val="single" w:sz="8" w:color="auto"/>
            </w:tcBorders>
            <w:shd w:val="clear" w:color="auto" w:fill="D9D9D9"/>
          </w:tcPr>
          <w:p>
            <w:pPr>
              <w:spacing w:after="0"/>
              <w:rPr>
                <w:sz w:val="11"/>
                <w:szCs w:val="11"/>
                <w:color w:val="auto"/>
              </w:rPr>
            </w:pPr>
          </w:p>
        </w:tc>
        <w:tc>
          <w:tcPr>
            <w:tcW w:w="1180" w:type="dxa"/>
            <w:vAlign w:val="bottom"/>
            <w:tcBorders>
              <w:bottom w:val="single" w:sz="8" w:color="D9D9D9"/>
              <w:right w:val="single" w:sz="8" w:color="D9D9D9"/>
            </w:tcBorders>
            <w:shd w:val="clear" w:color="auto" w:fill="D9D9D9"/>
          </w:tcPr>
          <w:p>
            <w:pPr>
              <w:spacing w:after="0"/>
              <w:rPr>
                <w:sz w:val="11"/>
                <w:szCs w:val="11"/>
                <w:color w:val="auto"/>
              </w:rPr>
            </w:pPr>
          </w:p>
        </w:tc>
        <w:tc>
          <w:tcPr>
            <w:tcW w:w="1200" w:type="dxa"/>
            <w:vAlign w:val="bottom"/>
            <w:tcBorders>
              <w:bottom w:val="single" w:sz="8" w:color="D9D9D9"/>
              <w:right w:val="single" w:sz="8" w:color="auto"/>
            </w:tcBorders>
            <w:shd w:val="clear" w:color="auto" w:fill="D9D9D9"/>
          </w:tcPr>
          <w:p>
            <w:pPr>
              <w:spacing w:after="0"/>
              <w:rPr>
                <w:sz w:val="11"/>
                <w:szCs w:val="11"/>
                <w:color w:val="auto"/>
              </w:rPr>
            </w:pPr>
          </w:p>
        </w:tc>
        <w:tc>
          <w:tcPr>
            <w:tcW w:w="2660" w:type="dxa"/>
            <w:vAlign w:val="bottom"/>
            <w:tcBorders>
              <w:bottom w:val="single" w:sz="8" w:color="D9D9D9"/>
              <w:right w:val="single" w:sz="8" w:color="auto"/>
            </w:tcBorders>
            <w:gridSpan w:val="2"/>
            <w:vMerge w:val="continue"/>
            <w:shd w:val="clear" w:color="auto" w:fill="D9D9D9"/>
          </w:tcPr>
          <w:p>
            <w:pPr>
              <w:spacing w:after="0"/>
              <w:rPr>
                <w:sz w:val="11"/>
                <w:szCs w:val="11"/>
                <w:color w:val="auto"/>
              </w:rPr>
            </w:pPr>
          </w:p>
        </w:tc>
        <w:tc>
          <w:tcPr>
            <w:tcW w:w="1320" w:type="dxa"/>
            <w:vAlign w:val="bottom"/>
            <w:tcBorders>
              <w:bottom w:val="single" w:sz="8" w:color="D9D9D9"/>
              <w:right w:val="single" w:sz="8" w:color="D9D9D9"/>
            </w:tcBorders>
            <w:shd w:val="clear" w:color="auto" w:fill="D9D9D9"/>
          </w:tcPr>
          <w:p>
            <w:pPr>
              <w:spacing w:after="0"/>
              <w:rPr>
                <w:sz w:val="11"/>
                <w:szCs w:val="11"/>
                <w:color w:val="auto"/>
              </w:rPr>
            </w:pPr>
          </w:p>
        </w:tc>
        <w:tc>
          <w:tcPr>
            <w:tcW w:w="1460" w:type="dxa"/>
            <w:vAlign w:val="bottom"/>
            <w:tcBorders>
              <w:bottom w:val="single" w:sz="8" w:color="D9D9D9"/>
              <w:right w:val="single" w:sz="8" w:color="auto"/>
            </w:tcBorders>
            <w:shd w:val="clear" w:color="auto" w:fill="D9D9D9"/>
          </w:tcPr>
          <w:p>
            <w:pPr>
              <w:spacing w:after="0"/>
              <w:rPr>
                <w:sz w:val="11"/>
                <w:szCs w:val="11"/>
                <w:color w:val="auto"/>
              </w:rPr>
            </w:pPr>
          </w:p>
        </w:tc>
        <w:tc>
          <w:tcPr>
            <w:tcW w:w="0" w:type="dxa"/>
            <w:vAlign w:val="bottom"/>
          </w:tcPr>
          <w:p>
            <w:pPr>
              <w:spacing w:after="0"/>
              <w:rPr>
                <w:sz w:val="1"/>
                <w:szCs w:val="1"/>
                <w:color w:val="auto"/>
              </w:rPr>
            </w:pPr>
          </w:p>
        </w:tc>
      </w:tr>
      <w:tr>
        <w:trPr>
          <w:trHeight w:val="269"/>
        </w:trPr>
        <w:tc>
          <w:tcPr>
            <w:tcW w:w="1220" w:type="dxa"/>
            <w:vAlign w:val="bottom"/>
            <w:tcBorders>
              <w:top w:val="single" w:sz="8" w:color="D9D9D9"/>
              <w:left w:val="single" w:sz="8" w:color="auto"/>
              <w:bottom w:val="single" w:sz="8" w:color="D9D9D9"/>
              <w:right w:val="single" w:sz="8" w:color="auto"/>
            </w:tcBorders>
            <w:shd w:val="clear" w:color="auto" w:fill="D9D9D9"/>
          </w:tcPr>
          <w:p>
            <w:pPr>
              <w:spacing w:after="0"/>
              <w:rPr>
                <w:sz w:val="22"/>
                <w:szCs w:val="22"/>
                <w:color w:val="auto"/>
              </w:rPr>
            </w:pPr>
          </w:p>
        </w:tc>
        <w:tc>
          <w:tcPr>
            <w:tcW w:w="1180" w:type="dxa"/>
            <w:vAlign w:val="bottom"/>
            <w:tcBorders>
              <w:top w:val="single" w:sz="8" w:color="auto"/>
              <w:bottom w:val="single" w:sz="8" w:color="D9D9D9"/>
              <w:right w:val="single" w:sz="8" w:color="auto"/>
            </w:tcBorders>
            <w:shd w:val="clear" w:color="auto" w:fill="D9D9D9"/>
          </w:tcPr>
          <w:p>
            <w:pPr>
              <w:jc w:val="center"/>
              <w:spacing w:after="0"/>
              <w:rPr>
                <w:sz w:val="20"/>
                <w:szCs w:val="20"/>
                <w:color w:val="auto"/>
              </w:rPr>
            </w:pPr>
            <w:r>
              <w:rPr>
                <w:rFonts w:ascii="Arial" w:cs="Arial" w:eastAsia="Arial" w:hAnsi="Arial"/>
                <w:sz w:val="18"/>
                <w:szCs w:val="18"/>
                <w:i w:val="1"/>
                <w:iCs w:val="1"/>
                <w:color w:val="auto"/>
                <w:w w:val="89"/>
              </w:rPr>
              <w:t>Residential</w:t>
            </w:r>
          </w:p>
        </w:tc>
        <w:tc>
          <w:tcPr>
            <w:tcW w:w="1200" w:type="dxa"/>
            <w:vAlign w:val="bottom"/>
            <w:tcBorders>
              <w:top w:val="single" w:sz="8" w:color="auto"/>
              <w:bottom w:val="single" w:sz="8" w:color="D9D9D9"/>
              <w:right w:val="single" w:sz="8" w:color="auto"/>
            </w:tcBorders>
            <w:shd w:val="clear" w:color="auto" w:fill="D9D9D9"/>
          </w:tcPr>
          <w:p>
            <w:pPr>
              <w:jc w:val="center"/>
              <w:spacing w:after="0"/>
              <w:rPr>
                <w:sz w:val="20"/>
                <w:szCs w:val="20"/>
                <w:color w:val="auto"/>
              </w:rPr>
            </w:pPr>
            <w:r>
              <w:rPr>
                <w:rFonts w:ascii="Arial" w:cs="Arial" w:eastAsia="Arial" w:hAnsi="Arial"/>
                <w:sz w:val="18"/>
                <w:szCs w:val="18"/>
                <w:i w:val="1"/>
                <w:iCs w:val="1"/>
                <w:color w:val="auto"/>
                <w:w w:val="91"/>
              </w:rPr>
              <w:t>Commercial</w:t>
            </w:r>
          </w:p>
        </w:tc>
        <w:tc>
          <w:tcPr>
            <w:tcW w:w="1180" w:type="dxa"/>
            <w:vAlign w:val="bottom"/>
            <w:tcBorders>
              <w:top w:val="single" w:sz="8" w:color="auto"/>
              <w:bottom w:val="single" w:sz="8" w:color="D9D9D9"/>
              <w:right w:val="single" w:sz="8" w:color="auto"/>
            </w:tcBorders>
            <w:shd w:val="clear" w:color="auto" w:fill="D9D9D9"/>
          </w:tcPr>
          <w:p>
            <w:pPr>
              <w:jc w:val="center"/>
              <w:spacing w:after="0"/>
              <w:rPr>
                <w:sz w:val="20"/>
                <w:szCs w:val="20"/>
                <w:color w:val="auto"/>
              </w:rPr>
            </w:pPr>
            <w:r>
              <w:rPr>
                <w:rFonts w:ascii="Arial" w:cs="Arial" w:eastAsia="Arial" w:hAnsi="Arial"/>
                <w:sz w:val="18"/>
                <w:szCs w:val="18"/>
                <w:i w:val="1"/>
                <w:iCs w:val="1"/>
                <w:color w:val="auto"/>
                <w:w w:val="92"/>
              </w:rPr>
              <w:t>Residential</w:t>
            </w:r>
          </w:p>
        </w:tc>
        <w:tc>
          <w:tcPr>
            <w:tcW w:w="1200" w:type="dxa"/>
            <w:vAlign w:val="bottom"/>
            <w:tcBorders>
              <w:top w:val="single" w:sz="8" w:color="auto"/>
              <w:bottom w:val="single" w:sz="8" w:color="D9D9D9"/>
              <w:right w:val="single" w:sz="8" w:color="auto"/>
            </w:tcBorders>
            <w:shd w:val="clear" w:color="auto" w:fill="D9D9D9"/>
          </w:tcPr>
          <w:p>
            <w:pPr>
              <w:jc w:val="center"/>
              <w:spacing w:after="0"/>
              <w:rPr>
                <w:sz w:val="20"/>
                <w:szCs w:val="20"/>
                <w:color w:val="auto"/>
              </w:rPr>
            </w:pPr>
            <w:r>
              <w:rPr>
                <w:rFonts w:ascii="Arial" w:cs="Arial" w:eastAsia="Arial" w:hAnsi="Arial"/>
                <w:sz w:val="18"/>
                <w:szCs w:val="18"/>
                <w:i w:val="1"/>
                <w:iCs w:val="1"/>
                <w:color w:val="auto"/>
                <w:w w:val="91"/>
              </w:rPr>
              <w:t>Commercial</w:t>
            </w:r>
          </w:p>
        </w:tc>
        <w:tc>
          <w:tcPr>
            <w:tcW w:w="1320" w:type="dxa"/>
            <w:vAlign w:val="bottom"/>
            <w:tcBorders>
              <w:top w:val="single" w:sz="8" w:color="auto"/>
              <w:bottom w:val="single" w:sz="8" w:color="D9D9D9"/>
              <w:right w:val="single" w:sz="8" w:color="auto"/>
            </w:tcBorders>
            <w:shd w:val="clear" w:color="auto" w:fill="D9D9D9"/>
          </w:tcPr>
          <w:p>
            <w:pPr>
              <w:jc w:val="center"/>
              <w:spacing w:after="0"/>
              <w:rPr>
                <w:sz w:val="20"/>
                <w:szCs w:val="20"/>
                <w:color w:val="auto"/>
              </w:rPr>
            </w:pPr>
            <w:r>
              <w:rPr>
                <w:rFonts w:ascii="Arial" w:cs="Arial" w:eastAsia="Arial" w:hAnsi="Arial"/>
                <w:sz w:val="18"/>
                <w:szCs w:val="18"/>
                <w:i w:val="1"/>
                <w:iCs w:val="1"/>
                <w:color w:val="auto"/>
                <w:w w:val="92"/>
              </w:rPr>
              <w:t>Residential</w:t>
            </w:r>
          </w:p>
        </w:tc>
        <w:tc>
          <w:tcPr>
            <w:tcW w:w="1340" w:type="dxa"/>
            <w:vAlign w:val="bottom"/>
            <w:tcBorders>
              <w:top w:val="single" w:sz="8" w:color="auto"/>
              <w:bottom w:val="single" w:sz="8" w:color="D9D9D9"/>
              <w:right w:val="single" w:sz="8" w:color="auto"/>
            </w:tcBorders>
            <w:shd w:val="clear" w:color="auto" w:fill="D9D9D9"/>
          </w:tcPr>
          <w:p>
            <w:pPr>
              <w:jc w:val="center"/>
              <w:spacing w:after="0"/>
              <w:rPr>
                <w:sz w:val="20"/>
                <w:szCs w:val="20"/>
                <w:color w:val="auto"/>
              </w:rPr>
            </w:pPr>
            <w:r>
              <w:rPr>
                <w:rFonts w:ascii="Arial" w:cs="Arial" w:eastAsia="Arial" w:hAnsi="Arial"/>
                <w:sz w:val="18"/>
                <w:szCs w:val="18"/>
                <w:i w:val="1"/>
                <w:iCs w:val="1"/>
                <w:color w:val="auto"/>
                <w:w w:val="91"/>
              </w:rPr>
              <w:t>Commercial</w:t>
            </w:r>
          </w:p>
        </w:tc>
        <w:tc>
          <w:tcPr>
            <w:tcW w:w="1320" w:type="dxa"/>
            <w:vAlign w:val="bottom"/>
            <w:tcBorders>
              <w:top w:val="single" w:sz="8" w:color="auto"/>
              <w:bottom w:val="single" w:sz="8" w:color="D9D9D9"/>
              <w:right w:val="single" w:sz="8" w:color="auto"/>
            </w:tcBorders>
            <w:shd w:val="clear" w:color="auto" w:fill="D9D9D9"/>
          </w:tcPr>
          <w:p>
            <w:pPr>
              <w:ind w:left="240"/>
              <w:spacing w:after="0"/>
              <w:rPr>
                <w:sz w:val="20"/>
                <w:szCs w:val="20"/>
                <w:color w:val="auto"/>
              </w:rPr>
            </w:pPr>
            <w:r>
              <w:rPr>
                <w:rFonts w:ascii="Arial" w:cs="Arial" w:eastAsia="Arial" w:hAnsi="Arial"/>
                <w:sz w:val="18"/>
                <w:szCs w:val="18"/>
                <w:i w:val="1"/>
                <w:iCs w:val="1"/>
                <w:color w:val="auto"/>
              </w:rPr>
              <w:t>Residential</w:t>
            </w:r>
          </w:p>
        </w:tc>
        <w:tc>
          <w:tcPr>
            <w:tcW w:w="1460" w:type="dxa"/>
            <w:vAlign w:val="bottom"/>
            <w:tcBorders>
              <w:top w:val="single" w:sz="8" w:color="auto"/>
              <w:bottom w:val="single" w:sz="8" w:color="D9D9D9"/>
              <w:right w:val="single" w:sz="8" w:color="auto"/>
            </w:tcBorders>
            <w:shd w:val="clear" w:color="auto" w:fill="D9D9D9"/>
          </w:tcPr>
          <w:p>
            <w:pPr>
              <w:jc w:val="center"/>
              <w:spacing w:after="0"/>
              <w:rPr>
                <w:sz w:val="20"/>
                <w:szCs w:val="20"/>
                <w:color w:val="auto"/>
              </w:rPr>
            </w:pPr>
            <w:r>
              <w:rPr>
                <w:rFonts w:ascii="Arial" w:cs="Arial" w:eastAsia="Arial" w:hAnsi="Arial"/>
                <w:sz w:val="18"/>
                <w:szCs w:val="18"/>
                <w:i w:val="1"/>
                <w:iCs w:val="1"/>
                <w:color w:val="auto"/>
                <w:w w:val="91"/>
              </w:rPr>
              <w:t>Commercial</w:t>
            </w:r>
          </w:p>
        </w:tc>
        <w:tc>
          <w:tcPr>
            <w:tcW w:w="0" w:type="dxa"/>
            <w:vAlign w:val="bottom"/>
          </w:tcPr>
          <w:p>
            <w:pPr>
              <w:spacing w:after="0"/>
              <w:rPr>
                <w:sz w:val="1"/>
                <w:szCs w:val="1"/>
                <w:color w:val="auto"/>
              </w:rPr>
            </w:pPr>
          </w:p>
        </w:tc>
      </w:tr>
      <w:tr>
        <w:trPr>
          <w:trHeight w:val="218"/>
        </w:trPr>
        <w:tc>
          <w:tcPr>
            <w:tcW w:w="12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Video</w:t>
            </w:r>
          </w:p>
        </w:tc>
        <w:tc>
          <w:tcPr>
            <w:tcW w:w="11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6"/>
              </w:rPr>
              <w:t>21.8 million</w:t>
            </w:r>
          </w:p>
        </w:tc>
        <w:tc>
          <w:tcPr>
            <w:tcW w:w="120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8"/>
              </w:rPr>
              <w:t>0.8 million</w:t>
            </w:r>
          </w:p>
        </w:tc>
        <w:tc>
          <w:tcPr>
            <w:tcW w:w="11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11.1 million</w:t>
            </w:r>
          </w:p>
        </w:tc>
        <w:tc>
          <w:tcPr>
            <w:tcW w:w="120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6"/>
              </w:rPr>
              <w:t>0.2 million</w:t>
            </w:r>
          </w:p>
        </w:tc>
        <w:tc>
          <w:tcPr>
            <w:tcW w:w="13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6"/>
              </w:rPr>
              <w:t>32.9 million</w:t>
            </w:r>
          </w:p>
        </w:tc>
        <w:tc>
          <w:tcPr>
            <w:tcW w:w="134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6"/>
              </w:rPr>
              <w:t>1.0 million</w:t>
            </w:r>
          </w:p>
        </w:tc>
        <w:tc>
          <w:tcPr>
            <w:tcW w:w="1320" w:type="dxa"/>
            <w:vAlign w:val="bottom"/>
            <w:tcBorders>
              <w:top w:val="single" w:sz="8" w:color="auto"/>
              <w:right w:val="single" w:sz="8" w:color="auto"/>
            </w:tcBorders>
            <w:vMerge w:val="restart"/>
          </w:tcPr>
          <w:p>
            <w:pPr>
              <w:ind w:left="200"/>
              <w:spacing w:after="0"/>
              <w:rPr>
                <w:sz w:val="20"/>
                <w:szCs w:val="20"/>
                <w:color w:val="auto"/>
              </w:rPr>
            </w:pPr>
            <w:r>
              <w:rPr>
                <w:rFonts w:ascii="Arial" w:cs="Arial" w:eastAsia="Arial" w:hAnsi="Arial"/>
                <w:sz w:val="18"/>
                <w:szCs w:val="18"/>
                <w:color w:val="auto"/>
              </w:rPr>
              <w:t>29.1 million</w:t>
            </w:r>
          </w:p>
        </w:tc>
        <w:tc>
          <w:tcPr>
            <w:tcW w:w="14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6"/>
              </w:rPr>
              <w:t>0.9 million</w:t>
            </w:r>
          </w:p>
        </w:tc>
        <w:tc>
          <w:tcPr>
            <w:tcW w:w="0" w:type="dxa"/>
            <w:vAlign w:val="bottom"/>
          </w:tcPr>
          <w:p>
            <w:pPr>
              <w:spacing w:after="0"/>
              <w:rPr>
                <w:sz w:val="1"/>
                <w:szCs w:val="1"/>
                <w:color w:val="auto"/>
              </w:rPr>
            </w:pPr>
          </w:p>
        </w:tc>
      </w:tr>
      <w:tr>
        <w:trPr>
          <w:trHeight w:val="126"/>
        </w:trPr>
        <w:tc>
          <w:tcPr>
            <w:tcW w:w="12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9"/>
              </w:rPr>
              <w:t>Customers</w:t>
            </w:r>
          </w:p>
        </w:tc>
        <w:tc>
          <w:tcPr>
            <w:tcW w:w="1180" w:type="dxa"/>
            <w:vAlign w:val="bottom"/>
            <w:tcBorders>
              <w:right w:val="single" w:sz="8" w:color="auto"/>
            </w:tcBorders>
            <w:vMerge w:val="continue"/>
          </w:tcPr>
          <w:p>
            <w:pPr>
              <w:spacing w:after="0"/>
              <w:rPr>
                <w:sz w:val="10"/>
                <w:szCs w:val="10"/>
                <w:color w:val="auto"/>
              </w:rPr>
            </w:pPr>
          </w:p>
        </w:tc>
        <w:tc>
          <w:tcPr>
            <w:tcW w:w="1200" w:type="dxa"/>
            <w:vAlign w:val="bottom"/>
            <w:tcBorders>
              <w:right w:val="single" w:sz="8" w:color="auto"/>
            </w:tcBorders>
            <w:vMerge w:val="continue"/>
          </w:tcPr>
          <w:p>
            <w:pPr>
              <w:spacing w:after="0"/>
              <w:rPr>
                <w:sz w:val="10"/>
                <w:szCs w:val="10"/>
                <w:color w:val="auto"/>
              </w:rPr>
            </w:pPr>
          </w:p>
        </w:tc>
        <w:tc>
          <w:tcPr>
            <w:tcW w:w="1180" w:type="dxa"/>
            <w:vAlign w:val="bottom"/>
            <w:tcBorders>
              <w:right w:val="single" w:sz="8" w:color="auto"/>
            </w:tcBorders>
            <w:vMerge w:val="continue"/>
          </w:tcPr>
          <w:p>
            <w:pPr>
              <w:spacing w:after="0"/>
              <w:rPr>
                <w:sz w:val="10"/>
                <w:szCs w:val="10"/>
                <w:color w:val="auto"/>
              </w:rPr>
            </w:pPr>
          </w:p>
        </w:tc>
        <w:tc>
          <w:tcPr>
            <w:tcW w:w="1200" w:type="dxa"/>
            <w:vAlign w:val="bottom"/>
            <w:tcBorders>
              <w:right w:val="single" w:sz="8" w:color="auto"/>
            </w:tcBorders>
            <w:vMerge w:val="continue"/>
          </w:tcPr>
          <w:p>
            <w:pPr>
              <w:spacing w:after="0"/>
              <w:rPr>
                <w:sz w:val="10"/>
                <w:szCs w:val="10"/>
                <w:color w:val="auto"/>
              </w:rPr>
            </w:pPr>
          </w:p>
        </w:tc>
        <w:tc>
          <w:tcPr>
            <w:tcW w:w="1320" w:type="dxa"/>
            <w:vAlign w:val="bottom"/>
            <w:tcBorders>
              <w:right w:val="single" w:sz="8" w:color="auto"/>
            </w:tcBorders>
            <w:vMerge w:val="continue"/>
          </w:tcPr>
          <w:p>
            <w:pPr>
              <w:spacing w:after="0"/>
              <w:rPr>
                <w:sz w:val="10"/>
                <w:szCs w:val="10"/>
                <w:color w:val="auto"/>
              </w:rPr>
            </w:pPr>
          </w:p>
        </w:tc>
        <w:tc>
          <w:tcPr>
            <w:tcW w:w="1340" w:type="dxa"/>
            <w:vAlign w:val="bottom"/>
            <w:tcBorders>
              <w:right w:val="single" w:sz="8" w:color="auto"/>
            </w:tcBorders>
            <w:vMerge w:val="continue"/>
          </w:tcPr>
          <w:p>
            <w:pPr>
              <w:spacing w:after="0"/>
              <w:rPr>
                <w:sz w:val="10"/>
                <w:szCs w:val="10"/>
                <w:color w:val="auto"/>
              </w:rPr>
            </w:pPr>
          </w:p>
        </w:tc>
        <w:tc>
          <w:tcPr>
            <w:tcW w:w="1320" w:type="dxa"/>
            <w:vAlign w:val="bottom"/>
            <w:tcBorders>
              <w:right w:val="single" w:sz="8" w:color="auto"/>
            </w:tcBorders>
            <w:vMerge w:val="continue"/>
          </w:tcPr>
          <w:p>
            <w:pPr>
              <w:spacing w:after="0"/>
              <w:rPr>
                <w:sz w:val="10"/>
                <w:szCs w:val="10"/>
                <w:color w:val="auto"/>
              </w:rPr>
            </w:pPr>
          </w:p>
        </w:tc>
        <w:tc>
          <w:tcPr>
            <w:tcW w:w="14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20" w:type="dxa"/>
            <w:vAlign w:val="bottom"/>
            <w:tcBorders>
              <w:left w:val="single" w:sz="8" w:color="auto"/>
              <w:right w:val="single" w:sz="8" w:color="auto"/>
            </w:tcBorders>
            <w:vMerge w:val="continue"/>
          </w:tcPr>
          <w:p>
            <w:pPr>
              <w:spacing w:after="0"/>
              <w:rPr>
                <w:sz w:val="9"/>
                <w:szCs w:val="9"/>
                <w:color w:val="auto"/>
              </w:rPr>
            </w:pPr>
          </w:p>
        </w:tc>
        <w:tc>
          <w:tcPr>
            <w:tcW w:w="1180" w:type="dxa"/>
            <w:vAlign w:val="bottom"/>
            <w:tcBorders>
              <w:right w:val="single" w:sz="8" w:color="auto"/>
            </w:tcBorders>
          </w:tcPr>
          <w:p>
            <w:pPr>
              <w:spacing w:after="0"/>
              <w:rPr>
                <w:sz w:val="9"/>
                <w:szCs w:val="9"/>
                <w:color w:val="auto"/>
              </w:rPr>
            </w:pPr>
          </w:p>
        </w:tc>
        <w:tc>
          <w:tcPr>
            <w:tcW w:w="1200" w:type="dxa"/>
            <w:vAlign w:val="bottom"/>
            <w:tcBorders>
              <w:right w:val="single" w:sz="8" w:color="auto"/>
            </w:tcBorders>
          </w:tcPr>
          <w:p>
            <w:pPr>
              <w:spacing w:after="0"/>
              <w:rPr>
                <w:sz w:val="9"/>
                <w:szCs w:val="9"/>
                <w:color w:val="auto"/>
              </w:rPr>
            </w:pPr>
          </w:p>
        </w:tc>
        <w:tc>
          <w:tcPr>
            <w:tcW w:w="1180" w:type="dxa"/>
            <w:vAlign w:val="bottom"/>
            <w:tcBorders>
              <w:right w:val="single" w:sz="8" w:color="auto"/>
            </w:tcBorders>
          </w:tcPr>
          <w:p>
            <w:pPr>
              <w:spacing w:after="0"/>
              <w:rPr>
                <w:sz w:val="9"/>
                <w:szCs w:val="9"/>
                <w:color w:val="auto"/>
              </w:rPr>
            </w:pPr>
          </w:p>
        </w:tc>
        <w:tc>
          <w:tcPr>
            <w:tcW w:w="1200" w:type="dxa"/>
            <w:vAlign w:val="bottom"/>
            <w:tcBorders>
              <w:right w:val="single" w:sz="8" w:color="auto"/>
            </w:tcBorders>
          </w:tcPr>
          <w:p>
            <w:pPr>
              <w:spacing w:after="0"/>
              <w:rPr>
                <w:sz w:val="9"/>
                <w:szCs w:val="9"/>
                <w:color w:val="auto"/>
              </w:rPr>
            </w:pPr>
          </w:p>
        </w:tc>
        <w:tc>
          <w:tcPr>
            <w:tcW w:w="1320" w:type="dxa"/>
            <w:vAlign w:val="bottom"/>
            <w:tcBorders>
              <w:right w:val="single" w:sz="8" w:color="auto"/>
            </w:tcBorders>
          </w:tcPr>
          <w:p>
            <w:pPr>
              <w:spacing w:after="0"/>
              <w:rPr>
                <w:sz w:val="9"/>
                <w:szCs w:val="9"/>
                <w:color w:val="auto"/>
              </w:rPr>
            </w:pPr>
          </w:p>
        </w:tc>
        <w:tc>
          <w:tcPr>
            <w:tcW w:w="1340" w:type="dxa"/>
            <w:vAlign w:val="bottom"/>
            <w:tcBorders>
              <w:right w:val="single" w:sz="8" w:color="auto"/>
            </w:tcBorders>
          </w:tcPr>
          <w:p>
            <w:pPr>
              <w:spacing w:after="0"/>
              <w:rPr>
                <w:sz w:val="9"/>
                <w:szCs w:val="9"/>
                <w:color w:val="auto"/>
              </w:rPr>
            </w:pPr>
          </w:p>
        </w:tc>
        <w:tc>
          <w:tcPr>
            <w:tcW w:w="1320" w:type="dxa"/>
            <w:vAlign w:val="bottom"/>
            <w:tcBorders>
              <w:right w:val="single" w:sz="8" w:color="auto"/>
            </w:tcBorders>
          </w:tcPr>
          <w:p>
            <w:pPr>
              <w:spacing w:after="0"/>
              <w:rPr>
                <w:sz w:val="9"/>
                <w:szCs w:val="9"/>
                <w:color w:val="auto"/>
              </w:rPr>
            </w:pPr>
          </w:p>
        </w:tc>
        <w:tc>
          <w:tcPr>
            <w:tcW w:w="14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1220" w:type="dxa"/>
            <w:vAlign w:val="bottom"/>
            <w:tcBorders>
              <w:left w:val="single" w:sz="8" w:color="auto"/>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220" w:type="dxa"/>
            <w:vAlign w:val="bottom"/>
            <w:tcBorders>
              <w:left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3"/>
              </w:rPr>
              <w:t>Fixed</w:t>
            </w:r>
          </w:p>
        </w:tc>
        <w:tc>
          <w:tcPr>
            <w:tcW w:w="1180" w:type="dxa"/>
            <w:vAlign w:val="bottom"/>
            <w:tcBorders>
              <w:right w:val="single" w:sz="8" w:color="auto"/>
            </w:tcBorders>
            <w:shd w:val="clear" w:color="auto" w:fill="D9D9D9"/>
          </w:tcPr>
          <w:p>
            <w:pPr>
              <w:spacing w:after="0"/>
              <w:rPr>
                <w:sz w:val="18"/>
                <w:szCs w:val="18"/>
                <w:color w:val="auto"/>
              </w:rPr>
            </w:pPr>
          </w:p>
        </w:tc>
        <w:tc>
          <w:tcPr>
            <w:tcW w:w="1200" w:type="dxa"/>
            <w:vAlign w:val="bottom"/>
            <w:tcBorders>
              <w:right w:val="single" w:sz="8" w:color="auto"/>
            </w:tcBorders>
            <w:shd w:val="clear" w:color="auto" w:fill="D9D9D9"/>
          </w:tcPr>
          <w:p>
            <w:pPr>
              <w:spacing w:after="0"/>
              <w:rPr>
                <w:sz w:val="18"/>
                <w:szCs w:val="18"/>
                <w:color w:val="auto"/>
              </w:rPr>
            </w:pPr>
          </w:p>
        </w:tc>
        <w:tc>
          <w:tcPr>
            <w:tcW w:w="1180" w:type="dxa"/>
            <w:vAlign w:val="bottom"/>
            <w:tcBorders>
              <w:right w:val="single" w:sz="8" w:color="auto"/>
            </w:tcBorders>
            <w:shd w:val="clear" w:color="auto" w:fill="D9D9D9"/>
          </w:tcPr>
          <w:p>
            <w:pPr>
              <w:spacing w:after="0"/>
              <w:rPr>
                <w:sz w:val="18"/>
                <w:szCs w:val="18"/>
                <w:color w:val="auto"/>
              </w:rPr>
            </w:pPr>
          </w:p>
        </w:tc>
        <w:tc>
          <w:tcPr>
            <w:tcW w:w="1200" w:type="dxa"/>
            <w:vAlign w:val="bottom"/>
            <w:tcBorders>
              <w:right w:val="single" w:sz="8" w:color="auto"/>
            </w:tcBorders>
            <w:shd w:val="clear" w:color="auto" w:fill="D9D9D9"/>
          </w:tcPr>
          <w:p>
            <w:pPr>
              <w:spacing w:after="0"/>
              <w:rPr>
                <w:sz w:val="18"/>
                <w:szCs w:val="18"/>
                <w:color w:val="auto"/>
              </w:rPr>
            </w:pPr>
          </w:p>
        </w:tc>
        <w:tc>
          <w:tcPr>
            <w:tcW w:w="1320" w:type="dxa"/>
            <w:vAlign w:val="bottom"/>
            <w:tcBorders>
              <w:right w:val="single" w:sz="8" w:color="auto"/>
            </w:tcBorders>
            <w:shd w:val="clear" w:color="auto" w:fill="D9D9D9"/>
          </w:tcPr>
          <w:p>
            <w:pPr>
              <w:spacing w:after="0"/>
              <w:rPr>
                <w:sz w:val="18"/>
                <w:szCs w:val="18"/>
                <w:color w:val="auto"/>
              </w:rPr>
            </w:pPr>
          </w:p>
        </w:tc>
        <w:tc>
          <w:tcPr>
            <w:tcW w:w="1340" w:type="dxa"/>
            <w:vAlign w:val="bottom"/>
            <w:tcBorders>
              <w:right w:val="single" w:sz="8" w:color="auto"/>
            </w:tcBorders>
            <w:shd w:val="clear" w:color="auto" w:fill="D9D9D9"/>
          </w:tcPr>
          <w:p>
            <w:pPr>
              <w:spacing w:after="0"/>
              <w:rPr>
                <w:sz w:val="18"/>
                <w:szCs w:val="18"/>
                <w:color w:val="auto"/>
              </w:rPr>
            </w:pPr>
          </w:p>
        </w:tc>
        <w:tc>
          <w:tcPr>
            <w:tcW w:w="1320" w:type="dxa"/>
            <w:vAlign w:val="bottom"/>
            <w:tcBorders>
              <w:right w:val="single" w:sz="8" w:color="auto"/>
            </w:tcBorders>
            <w:shd w:val="clear" w:color="auto" w:fill="D9D9D9"/>
          </w:tcPr>
          <w:p>
            <w:pPr>
              <w:spacing w:after="0"/>
              <w:rPr>
                <w:sz w:val="18"/>
                <w:szCs w:val="18"/>
                <w:color w:val="auto"/>
              </w:rPr>
            </w:pPr>
          </w:p>
        </w:tc>
        <w:tc>
          <w:tcPr>
            <w:tcW w:w="1460" w:type="dxa"/>
            <w:vAlign w:val="bottom"/>
            <w:tcBorders>
              <w:right w:val="single" w:sz="8" w:color="auto"/>
            </w:tcBorders>
            <w:shd w:val="clear" w:color="auto" w:fill="D9D9D9"/>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Borders>
              <w:left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2"/>
              </w:rPr>
              <w:t>Broadband</w:t>
            </w:r>
          </w:p>
        </w:tc>
        <w:tc>
          <w:tcPr>
            <w:tcW w:w="118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6"/>
              </w:rPr>
              <w:t>19.7 million</w:t>
            </w:r>
          </w:p>
        </w:tc>
        <w:tc>
          <w:tcPr>
            <w:tcW w:w="120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8"/>
              </w:rPr>
              <w:t>1.4 million</w:t>
            </w:r>
          </w:p>
        </w:tc>
        <w:tc>
          <w:tcPr>
            <w:tcW w:w="118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4"/>
              </w:rPr>
              <w:t>11.4 million</w:t>
            </w:r>
          </w:p>
        </w:tc>
        <w:tc>
          <w:tcPr>
            <w:tcW w:w="120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6"/>
              </w:rPr>
              <w:t>0.5 million</w:t>
            </w:r>
          </w:p>
        </w:tc>
        <w:tc>
          <w:tcPr>
            <w:tcW w:w="132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6"/>
              </w:rPr>
              <w:t>31.1 million</w:t>
            </w:r>
          </w:p>
        </w:tc>
        <w:tc>
          <w:tcPr>
            <w:tcW w:w="134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6"/>
              </w:rPr>
              <w:t>1.9 million</w:t>
            </w:r>
          </w:p>
        </w:tc>
        <w:tc>
          <w:tcPr>
            <w:tcW w:w="1320" w:type="dxa"/>
            <w:vAlign w:val="bottom"/>
            <w:tcBorders>
              <w:right w:val="single" w:sz="8" w:color="auto"/>
            </w:tcBorders>
            <w:shd w:val="clear" w:color="auto" w:fill="D9D9D9"/>
          </w:tcPr>
          <w:p>
            <w:pPr>
              <w:ind w:left="200"/>
              <w:spacing w:after="0"/>
              <w:rPr>
                <w:sz w:val="20"/>
                <w:szCs w:val="20"/>
                <w:color w:val="auto"/>
              </w:rPr>
            </w:pPr>
            <w:r>
              <w:rPr>
                <w:rFonts w:ascii="Arial" w:cs="Arial" w:eastAsia="Arial" w:hAnsi="Arial"/>
                <w:sz w:val="18"/>
                <w:szCs w:val="18"/>
                <w:color w:val="auto"/>
              </w:rPr>
              <w:t>27.9 million</w:t>
            </w:r>
          </w:p>
        </w:tc>
        <w:tc>
          <w:tcPr>
            <w:tcW w:w="146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6"/>
              </w:rPr>
              <w:t>1.7 million</w:t>
            </w:r>
          </w:p>
        </w:tc>
        <w:tc>
          <w:tcPr>
            <w:tcW w:w="0" w:type="dxa"/>
            <w:vAlign w:val="bottom"/>
          </w:tcPr>
          <w:p>
            <w:pPr>
              <w:spacing w:after="0"/>
              <w:rPr>
                <w:sz w:val="1"/>
                <w:szCs w:val="1"/>
                <w:color w:val="auto"/>
              </w:rPr>
            </w:pPr>
          </w:p>
        </w:tc>
      </w:tr>
      <w:tr>
        <w:trPr>
          <w:trHeight w:val="266"/>
        </w:trPr>
        <w:tc>
          <w:tcPr>
            <w:tcW w:w="1220" w:type="dxa"/>
            <w:vAlign w:val="bottom"/>
            <w:tcBorders>
              <w:left w:val="single" w:sz="8" w:color="auto"/>
              <w:bottom w:val="single" w:sz="8" w:color="D9D9D9"/>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89"/>
              </w:rPr>
              <w:t>Customers</w:t>
            </w:r>
          </w:p>
        </w:tc>
        <w:tc>
          <w:tcPr>
            <w:tcW w:w="1180" w:type="dxa"/>
            <w:vAlign w:val="bottom"/>
            <w:tcBorders>
              <w:bottom w:val="single" w:sz="8" w:color="D9D9D9"/>
              <w:right w:val="single" w:sz="8" w:color="auto"/>
            </w:tcBorders>
            <w:shd w:val="clear" w:color="auto" w:fill="D9D9D9"/>
          </w:tcPr>
          <w:p>
            <w:pPr>
              <w:spacing w:after="0"/>
              <w:rPr>
                <w:sz w:val="22"/>
                <w:szCs w:val="22"/>
                <w:color w:val="auto"/>
              </w:rPr>
            </w:pPr>
          </w:p>
        </w:tc>
        <w:tc>
          <w:tcPr>
            <w:tcW w:w="1200" w:type="dxa"/>
            <w:vAlign w:val="bottom"/>
            <w:tcBorders>
              <w:bottom w:val="single" w:sz="8" w:color="D9D9D9"/>
              <w:right w:val="single" w:sz="8" w:color="auto"/>
            </w:tcBorders>
            <w:shd w:val="clear" w:color="auto" w:fill="D9D9D9"/>
          </w:tcPr>
          <w:p>
            <w:pPr>
              <w:spacing w:after="0"/>
              <w:rPr>
                <w:sz w:val="22"/>
                <w:szCs w:val="22"/>
                <w:color w:val="auto"/>
              </w:rPr>
            </w:pPr>
          </w:p>
        </w:tc>
        <w:tc>
          <w:tcPr>
            <w:tcW w:w="1180" w:type="dxa"/>
            <w:vAlign w:val="bottom"/>
            <w:tcBorders>
              <w:bottom w:val="single" w:sz="8" w:color="D9D9D9"/>
              <w:right w:val="single" w:sz="8" w:color="auto"/>
            </w:tcBorders>
            <w:shd w:val="clear" w:color="auto" w:fill="D9D9D9"/>
          </w:tcPr>
          <w:p>
            <w:pPr>
              <w:spacing w:after="0"/>
              <w:rPr>
                <w:sz w:val="22"/>
                <w:szCs w:val="22"/>
                <w:color w:val="auto"/>
              </w:rPr>
            </w:pPr>
          </w:p>
        </w:tc>
        <w:tc>
          <w:tcPr>
            <w:tcW w:w="1200" w:type="dxa"/>
            <w:vAlign w:val="bottom"/>
            <w:tcBorders>
              <w:bottom w:val="single" w:sz="8" w:color="D9D9D9"/>
              <w:right w:val="single" w:sz="8" w:color="auto"/>
            </w:tcBorders>
            <w:shd w:val="clear" w:color="auto" w:fill="D9D9D9"/>
          </w:tcPr>
          <w:p>
            <w:pPr>
              <w:spacing w:after="0"/>
              <w:rPr>
                <w:sz w:val="22"/>
                <w:szCs w:val="22"/>
                <w:color w:val="auto"/>
              </w:rPr>
            </w:pPr>
          </w:p>
        </w:tc>
        <w:tc>
          <w:tcPr>
            <w:tcW w:w="1320" w:type="dxa"/>
            <w:vAlign w:val="bottom"/>
            <w:tcBorders>
              <w:bottom w:val="single" w:sz="8" w:color="D9D9D9"/>
              <w:right w:val="single" w:sz="8" w:color="auto"/>
            </w:tcBorders>
            <w:shd w:val="clear" w:color="auto" w:fill="D9D9D9"/>
          </w:tcPr>
          <w:p>
            <w:pPr>
              <w:spacing w:after="0"/>
              <w:rPr>
                <w:sz w:val="22"/>
                <w:szCs w:val="22"/>
                <w:color w:val="auto"/>
              </w:rPr>
            </w:pPr>
          </w:p>
        </w:tc>
        <w:tc>
          <w:tcPr>
            <w:tcW w:w="1340" w:type="dxa"/>
            <w:vAlign w:val="bottom"/>
            <w:tcBorders>
              <w:bottom w:val="single" w:sz="8" w:color="D9D9D9"/>
              <w:right w:val="single" w:sz="8" w:color="auto"/>
            </w:tcBorders>
            <w:shd w:val="clear" w:color="auto" w:fill="D9D9D9"/>
          </w:tcPr>
          <w:p>
            <w:pPr>
              <w:spacing w:after="0"/>
              <w:rPr>
                <w:sz w:val="22"/>
                <w:szCs w:val="22"/>
                <w:color w:val="auto"/>
              </w:rPr>
            </w:pPr>
          </w:p>
        </w:tc>
        <w:tc>
          <w:tcPr>
            <w:tcW w:w="1320" w:type="dxa"/>
            <w:vAlign w:val="bottom"/>
            <w:tcBorders>
              <w:bottom w:val="single" w:sz="8" w:color="D9D9D9"/>
              <w:right w:val="single" w:sz="8" w:color="auto"/>
            </w:tcBorders>
            <w:shd w:val="clear" w:color="auto" w:fill="D9D9D9"/>
          </w:tcPr>
          <w:p>
            <w:pPr>
              <w:spacing w:after="0"/>
              <w:rPr>
                <w:sz w:val="22"/>
                <w:szCs w:val="22"/>
                <w:color w:val="auto"/>
              </w:rPr>
            </w:pPr>
          </w:p>
        </w:tc>
        <w:tc>
          <w:tcPr>
            <w:tcW w:w="1460" w:type="dxa"/>
            <w:vAlign w:val="bottom"/>
            <w:tcBorders>
              <w:bottom w:val="single" w:sz="8" w:color="D9D9D9"/>
              <w:right w:val="single" w:sz="8" w:color="auto"/>
            </w:tcBorders>
            <w:shd w:val="clear" w:color="auto" w:fill="D9D9D9"/>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12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Voice</w:t>
            </w:r>
          </w:p>
        </w:tc>
        <w:tc>
          <w:tcPr>
            <w:tcW w:w="11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6"/>
              </w:rPr>
              <w:t>10.0 million</w:t>
            </w:r>
          </w:p>
        </w:tc>
        <w:tc>
          <w:tcPr>
            <w:tcW w:w="120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8"/>
              </w:rPr>
              <w:t>0.8 million</w:t>
            </w:r>
          </w:p>
        </w:tc>
        <w:tc>
          <w:tcPr>
            <w:tcW w:w="11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6"/>
              </w:rPr>
              <w:t>5.0 million</w:t>
            </w:r>
          </w:p>
        </w:tc>
        <w:tc>
          <w:tcPr>
            <w:tcW w:w="120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6"/>
              </w:rPr>
              <w:t>0.3 million</w:t>
            </w:r>
          </w:p>
        </w:tc>
        <w:tc>
          <w:tcPr>
            <w:tcW w:w="13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6"/>
              </w:rPr>
              <w:t>15.0 million</w:t>
            </w:r>
          </w:p>
        </w:tc>
        <w:tc>
          <w:tcPr>
            <w:tcW w:w="134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6"/>
              </w:rPr>
              <w:t>1.1 million</w:t>
            </w:r>
          </w:p>
        </w:tc>
        <w:tc>
          <w:tcPr>
            <w:tcW w:w="1320" w:type="dxa"/>
            <w:vAlign w:val="bottom"/>
            <w:tcBorders>
              <w:top w:val="single" w:sz="8" w:color="auto"/>
              <w:right w:val="single" w:sz="8" w:color="auto"/>
            </w:tcBorders>
            <w:vMerge w:val="restart"/>
          </w:tcPr>
          <w:p>
            <w:pPr>
              <w:ind w:left="200"/>
              <w:spacing w:after="0"/>
              <w:rPr>
                <w:sz w:val="20"/>
                <w:szCs w:val="20"/>
                <w:color w:val="auto"/>
              </w:rPr>
            </w:pPr>
            <w:r>
              <w:rPr>
                <w:rFonts w:ascii="Arial" w:cs="Arial" w:eastAsia="Arial" w:hAnsi="Arial"/>
                <w:sz w:val="18"/>
                <w:szCs w:val="18"/>
                <w:color w:val="auto"/>
              </w:rPr>
              <w:t>13.4 million</w:t>
            </w:r>
          </w:p>
        </w:tc>
        <w:tc>
          <w:tcPr>
            <w:tcW w:w="14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6"/>
              </w:rPr>
              <w:t>1.0 million</w:t>
            </w:r>
          </w:p>
        </w:tc>
        <w:tc>
          <w:tcPr>
            <w:tcW w:w="0" w:type="dxa"/>
            <w:vAlign w:val="bottom"/>
          </w:tcPr>
          <w:p>
            <w:pPr>
              <w:spacing w:after="0"/>
              <w:rPr>
                <w:sz w:val="1"/>
                <w:szCs w:val="1"/>
                <w:color w:val="auto"/>
              </w:rPr>
            </w:pPr>
          </w:p>
        </w:tc>
      </w:tr>
      <w:tr>
        <w:trPr>
          <w:trHeight w:val="126"/>
        </w:trPr>
        <w:tc>
          <w:tcPr>
            <w:tcW w:w="12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9"/>
              </w:rPr>
              <w:t>Customers</w:t>
            </w:r>
          </w:p>
        </w:tc>
        <w:tc>
          <w:tcPr>
            <w:tcW w:w="1180" w:type="dxa"/>
            <w:vAlign w:val="bottom"/>
            <w:tcBorders>
              <w:right w:val="single" w:sz="8" w:color="auto"/>
            </w:tcBorders>
            <w:vMerge w:val="continue"/>
          </w:tcPr>
          <w:p>
            <w:pPr>
              <w:spacing w:after="0"/>
              <w:rPr>
                <w:sz w:val="10"/>
                <w:szCs w:val="10"/>
                <w:color w:val="auto"/>
              </w:rPr>
            </w:pPr>
          </w:p>
        </w:tc>
        <w:tc>
          <w:tcPr>
            <w:tcW w:w="1200" w:type="dxa"/>
            <w:vAlign w:val="bottom"/>
            <w:tcBorders>
              <w:right w:val="single" w:sz="8" w:color="auto"/>
            </w:tcBorders>
            <w:vMerge w:val="continue"/>
          </w:tcPr>
          <w:p>
            <w:pPr>
              <w:spacing w:after="0"/>
              <w:rPr>
                <w:sz w:val="10"/>
                <w:szCs w:val="10"/>
                <w:color w:val="auto"/>
              </w:rPr>
            </w:pPr>
          </w:p>
        </w:tc>
        <w:tc>
          <w:tcPr>
            <w:tcW w:w="1180" w:type="dxa"/>
            <w:vAlign w:val="bottom"/>
            <w:tcBorders>
              <w:right w:val="single" w:sz="8" w:color="auto"/>
            </w:tcBorders>
            <w:vMerge w:val="continue"/>
          </w:tcPr>
          <w:p>
            <w:pPr>
              <w:spacing w:after="0"/>
              <w:rPr>
                <w:sz w:val="10"/>
                <w:szCs w:val="10"/>
                <w:color w:val="auto"/>
              </w:rPr>
            </w:pPr>
          </w:p>
        </w:tc>
        <w:tc>
          <w:tcPr>
            <w:tcW w:w="1200" w:type="dxa"/>
            <w:vAlign w:val="bottom"/>
            <w:tcBorders>
              <w:right w:val="single" w:sz="8" w:color="auto"/>
            </w:tcBorders>
            <w:vMerge w:val="continue"/>
          </w:tcPr>
          <w:p>
            <w:pPr>
              <w:spacing w:after="0"/>
              <w:rPr>
                <w:sz w:val="10"/>
                <w:szCs w:val="10"/>
                <w:color w:val="auto"/>
              </w:rPr>
            </w:pPr>
          </w:p>
        </w:tc>
        <w:tc>
          <w:tcPr>
            <w:tcW w:w="1320" w:type="dxa"/>
            <w:vAlign w:val="bottom"/>
            <w:tcBorders>
              <w:right w:val="single" w:sz="8" w:color="auto"/>
            </w:tcBorders>
            <w:vMerge w:val="continue"/>
          </w:tcPr>
          <w:p>
            <w:pPr>
              <w:spacing w:after="0"/>
              <w:rPr>
                <w:sz w:val="10"/>
                <w:szCs w:val="10"/>
                <w:color w:val="auto"/>
              </w:rPr>
            </w:pPr>
          </w:p>
        </w:tc>
        <w:tc>
          <w:tcPr>
            <w:tcW w:w="1340" w:type="dxa"/>
            <w:vAlign w:val="bottom"/>
            <w:tcBorders>
              <w:right w:val="single" w:sz="8" w:color="auto"/>
            </w:tcBorders>
            <w:vMerge w:val="continue"/>
          </w:tcPr>
          <w:p>
            <w:pPr>
              <w:spacing w:after="0"/>
              <w:rPr>
                <w:sz w:val="10"/>
                <w:szCs w:val="10"/>
                <w:color w:val="auto"/>
              </w:rPr>
            </w:pPr>
          </w:p>
        </w:tc>
        <w:tc>
          <w:tcPr>
            <w:tcW w:w="1320" w:type="dxa"/>
            <w:vAlign w:val="bottom"/>
            <w:tcBorders>
              <w:right w:val="single" w:sz="8" w:color="auto"/>
            </w:tcBorders>
            <w:vMerge w:val="continue"/>
          </w:tcPr>
          <w:p>
            <w:pPr>
              <w:spacing w:after="0"/>
              <w:rPr>
                <w:sz w:val="10"/>
                <w:szCs w:val="10"/>
                <w:color w:val="auto"/>
              </w:rPr>
            </w:pPr>
          </w:p>
        </w:tc>
        <w:tc>
          <w:tcPr>
            <w:tcW w:w="14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20" w:type="dxa"/>
            <w:vAlign w:val="bottom"/>
            <w:tcBorders>
              <w:left w:val="single" w:sz="8" w:color="auto"/>
              <w:right w:val="single" w:sz="8" w:color="auto"/>
            </w:tcBorders>
            <w:vMerge w:val="continue"/>
          </w:tcPr>
          <w:p>
            <w:pPr>
              <w:spacing w:after="0"/>
              <w:rPr>
                <w:sz w:val="9"/>
                <w:szCs w:val="9"/>
                <w:color w:val="auto"/>
              </w:rPr>
            </w:pPr>
          </w:p>
        </w:tc>
        <w:tc>
          <w:tcPr>
            <w:tcW w:w="1180" w:type="dxa"/>
            <w:vAlign w:val="bottom"/>
            <w:tcBorders>
              <w:right w:val="single" w:sz="8" w:color="auto"/>
            </w:tcBorders>
          </w:tcPr>
          <w:p>
            <w:pPr>
              <w:spacing w:after="0"/>
              <w:rPr>
                <w:sz w:val="9"/>
                <w:szCs w:val="9"/>
                <w:color w:val="auto"/>
              </w:rPr>
            </w:pPr>
          </w:p>
        </w:tc>
        <w:tc>
          <w:tcPr>
            <w:tcW w:w="1200" w:type="dxa"/>
            <w:vAlign w:val="bottom"/>
            <w:tcBorders>
              <w:right w:val="single" w:sz="8" w:color="auto"/>
            </w:tcBorders>
          </w:tcPr>
          <w:p>
            <w:pPr>
              <w:spacing w:after="0"/>
              <w:rPr>
                <w:sz w:val="9"/>
                <w:szCs w:val="9"/>
                <w:color w:val="auto"/>
              </w:rPr>
            </w:pPr>
          </w:p>
        </w:tc>
        <w:tc>
          <w:tcPr>
            <w:tcW w:w="1180" w:type="dxa"/>
            <w:vAlign w:val="bottom"/>
            <w:tcBorders>
              <w:right w:val="single" w:sz="8" w:color="auto"/>
            </w:tcBorders>
          </w:tcPr>
          <w:p>
            <w:pPr>
              <w:spacing w:after="0"/>
              <w:rPr>
                <w:sz w:val="9"/>
                <w:szCs w:val="9"/>
                <w:color w:val="auto"/>
              </w:rPr>
            </w:pPr>
          </w:p>
        </w:tc>
        <w:tc>
          <w:tcPr>
            <w:tcW w:w="1200" w:type="dxa"/>
            <w:vAlign w:val="bottom"/>
            <w:tcBorders>
              <w:right w:val="single" w:sz="8" w:color="auto"/>
            </w:tcBorders>
          </w:tcPr>
          <w:p>
            <w:pPr>
              <w:spacing w:after="0"/>
              <w:rPr>
                <w:sz w:val="9"/>
                <w:szCs w:val="9"/>
                <w:color w:val="auto"/>
              </w:rPr>
            </w:pPr>
          </w:p>
        </w:tc>
        <w:tc>
          <w:tcPr>
            <w:tcW w:w="1320" w:type="dxa"/>
            <w:vAlign w:val="bottom"/>
            <w:tcBorders>
              <w:right w:val="single" w:sz="8" w:color="auto"/>
            </w:tcBorders>
          </w:tcPr>
          <w:p>
            <w:pPr>
              <w:spacing w:after="0"/>
              <w:rPr>
                <w:sz w:val="9"/>
                <w:szCs w:val="9"/>
                <w:color w:val="auto"/>
              </w:rPr>
            </w:pPr>
          </w:p>
        </w:tc>
        <w:tc>
          <w:tcPr>
            <w:tcW w:w="1340" w:type="dxa"/>
            <w:vAlign w:val="bottom"/>
            <w:tcBorders>
              <w:right w:val="single" w:sz="8" w:color="auto"/>
            </w:tcBorders>
          </w:tcPr>
          <w:p>
            <w:pPr>
              <w:spacing w:after="0"/>
              <w:rPr>
                <w:sz w:val="9"/>
                <w:szCs w:val="9"/>
                <w:color w:val="auto"/>
              </w:rPr>
            </w:pPr>
          </w:p>
        </w:tc>
        <w:tc>
          <w:tcPr>
            <w:tcW w:w="1320" w:type="dxa"/>
            <w:vAlign w:val="bottom"/>
            <w:tcBorders>
              <w:right w:val="single" w:sz="8" w:color="auto"/>
            </w:tcBorders>
          </w:tcPr>
          <w:p>
            <w:pPr>
              <w:spacing w:after="0"/>
              <w:rPr>
                <w:sz w:val="9"/>
                <w:szCs w:val="9"/>
                <w:color w:val="auto"/>
              </w:rPr>
            </w:pPr>
          </w:p>
        </w:tc>
        <w:tc>
          <w:tcPr>
            <w:tcW w:w="14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1220" w:type="dxa"/>
            <w:vAlign w:val="bottom"/>
            <w:tcBorders>
              <w:left w:val="single" w:sz="8" w:color="auto"/>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220" w:type="dxa"/>
            <w:vAlign w:val="bottom"/>
            <w:tcBorders>
              <w:left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86"/>
              </w:rPr>
              <w:t>Homes</w:t>
            </w:r>
          </w:p>
        </w:tc>
        <w:tc>
          <w:tcPr>
            <w:tcW w:w="118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18"/>
                <w:szCs w:val="18"/>
                <w:b w:val="1"/>
                <w:bCs w:val="1"/>
                <w:color w:val="auto"/>
              </w:rPr>
              <w:t xml:space="preserve">[[ ]] </w:t>
            </w:r>
            <w:r>
              <w:rPr>
                <w:rFonts w:ascii="Arial" w:cs="Arial" w:eastAsia="Arial" w:hAnsi="Arial"/>
                <w:sz w:val="18"/>
                <w:szCs w:val="18"/>
                <w:color w:val="auto"/>
              </w:rPr>
              <w:t>million</w:t>
            </w:r>
          </w:p>
        </w:tc>
        <w:tc>
          <w:tcPr>
            <w:tcW w:w="120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18"/>
                <w:szCs w:val="18"/>
                <w:b w:val="1"/>
                <w:bCs w:val="1"/>
                <w:color w:val="auto"/>
              </w:rPr>
              <w:t xml:space="preserve">[[ ]] </w:t>
            </w:r>
            <w:r>
              <w:rPr>
                <w:rFonts w:ascii="Arial" w:cs="Arial" w:eastAsia="Arial" w:hAnsi="Arial"/>
                <w:sz w:val="18"/>
                <w:szCs w:val="18"/>
                <w:color w:val="auto"/>
              </w:rPr>
              <w:t>million</w:t>
            </w:r>
          </w:p>
        </w:tc>
        <w:tc>
          <w:tcPr>
            <w:tcW w:w="118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18"/>
                <w:szCs w:val="18"/>
                <w:b w:val="1"/>
                <w:bCs w:val="1"/>
                <w:color w:val="auto"/>
              </w:rPr>
              <w:t xml:space="preserve">[[ ]] </w:t>
            </w:r>
            <w:r>
              <w:rPr>
                <w:rFonts w:ascii="Arial" w:cs="Arial" w:eastAsia="Arial" w:hAnsi="Arial"/>
                <w:sz w:val="18"/>
                <w:szCs w:val="18"/>
                <w:color w:val="auto"/>
              </w:rPr>
              <w:t>million</w:t>
            </w:r>
          </w:p>
        </w:tc>
        <w:tc>
          <w:tcPr>
            <w:tcW w:w="120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18"/>
                <w:szCs w:val="18"/>
                <w:b w:val="1"/>
                <w:bCs w:val="1"/>
                <w:color w:val="auto"/>
              </w:rPr>
              <w:t xml:space="preserve">[[ ]] </w:t>
            </w:r>
            <w:r>
              <w:rPr>
                <w:rFonts w:ascii="Arial" w:cs="Arial" w:eastAsia="Arial" w:hAnsi="Arial"/>
                <w:sz w:val="18"/>
                <w:szCs w:val="18"/>
                <w:color w:val="auto"/>
              </w:rPr>
              <w:t>million</w:t>
            </w:r>
            <w:r>
              <w:rPr>
                <w:rFonts w:ascii="Arial" w:cs="Arial" w:eastAsia="Arial" w:hAnsi="Arial"/>
                <w:sz w:val="25"/>
                <w:szCs w:val="25"/>
                <w:color w:val="auto"/>
                <w:vertAlign w:val="superscript"/>
              </w:rPr>
              <w:t>4</w:t>
            </w:r>
          </w:p>
        </w:tc>
        <w:tc>
          <w:tcPr>
            <w:tcW w:w="132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18"/>
                <w:szCs w:val="18"/>
                <w:b w:val="1"/>
                <w:bCs w:val="1"/>
                <w:color w:val="auto"/>
              </w:rPr>
              <w:t xml:space="preserve">[[ ]] </w:t>
            </w:r>
            <w:r>
              <w:rPr>
                <w:rFonts w:ascii="Arial" w:cs="Arial" w:eastAsia="Arial" w:hAnsi="Arial"/>
                <w:sz w:val="18"/>
                <w:szCs w:val="18"/>
                <w:color w:val="auto"/>
              </w:rPr>
              <w:t>million</w:t>
            </w:r>
          </w:p>
        </w:tc>
        <w:tc>
          <w:tcPr>
            <w:tcW w:w="134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18"/>
                <w:szCs w:val="18"/>
                <w:b w:val="1"/>
                <w:bCs w:val="1"/>
                <w:color w:val="auto"/>
              </w:rPr>
              <w:t xml:space="preserve">[[ ]] </w:t>
            </w:r>
            <w:r>
              <w:rPr>
                <w:rFonts w:ascii="Arial" w:cs="Arial" w:eastAsia="Arial" w:hAnsi="Arial"/>
                <w:sz w:val="18"/>
                <w:szCs w:val="18"/>
                <w:color w:val="auto"/>
              </w:rPr>
              <w:t>million</w:t>
            </w:r>
          </w:p>
        </w:tc>
        <w:tc>
          <w:tcPr>
            <w:tcW w:w="1320" w:type="dxa"/>
            <w:vAlign w:val="bottom"/>
            <w:tcBorders>
              <w:right w:val="single" w:sz="8" w:color="auto"/>
            </w:tcBorders>
            <w:vMerge w:val="restart"/>
            <w:shd w:val="clear" w:color="auto" w:fill="D9D9D9"/>
          </w:tcPr>
          <w:p>
            <w:pPr>
              <w:ind w:left="200"/>
              <w:spacing w:after="0"/>
              <w:rPr>
                <w:sz w:val="20"/>
                <w:szCs w:val="20"/>
                <w:color w:val="auto"/>
              </w:rPr>
            </w:pPr>
            <w:r>
              <w:rPr>
                <w:rFonts w:ascii="Arial" w:cs="Arial" w:eastAsia="Arial" w:hAnsi="Arial"/>
                <w:sz w:val="18"/>
                <w:szCs w:val="18"/>
                <w:b w:val="1"/>
                <w:bCs w:val="1"/>
                <w:color w:val="auto"/>
              </w:rPr>
              <w:t xml:space="preserve">[[ ]] </w:t>
            </w:r>
            <w:r>
              <w:rPr>
                <w:rFonts w:ascii="Arial" w:cs="Arial" w:eastAsia="Arial" w:hAnsi="Arial"/>
                <w:sz w:val="18"/>
                <w:szCs w:val="18"/>
                <w:color w:val="auto"/>
              </w:rPr>
              <w:t>million</w:t>
            </w:r>
          </w:p>
        </w:tc>
        <w:tc>
          <w:tcPr>
            <w:tcW w:w="146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18"/>
                <w:szCs w:val="18"/>
                <w:b w:val="1"/>
                <w:bCs w:val="1"/>
                <w:color w:val="auto"/>
              </w:rPr>
              <w:t xml:space="preserve">[[ ]] </w:t>
            </w:r>
            <w:r>
              <w:rPr>
                <w:rFonts w:ascii="Arial" w:cs="Arial" w:eastAsia="Arial" w:hAnsi="Arial"/>
                <w:sz w:val="18"/>
                <w:szCs w:val="18"/>
                <w:color w:val="auto"/>
              </w:rPr>
              <w:t>million</w:t>
            </w:r>
          </w:p>
        </w:tc>
        <w:tc>
          <w:tcPr>
            <w:tcW w:w="0" w:type="dxa"/>
            <w:vAlign w:val="bottom"/>
          </w:tcPr>
          <w:p>
            <w:pPr>
              <w:spacing w:after="0"/>
              <w:rPr>
                <w:sz w:val="1"/>
                <w:szCs w:val="1"/>
                <w:color w:val="auto"/>
              </w:rPr>
            </w:pPr>
          </w:p>
        </w:tc>
      </w:tr>
      <w:tr>
        <w:trPr>
          <w:trHeight w:val="180"/>
        </w:trPr>
        <w:tc>
          <w:tcPr>
            <w:tcW w:w="1220" w:type="dxa"/>
            <w:vAlign w:val="bottom"/>
            <w:tcBorders>
              <w:left w:val="single" w:sz="8" w:color="auto"/>
              <w:right w:val="single" w:sz="8" w:color="auto"/>
            </w:tcBorders>
            <w:vMerge w:val="restart"/>
            <w:shd w:val="clear" w:color="auto" w:fill="D9D9D9"/>
          </w:tcPr>
          <w:p>
            <w:pPr>
              <w:jc w:val="center"/>
              <w:spacing w:after="0" w:line="262" w:lineRule="exact"/>
              <w:rPr>
                <w:sz w:val="20"/>
                <w:szCs w:val="20"/>
                <w:color w:val="auto"/>
              </w:rPr>
            </w:pPr>
            <w:r>
              <w:rPr>
                <w:rFonts w:ascii="Arial" w:cs="Arial" w:eastAsia="Arial" w:hAnsi="Arial"/>
                <w:sz w:val="18"/>
                <w:szCs w:val="18"/>
                <w:b w:val="1"/>
                <w:bCs w:val="1"/>
                <w:color w:val="auto"/>
                <w:w w:val="80"/>
              </w:rPr>
              <w:t>Passed</w:t>
            </w:r>
            <w:r>
              <w:rPr>
                <w:rFonts w:ascii="Arial" w:cs="Arial" w:eastAsia="Arial" w:hAnsi="Arial"/>
                <w:sz w:val="25"/>
                <w:szCs w:val="25"/>
                <w:b w:val="1"/>
                <w:bCs w:val="1"/>
                <w:color w:val="auto"/>
                <w:w w:val="80"/>
                <w:vertAlign w:val="superscript"/>
              </w:rPr>
              <w:t>3</w:t>
            </w:r>
          </w:p>
        </w:tc>
        <w:tc>
          <w:tcPr>
            <w:tcW w:w="1180" w:type="dxa"/>
            <w:vAlign w:val="bottom"/>
            <w:tcBorders>
              <w:right w:val="single" w:sz="8" w:color="auto"/>
            </w:tcBorders>
            <w:vMerge w:val="continue"/>
            <w:shd w:val="clear" w:color="auto" w:fill="D9D9D9"/>
          </w:tcPr>
          <w:p>
            <w:pPr>
              <w:spacing w:after="0"/>
              <w:rPr>
                <w:sz w:val="15"/>
                <w:szCs w:val="15"/>
                <w:color w:val="auto"/>
              </w:rPr>
            </w:pPr>
          </w:p>
        </w:tc>
        <w:tc>
          <w:tcPr>
            <w:tcW w:w="1200" w:type="dxa"/>
            <w:vAlign w:val="bottom"/>
            <w:tcBorders>
              <w:right w:val="single" w:sz="8" w:color="auto"/>
            </w:tcBorders>
            <w:vMerge w:val="continue"/>
            <w:shd w:val="clear" w:color="auto" w:fill="D9D9D9"/>
          </w:tcPr>
          <w:p>
            <w:pPr>
              <w:spacing w:after="0"/>
              <w:rPr>
                <w:sz w:val="15"/>
                <w:szCs w:val="15"/>
                <w:color w:val="auto"/>
              </w:rPr>
            </w:pPr>
          </w:p>
        </w:tc>
        <w:tc>
          <w:tcPr>
            <w:tcW w:w="1180" w:type="dxa"/>
            <w:vAlign w:val="bottom"/>
            <w:tcBorders>
              <w:right w:val="single" w:sz="8" w:color="auto"/>
            </w:tcBorders>
            <w:vMerge w:val="continue"/>
            <w:shd w:val="clear" w:color="auto" w:fill="D9D9D9"/>
          </w:tcPr>
          <w:p>
            <w:pPr>
              <w:spacing w:after="0"/>
              <w:rPr>
                <w:sz w:val="15"/>
                <w:szCs w:val="15"/>
                <w:color w:val="auto"/>
              </w:rPr>
            </w:pPr>
          </w:p>
        </w:tc>
        <w:tc>
          <w:tcPr>
            <w:tcW w:w="1200" w:type="dxa"/>
            <w:vAlign w:val="bottom"/>
            <w:tcBorders>
              <w:right w:val="single" w:sz="8" w:color="auto"/>
            </w:tcBorders>
            <w:vMerge w:val="continue"/>
            <w:shd w:val="clear" w:color="auto" w:fill="D9D9D9"/>
          </w:tcPr>
          <w:p>
            <w:pPr>
              <w:spacing w:after="0"/>
              <w:rPr>
                <w:sz w:val="15"/>
                <w:szCs w:val="15"/>
                <w:color w:val="auto"/>
              </w:rPr>
            </w:pPr>
          </w:p>
        </w:tc>
        <w:tc>
          <w:tcPr>
            <w:tcW w:w="1320" w:type="dxa"/>
            <w:vAlign w:val="bottom"/>
            <w:tcBorders>
              <w:right w:val="single" w:sz="8" w:color="auto"/>
            </w:tcBorders>
            <w:vMerge w:val="continue"/>
            <w:shd w:val="clear" w:color="auto" w:fill="D9D9D9"/>
          </w:tcPr>
          <w:p>
            <w:pPr>
              <w:spacing w:after="0"/>
              <w:rPr>
                <w:sz w:val="15"/>
                <w:szCs w:val="15"/>
                <w:color w:val="auto"/>
              </w:rPr>
            </w:pPr>
          </w:p>
        </w:tc>
        <w:tc>
          <w:tcPr>
            <w:tcW w:w="1340" w:type="dxa"/>
            <w:vAlign w:val="bottom"/>
            <w:tcBorders>
              <w:right w:val="single" w:sz="8" w:color="auto"/>
            </w:tcBorders>
            <w:vMerge w:val="continue"/>
            <w:shd w:val="clear" w:color="auto" w:fill="D9D9D9"/>
          </w:tcPr>
          <w:p>
            <w:pPr>
              <w:spacing w:after="0"/>
              <w:rPr>
                <w:sz w:val="15"/>
                <w:szCs w:val="15"/>
                <w:color w:val="auto"/>
              </w:rPr>
            </w:pPr>
          </w:p>
        </w:tc>
        <w:tc>
          <w:tcPr>
            <w:tcW w:w="1320" w:type="dxa"/>
            <w:vAlign w:val="bottom"/>
            <w:tcBorders>
              <w:right w:val="single" w:sz="8" w:color="auto"/>
            </w:tcBorders>
            <w:vMerge w:val="continue"/>
            <w:shd w:val="clear" w:color="auto" w:fill="D9D9D9"/>
          </w:tcPr>
          <w:p>
            <w:pPr>
              <w:spacing w:after="0"/>
              <w:rPr>
                <w:sz w:val="15"/>
                <w:szCs w:val="15"/>
                <w:color w:val="auto"/>
              </w:rPr>
            </w:pPr>
          </w:p>
        </w:tc>
        <w:tc>
          <w:tcPr>
            <w:tcW w:w="1460" w:type="dxa"/>
            <w:vAlign w:val="bottom"/>
            <w:tcBorders>
              <w:right w:val="single" w:sz="8" w:color="auto"/>
            </w:tcBorders>
            <w:vMerge w:val="continue"/>
            <w:shd w:val="clear" w:color="auto" w:fill="D9D9D9"/>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1220" w:type="dxa"/>
            <w:vAlign w:val="bottom"/>
            <w:tcBorders>
              <w:left w:val="single" w:sz="8" w:color="auto"/>
              <w:bottom w:val="single" w:sz="8" w:color="auto"/>
              <w:right w:val="single" w:sz="8" w:color="auto"/>
            </w:tcBorders>
            <w:vMerge w:val="continue"/>
            <w:shd w:val="clear" w:color="auto" w:fill="D9D9D9"/>
          </w:tcPr>
          <w:p>
            <w:pPr>
              <w:spacing w:after="0"/>
              <w:rPr>
                <w:sz w:val="8"/>
                <w:szCs w:val="8"/>
                <w:color w:val="auto"/>
              </w:rPr>
            </w:pPr>
          </w:p>
        </w:tc>
        <w:tc>
          <w:tcPr>
            <w:tcW w:w="1180" w:type="dxa"/>
            <w:vAlign w:val="bottom"/>
            <w:tcBorders>
              <w:bottom w:val="single" w:sz="8" w:color="auto"/>
              <w:right w:val="single" w:sz="8" w:color="auto"/>
            </w:tcBorders>
            <w:shd w:val="clear" w:color="auto" w:fill="D9D9D9"/>
          </w:tcPr>
          <w:p>
            <w:pPr>
              <w:spacing w:after="0"/>
              <w:rPr>
                <w:sz w:val="8"/>
                <w:szCs w:val="8"/>
                <w:color w:val="auto"/>
              </w:rPr>
            </w:pPr>
          </w:p>
        </w:tc>
        <w:tc>
          <w:tcPr>
            <w:tcW w:w="1200" w:type="dxa"/>
            <w:vAlign w:val="bottom"/>
            <w:tcBorders>
              <w:bottom w:val="single" w:sz="8" w:color="auto"/>
              <w:right w:val="single" w:sz="8" w:color="auto"/>
            </w:tcBorders>
            <w:shd w:val="clear" w:color="auto" w:fill="D9D9D9"/>
          </w:tcPr>
          <w:p>
            <w:pPr>
              <w:spacing w:after="0"/>
              <w:rPr>
                <w:sz w:val="8"/>
                <w:szCs w:val="8"/>
                <w:color w:val="auto"/>
              </w:rPr>
            </w:pPr>
          </w:p>
        </w:tc>
        <w:tc>
          <w:tcPr>
            <w:tcW w:w="1180" w:type="dxa"/>
            <w:vAlign w:val="bottom"/>
            <w:tcBorders>
              <w:bottom w:val="single" w:sz="8" w:color="auto"/>
              <w:right w:val="single" w:sz="8" w:color="auto"/>
            </w:tcBorders>
            <w:shd w:val="clear" w:color="auto" w:fill="D9D9D9"/>
          </w:tcPr>
          <w:p>
            <w:pPr>
              <w:spacing w:after="0"/>
              <w:rPr>
                <w:sz w:val="8"/>
                <w:szCs w:val="8"/>
                <w:color w:val="auto"/>
              </w:rPr>
            </w:pPr>
          </w:p>
        </w:tc>
        <w:tc>
          <w:tcPr>
            <w:tcW w:w="1200" w:type="dxa"/>
            <w:vAlign w:val="bottom"/>
            <w:tcBorders>
              <w:bottom w:val="single" w:sz="8" w:color="auto"/>
              <w:right w:val="single" w:sz="8" w:color="auto"/>
            </w:tcBorders>
            <w:shd w:val="clear" w:color="auto" w:fill="D9D9D9"/>
          </w:tcPr>
          <w:p>
            <w:pPr>
              <w:spacing w:after="0"/>
              <w:rPr>
                <w:sz w:val="8"/>
                <w:szCs w:val="8"/>
                <w:color w:val="auto"/>
              </w:rPr>
            </w:pPr>
          </w:p>
        </w:tc>
        <w:tc>
          <w:tcPr>
            <w:tcW w:w="1320" w:type="dxa"/>
            <w:vAlign w:val="bottom"/>
            <w:tcBorders>
              <w:bottom w:val="single" w:sz="8" w:color="auto"/>
              <w:right w:val="single" w:sz="8" w:color="auto"/>
            </w:tcBorders>
            <w:shd w:val="clear" w:color="auto" w:fill="D9D9D9"/>
          </w:tcPr>
          <w:p>
            <w:pPr>
              <w:spacing w:after="0"/>
              <w:rPr>
                <w:sz w:val="8"/>
                <w:szCs w:val="8"/>
                <w:color w:val="auto"/>
              </w:rPr>
            </w:pPr>
          </w:p>
        </w:tc>
        <w:tc>
          <w:tcPr>
            <w:tcW w:w="1340" w:type="dxa"/>
            <w:vAlign w:val="bottom"/>
            <w:tcBorders>
              <w:bottom w:val="single" w:sz="8" w:color="auto"/>
              <w:right w:val="single" w:sz="8" w:color="auto"/>
            </w:tcBorders>
            <w:shd w:val="clear" w:color="auto" w:fill="D9D9D9"/>
          </w:tcPr>
          <w:p>
            <w:pPr>
              <w:spacing w:after="0"/>
              <w:rPr>
                <w:sz w:val="8"/>
                <w:szCs w:val="8"/>
                <w:color w:val="auto"/>
              </w:rPr>
            </w:pPr>
          </w:p>
        </w:tc>
        <w:tc>
          <w:tcPr>
            <w:tcW w:w="1320" w:type="dxa"/>
            <w:vAlign w:val="bottom"/>
            <w:tcBorders>
              <w:bottom w:val="single" w:sz="8" w:color="auto"/>
              <w:right w:val="single" w:sz="8" w:color="auto"/>
            </w:tcBorders>
            <w:shd w:val="clear" w:color="auto" w:fill="D9D9D9"/>
          </w:tcPr>
          <w:p>
            <w:pPr>
              <w:spacing w:after="0"/>
              <w:rPr>
                <w:sz w:val="8"/>
                <w:szCs w:val="8"/>
                <w:color w:val="auto"/>
              </w:rPr>
            </w:pPr>
          </w:p>
        </w:tc>
        <w:tc>
          <w:tcPr>
            <w:tcW w:w="1460" w:type="dxa"/>
            <w:vAlign w:val="bottom"/>
            <w:tcBorders>
              <w:bottom w:val="single" w:sz="8" w:color="auto"/>
              <w:right w:val="single" w:sz="8" w:color="auto"/>
            </w:tcBorders>
            <w:shd w:val="clear" w:color="auto" w:fill="D9D9D9"/>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398780</wp:posOffset>
            </wp:positionV>
            <wp:extent cx="758825"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58825"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right="440" w:firstLine="8"/>
        <w:spacing w:after="0" w:line="262" w:lineRule="auto"/>
        <w:tabs>
          <w:tab w:leader="none" w:pos="108" w:val="left"/>
        </w:tabs>
        <w:numPr>
          <w:ilvl w:val="0"/>
          <w:numId w:val="2"/>
        </w:numPr>
        <w:rPr>
          <w:rFonts w:ascii="Arial" w:cs="Arial" w:eastAsia="Arial" w:hAnsi="Arial"/>
          <w:sz w:val="22"/>
          <w:szCs w:val="22"/>
          <w:color w:val="auto"/>
          <w:vertAlign w:val="superscript"/>
        </w:rPr>
      </w:pPr>
      <w:r>
        <w:rPr>
          <w:rFonts w:ascii="Arial" w:cs="Arial" w:eastAsia="Arial" w:hAnsi="Arial"/>
          <w:sz w:val="16"/>
          <w:szCs w:val="16"/>
          <w:color w:val="auto"/>
        </w:rPr>
        <w:t>All data in this letter regarding Comcast, SpinCo, Charter, and BHN are as of March 31, 2014. All data in this letter regarding TWC are as of April 17, 2014. Also, the methodologies the parties used for breaking out residential vs. commercial homes passed are unique to each company and may reflect different assumptions, subjective field assessments, and the like, but on the whole present a responsive snapshot for the Commission.</w:t>
      </w:r>
    </w:p>
    <w:p>
      <w:pPr>
        <w:spacing w:after="0" w:line="240" w:lineRule="exact"/>
        <w:rPr>
          <w:sz w:val="20"/>
          <w:szCs w:val="20"/>
          <w:color w:val="auto"/>
        </w:rPr>
      </w:pPr>
    </w:p>
    <w:p>
      <w:pPr>
        <w:ind w:right="20" w:firstLine="8"/>
        <w:spacing w:after="0" w:line="241" w:lineRule="auto"/>
        <w:tabs>
          <w:tab w:leader="none" w:pos="108" w:val="left"/>
        </w:tabs>
        <w:numPr>
          <w:ilvl w:val="0"/>
          <w:numId w:val="3"/>
        </w:numPr>
        <w:rPr>
          <w:rFonts w:ascii="Arial" w:cs="Arial" w:eastAsia="Arial" w:hAnsi="Arial"/>
          <w:sz w:val="25"/>
          <w:szCs w:val="25"/>
          <w:color w:val="auto"/>
          <w:vertAlign w:val="superscript"/>
        </w:rPr>
      </w:pPr>
      <w:r>
        <w:rPr>
          <w:rFonts w:ascii="Arial" w:cs="Arial" w:eastAsia="Arial" w:hAnsi="Arial"/>
          <w:sz w:val="18"/>
          <w:szCs w:val="18"/>
          <w:color w:val="auto"/>
        </w:rPr>
        <w:t>Comcast does not utilize a centralized or standardized methodology for determining residential or commercial “homes” passed. Rather, each market maintains its own database that contains each address in the market, and the market then assigns codes to each address designating it as a residence, apartment building, hotel, commercial property, etc. In addition, the number of “homes passed” in the above chart does not necessarily reflect all of the buildings (residential and commercial) in each of Comcast’s service areas; it reflects the number of buildings that are serviceable from Comcast’s existing plant. More specifically, the commercial “homes” passed figure only tracks commercial units that Comcast actually passes in its footprint, not the total number of commercial units in Comcast’s footprint (many of which Comcast does not pass today). There thus could be a discrepancy between the “homes passed” figure in the above chart and the total number of buildings in the service footprint, and that difference is likely to be far more significant on the commercial side than the residential side.</w:t>
      </w:r>
    </w:p>
    <w:p>
      <w:pPr>
        <w:spacing w:after="0" w:line="255" w:lineRule="exact"/>
        <w:rPr>
          <w:sz w:val="20"/>
          <w:szCs w:val="20"/>
          <w:color w:val="auto"/>
        </w:rPr>
      </w:pPr>
    </w:p>
    <w:p>
      <w:pPr>
        <w:ind w:right="480" w:firstLine="8"/>
        <w:spacing w:after="0" w:line="226" w:lineRule="auto"/>
        <w:tabs>
          <w:tab w:leader="none" w:pos="108" w:val="left"/>
        </w:tabs>
        <w:numPr>
          <w:ilvl w:val="0"/>
          <w:numId w:val="4"/>
        </w:numPr>
        <w:rPr>
          <w:rFonts w:ascii="Arial" w:cs="Arial" w:eastAsia="Arial" w:hAnsi="Arial"/>
          <w:sz w:val="25"/>
          <w:szCs w:val="25"/>
          <w:color w:val="auto"/>
          <w:vertAlign w:val="superscript"/>
        </w:rPr>
      </w:pPr>
      <w:r>
        <w:rPr>
          <w:rFonts w:ascii="Arial" w:cs="Arial" w:eastAsia="Arial" w:hAnsi="Arial"/>
          <w:sz w:val="18"/>
          <w:szCs w:val="18"/>
          <w:color w:val="auto"/>
        </w:rPr>
        <w:t>TWC’s residential homes passed figure estimates “dwellings,” so it could include some home businesses. TWC does not separately track “commercial passings.” Rather, it uses a variety of data, including Dun &amp; Bradstreet and USPS information, as well as its own historical billing data, to estimate the number of “serviceable businesses” in its footprint.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256540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5"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4"/>
          <w:szCs w:val="14"/>
          <w:b w:val="1"/>
          <w:bCs w:val="1"/>
          <w:color w:val="auto"/>
        </w:rPr>
        <w:t>REDACTED – FOR PUBLIC INSPECTION</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Ms. Marlene H. Dortch</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June 27, 2014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335915</wp:posOffset>
            </wp:positionV>
            <wp:extent cx="7272020" cy="2311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2020" cy="231140"/>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CHARTER</w:t>
      </w:r>
      <w:r>
        <w:rPr>
          <w:rFonts w:ascii="Arial" w:cs="Arial" w:eastAsia="Arial" w:hAnsi="Arial"/>
          <w:sz w:val="25"/>
          <w:szCs w:val="25"/>
          <w:b w:val="1"/>
          <w:bCs w:val="1"/>
          <w:color w:val="auto"/>
          <w:vertAlign w:val="superscript"/>
        </w:rPr>
        <w:t>5</w:t>
      </w:r>
    </w:p>
    <w:p>
      <w:pPr>
        <w:spacing w:after="0" w:line="20"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1180" w:type="dxa"/>
            <w:vAlign w:val="bottom"/>
            <w:tcBorders>
              <w:left w:val="single" w:sz="8" w:color="auto"/>
              <w:bottom w:val="single" w:sz="8" w:color="D9D9D9"/>
            </w:tcBorders>
            <w:shd w:val="clear" w:color="auto" w:fill="D9D9D9"/>
          </w:tcPr>
          <w:p>
            <w:pPr>
              <w:spacing w:after="0"/>
              <w:rPr>
                <w:sz w:val="21"/>
                <w:szCs w:val="21"/>
                <w:color w:val="auto"/>
              </w:rPr>
            </w:pPr>
          </w:p>
        </w:tc>
        <w:tc>
          <w:tcPr>
            <w:tcW w:w="580" w:type="dxa"/>
            <w:vAlign w:val="bottom"/>
            <w:tcBorders>
              <w:bottom w:val="single" w:sz="8" w:color="D9D9D9"/>
              <w:right w:val="single" w:sz="8" w:color="D9D9D9"/>
            </w:tcBorders>
            <w:shd w:val="clear" w:color="auto" w:fill="D9D9D9"/>
          </w:tcPr>
          <w:p>
            <w:pPr>
              <w:spacing w:after="0"/>
              <w:rPr>
                <w:sz w:val="21"/>
                <w:szCs w:val="21"/>
                <w:color w:val="auto"/>
              </w:rPr>
            </w:pPr>
          </w:p>
        </w:tc>
        <w:tc>
          <w:tcPr>
            <w:tcW w:w="620" w:type="dxa"/>
            <w:vAlign w:val="bottom"/>
            <w:tcBorders>
              <w:bottom w:val="single" w:sz="8" w:color="D9D9D9"/>
              <w:right w:val="single" w:sz="8" w:color="auto"/>
            </w:tcBorders>
            <w:shd w:val="clear" w:color="auto" w:fill="D9D9D9"/>
          </w:tcPr>
          <w:p>
            <w:pPr>
              <w:spacing w:after="0"/>
              <w:rPr>
                <w:sz w:val="21"/>
                <w:szCs w:val="21"/>
                <w:color w:val="auto"/>
              </w:rPr>
            </w:pPr>
          </w:p>
        </w:tc>
        <w:tc>
          <w:tcPr>
            <w:tcW w:w="2800" w:type="dxa"/>
            <w:vAlign w:val="bottom"/>
            <w:tcBorders>
              <w:bottom w:val="single" w:sz="8" w:color="auto"/>
            </w:tcBorders>
            <w:gridSpan w:val="2"/>
            <w:shd w:val="clear" w:color="auto" w:fill="D9D9D9"/>
          </w:tcPr>
          <w:p>
            <w:pPr>
              <w:ind w:left="1960"/>
              <w:spacing w:after="0"/>
              <w:rPr>
                <w:sz w:val="20"/>
                <w:szCs w:val="20"/>
                <w:color w:val="auto"/>
              </w:rPr>
            </w:pPr>
            <w:r>
              <w:rPr>
                <w:rFonts w:ascii="Arial" w:cs="Arial" w:eastAsia="Arial" w:hAnsi="Arial"/>
                <w:sz w:val="18"/>
                <w:szCs w:val="18"/>
                <w:b w:val="1"/>
                <w:bCs w:val="1"/>
                <w:color w:val="auto"/>
              </w:rPr>
              <w:t>Current</w:t>
            </w:r>
          </w:p>
        </w:tc>
        <w:tc>
          <w:tcPr>
            <w:tcW w:w="1780" w:type="dxa"/>
            <w:vAlign w:val="bottom"/>
            <w:tcBorders>
              <w:bottom w:val="single" w:sz="8" w:color="auto"/>
              <w:right w:val="single" w:sz="8" w:color="auto"/>
            </w:tcBorders>
            <w:shd w:val="clear" w:color="auto" w:fill="D9D9D9"/>
          </w:tcPr>
          <w:p>
            <w:pPr>
              <w:spacing w:after="0"/>
              <w:rPr>
                <w:sz w:val="21"/>
                <w:szCs w:val="21"/>
                <w:color w:val="auto"/>
              </w:rPr>
            </w:pPr>
          </w:p>
        </w:tc>
        <w:tc>
          <w:tcPr>
            <w:tcW w:w="180" w:type="dxa"/>
            <w:vAlign w:val="bottom"/>
            <w:tcBorders>
              <w:bottom w:val="single" w:sz="8" w:color="auto"/>
              <w:right w:val="single" w:sz="8" w:color="D9D9D9"/>
            </w:tcBorders>
            <w:shd w:val="clear" w:color="auto" w:fill="D9D9D9"/>
          </w:tcPr>
          <w:p>
            <w:pPr>
              <w:spacing w:after="0"/>
              <w:rPr>
                <w:sz w:val="21"/>
                <w:szCs w:val="21"/>
                <w:color w:val="auto"/>
              </w:rPr>
            </w:pPr>
          </w:p>
        </w:tc>
        <w:tc>
          <w:tcPr>
            <w:tcW w:w="4280" w:type="dxa"/>
            <w:vAlign w:val="bottom"/>
            <w:tcBorders>
              <w:bottom w:val="single" w:sz="8" w:color="auto"/>
              <w:right w:val="single" w:sz="8" w:color="auto"/>
            </w:tcBorders>
            <w:gridSpan w:val="3"/>
            <w:shd w:val="clear" w:color="auto" w:fill="D9D9D9"/>
          </w:tcPr>
          <w:p>
            <w:pPr>
              <w:ind w:left="900"/>
              <w:spacing w:after="0"/>
              <w:rPr>
                <w:sz w:val="20"/>
                <w:szCs w:val="20"/>
                <w:color w:val="auto"/>
              </w:rPr>
            </w:pPr>
            <w:r>
              <w:rPr>
                <w:rFonts w:ascii="Arial" w:cs="Arial" w:eastAsia="Arial" w:hAnsi="Arial"/>
                <w:sz w:val="18"/>
                <w:szCs w:val="18"/>
                <w:b w:val="1"/>
                <w:bCs w:val="1"/>
                <w:color w:val="auto"/>
              </w:rPr>
              <w:t>Post-Divestiture Transactions</w:t>
            </w:r>
          </w:p>
        </w:tc>
      </w:tr>
      <w:tr>
        <w:trPr>
          <w:trHeight w:val="269"/>
        </w:trPr>
        <w:tc>
          <w:tcPr>
            <w:tcW w:w="1180" w:type="dxa"/>
            <w:vAlign w:val="bottom"/>
            <w:tcBorders>
              <w:left w:val="single" w:sz="8" w:color="auto"/>
              <w:bottom w:val="single" w:sz="8" w:color="D9D9D9"/>
            </w:tcBorders>
            <w:shd w:val="clear" w:color="auto" w:fill="D9D9D9"/>
          </w:tcPr>
          <w:p>
            <w:pPr>
              <w:spacing w:after="0"/>
              <w:rPr>
                <w:sz w:val="22"/>
                <w:szCs w:val="22"/>
                <w:color w:val="auto"/>
              </w:rPr>
            </w:pPr>
          </w:p>
        </w:tc>
        <w:tc>
          <w:tcPr>
            <w:tcW w:w="580" w:type="dxa"/>
            <w:vAlign w:val="bottom"/>
            <w:tcBorders>
              <w:bottom w:val="single" w:sz="8" w:color="D9D9D9"/>
              <w:right w:val="single" w:sz="8" w:color="D9D9D9"/>
            </w:tcBorders>
            <w:shd w:val="clear" w:color="auto" w:fill="D9D9D9"/>
          </w:tcPr>
          <w:p>
            <w:pPr>
              <w:spacing w:after="0"/>
              <w:rPr>
                <w:sz w:val="22"/>
                <w:szCs w:val="22"/>
                <w:color w:val="auto"/>
              </w:rPr>
            </w:pPr>
          </w:p>
        </w:tc>
        <w:tc>
          <w:tcPr>
            <w:tcW w:w="620" w:type="dxa"/>
            <w:vAlign w:val="bottom"/>
            <w:tcBorders>
              <w:bottom w:val="single" w:sz="8" w:color="D9D9D9"/>
              <w:right w:val="single" w:sz="8" w:color="auto"/>
            </w:tcBorders>
            <w:shd w:val="clear" w:color="auto" w:fill="D9D9D9"/>
          </w:tcPr>
          <w:p>
            <w:pPr>
              <w:spacing w:after="0"/>
              <w:rPr>
                <w:sz w:val="22"/>
                <w:szCs w:val="22"/>
                <w:color w:val="auto"/>
              </w:rPr>
            </w:pPr>
          </w:p>
        </w:tc>
        <w:tc>
          <w:tcPr>
            <w:tcW w:w="2440" w:type="dxa"/>
            <w:vAlign w:val="bottom"/>
            <w:tcBorders>
              <w:bottom w:val="single" w:sz="8" w:color="D9D9D9"/>
              <w:right w:val="single" w:sz="8" w:color="auto"/>
            </w:tcBorders>
            <w:shd w:val="clear" w:color="auto" w:fill="D9D9D9"/>
          </w:tcPr>
          <w:p>
            <w:pPr>
              <w:jc w:val="center"/>
              <w:ind w:right="10"/>
              <w:spacing w:after="0"/>
              <w:rPr>
                <w:sz w:val="20"/>
                <w:szCs w:val="20"/>
                <w:color w:val="auto"/>
              </w:rPr>
            </w:pPr>
            <w:r>
              <w:rPr>
                <w:rFonts w:ascii="Arial" w:cs="Arial" w:eastAsia="Arial" w:hAnsi="Arial"/>
                <w:sz w:val="18"/>
                <w:szCs w:val="18"/>
                <w:i w:val="1"/>
                <w:iCs w:val="1"/>
                <w:color w:val="auto"/>
                <w:w w:val="92"/>
              </w:rPr>
              <w:t>Residential</w:t>
            </w:r>
          </w:p>
        </w:tc>
        <w:tc>
          <w:tcPr>
            <w:tcW w:w="360" w:type="dxa"/>
            <w:vAlign w:val="bottom"/>
            <w:tcBorders>
              <w:bottom w:val="single" w:sz="8" w:color="D9D9D9"/>
            </w:tcBorders>
            <w:shd w:val="clear" w:color="auto" w:fill="D9D9D9"/>
          </w:tcPr>
          <w:p>
            <w:pPr>
              <w:spacing w:after="0"/>
              <w:rPr>
                <w:sz w:val="22"/>
                <w:szCs w:val="22"/>
                <w:color w:val="auto"/>
              </w:rPr>
            </w:pPr>
          </w:p>
        </w:tc>
        <w:tc>
          <w:tcPr>
            <w:tcW w:w="1780" w:type="dxa"/>
            <w:vAlign w:val="bottom"/>
            <w:tcBorders>
              <w:bottom w:val="single" w:sz="8" w:color="D9D9D9"/>
              <w:right w:val="single" w:sz="8" w:color="auto"/>
            </w:tcBorders>
            <w:shd w:val="clear" w:color="auto" w:fill="D9D9D9"/>
          </w:tcPr>
          <w:p>
            <w:pPr>
              <w:jc w:val="center"/>
              <w:ind w:right="370"/>
              <w:spacing w:after="0"/>
              <w:rPr>
                <w:sz w:val="20"/>
                <w:szCs w:val="20"/>
                <w:color w:val="auto"/>
              </w:rPr>
            </w:pPr>
            <w:r>
              <w:rPr>
                <w:rFonts w:ascii="Arial" w:cs="Arial" w:eastAsia="Arial" w:hAnsi="Arial"/>
                <w:sz w:val="18"/>
                <w:szCs w:val="18"/>
                <w:i w:val="1"/>
                <w:iCs w:val="1"/>
                <w:color w:val="auto"/>
                <w:w w:val="91"/>
              </w:rPr>
              <w:t>Commercial</w:t>
            </w:r>
          </w:p>
        </w:tc>
        <w:tc>
          <w:tcPr>
            <w:tcW w:w="180" w:type="dxa"/>
            <w:vAlign w:val="bottom"/>
            <w:tcBorders>
              <w:bottom w:val="single" w:sz="8" w:color="D9D9D9"/>
              <w:right w:val="single" w:sz="8" w:color="D9D9D9"/>
            </w:tcBorders>
            <w:shd w:val="clear" w:color="auto" w:fill="D9D9D9"/>
          </w:tcPr>
          <w:p>
            <w:pPr>
              <w:spacing w:after="0"/>
              <w:rPr>
                <w:sz w:val="22"/>
                <w:szCs w:val="22"/>
                <w:color w:val="auto"/>
              </w:rPr>
            </w:pPr>
          </w:p>
        </w:tc>
        <w:tc>
          <w:tcPr>
            <w:tcW w:w="2060" w:type="dxa"/>
            <w:vAlign w:val="bottom"/>
            <w:tcBorders>
              <w:bottom w:val="single" w:sz="8" w:color="D9D9D9"/>
              <w:right w:val="single" w:sz="8" w:color="auto"/>
            </w:tcBorders>
            <w:shd w:val="clear" w:color="auto" w:fill="D9D9D9"/>
          </w:tcPr>
          <w:p>
            <w:pPr>
              <w:jc w:val="center"/>
              <w:ind w:right="110"/>
              <w:spacing w:after="0"/>
              <w:rPr>
                <w:sz w:val="20"/>
                <w:szCs w:val="20"/>
                <w:color w:val="auto"/>
              </w:rPr>
            </w:pPr>
            <w:r>
              <w:rPr>
                <w:rFonts w:ascii="Arial" w:cs="Arial" w:eastAsia="Arial" w:hAnsi="Arial"/>
                <w:sz w:val="18"/>
                <w:szCs w:val="18"/>
                <w:i w:val="1"/>
                <w:iCs w:val="1"/>
                <w:color w:val="auto"/>
                <w:w w:val="92"/>
              </w:rPr>
              <w:t>Residential</w:t>
            </w:r>
          </w:p>
        </w:tc>
        <w:tc>
          <w:tcPr>
            <w:tcW w:w="500" w:type="dxa"/>
            <w:vAlign w:val="bottom"/>
            <w:tcBorders>
              <w:bottom w:val="single" w:sz="8" w:color="D9D9D9"/>
              <w:right w:val="single" w:sz="8" w:color="D9D9D9"/>
            </w:tcBorders>
            <w:shd w:val="clear" w:color="auto" w:fill="D9D9D9"/>
          </w:tcPr>
          <w:p>
            <w:pPr>
              <w:spacing w:after="0"/>
              <w:rPr>
                <w:sz w:val="22"/>
                <w:szCs w:val="22"/>
                <w:color w:val="auto"/>
              </w:rPr>
            </w:pPr>
          </w:p>
        </w:tc>
        <w:tc>
          <w:tcPr>
            <w:tcW w:w="1720" w:type="dxa"/>
            <w:vAlign w:val="bottom"/>
            <w:tcBorders>
              <w:bottom w:val="single" w:sz="8" w:color="D9D9D9"/>
              <w:right w:val="single" w:sz="8" w:color="auto"/>
            </w:tcBorders>
            <w:shd w:val="clear" w:color="auto" w:fill="D9D9D9"/>
          </w:tcPr>
          <w:p>
            <w:pPr>
              <w:jc w:val="center"/>
              <w:ind w:right="470"/>
              <w:spacing w:after="0"/>
              <w:rPr>
                <w:sz w:val="20"/>
                <w:szCs w:val="20"/>
                <w:color w:val="auto"/>
              </w:rPr>
            </w:pPr>
            <w:r>
              <w:rPr>
                <w:rFonts w:ascii="Arial" w:cs="Arial" w:eastAsia="Arial" w:hAnsi="Arial"/>
                <w:sz w:val="18"/>
                <w:szCs w:val="18"/>
                <w:i w:val="1"/>
                <w:iCs w:val="1"/>
                <w:color w:val="auto"/>
                <w:w w:val="91"/>
              </w:rPr>
              <w:t>Commercial</w:t>
            </w:r>
          </w:p>
        </w:tc>
      </w:tr>
      <w:tr>
        <w:trPr>
          <w:trHeight w:val="237"/>
        </w:trPr>
        <w:tc>
          <w:tcPr>
            <w:tcW w:w="2380" w:type="dxa"/>
            <w:vAlign w:val="bottom"/>
            <w:tcBorders>
              <w:top w:val="single" w:sz="8" w:color="auto"/>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9"/>
              </w:rPr>
              <w:t>Video Customers</w:t>
            </w:r>
          </w:p>
        </w:tc>
        <w:tc>
          <w:tcPr>
            <w:tcW w:w="2440" w:type="dxa"/>
            <w:vAlign w:val="bottom"/>
            <w:tcBorders>
              <w:top w:val="single" w:sz="8" w:color="auto"/>
              <w:right w:val="single" w:sz="8" w:color="auto"/>
            </w:tcBorders>
          </w:tcPr>
          <w:p>
            <w:pPr>
              <w:jc w:val="center"/>
              <w:ind w:right="10"/>
              <w:spacing w:after="0"/>
              <w:rPr>
                <w:sz w:val="20"/>
                <w:szCs w:val="20"/>
                <w:color w:val="auto"/>
              </w:rPr>
            </w:pPr>
            <w:r>
              <w:rPr>
                <w:rFonts w:ascii="Arial" w:cs="Arial" w:eastAsia="Arial" w:hAnsi="Arial"/>
                <w:sz w:val="18"/>
                <w:szCs w:val="18"/>
                <w:color w:val="auto"/>
                <w:w w:val="96"/>
              </w:rPr>
              <w:t>4.2 million</w:t>
            </w:r>
          </w:p>
        </w:tc>
        <w:tc>
          <w:tcPr>
            <w:tcW w:w="360" w:type="dxa"/>
            <w:vAlign w:val="bottom"/>
            <w:tcBorders>
              <w:top w:val="single" w:sz="8" w:color="auto"/>
            </w:tcBorders>
          </w:tcPr>
          <w:p>
            <w:pPr>
              <w:spacing w:after="0"/>
              <w:rPr>
                <w:sz w:val="20"/>
                <w:szCs w:val="20"/>
                <w:color w:val="auto"/>
              </w:rPr>
            </w:pPr>
          </w:p>
        </w:tc>
        <w:tc>
          <w:tcPr>
            <w:tcW w:w="1780" w:type="dxa"/>
            <w:vAlign w:val="bottom"/>
            <w:tcBorders>
              <w:top w:val="single" w:sz="8" w:color="auto"/>
              <w:right w:val="single" w:sz="8" w:color="auto"/>
            </w:tcBorders>
          </w:tcPr>
          <w:p>
            <w:pPr>
              <w:jc w:val="center"/>
              <w:ind w:right="370"/>
              <w:spacing w:after="0"/>
              <w:rPr>
                <w:sz w:val="20"/>
                <w:szCs w:val="20"/>
                <w:color w:val="auto"/>
              </w:rPr>
            </w:pPr>
            <w:r>
              <w:rPr>
                <w:rFonts w:ascii="Arial" w:cs="Arial" w:eastAsia="Arial" w:hAnsi="Arial"/>
                <w:sz w:val="18"/>
                <w:szCs w:val="18"/>
                <w:color w:val="auto"/>
                <w:w w:val="98"/>
              </w:rPr>
              <w:t>0.2 million</w:t>
            </w:r>
          </w:p>
        </w:tc>
        <w:tc>
          <w:tcPr>
            <w:tcW w:w="180" w:type="dxa"/>
            <w:vAlign w:val="bottom"/>
            <w:tcBorders>
              <w:top w:val="single" w:sz="8" w:color="auto"/>
            </w:tcBorders>
          </w:tcPr>
          <w:p>
            <w:pPr>
              <w:spacing w:after="0"/>
              <w:rPr>
                <w:sz w:val="20"/>
                <w:szCs w:val="20"/>
                <w:color w:val="auto"/>
              </w:rPr>
            </w:pPr>
          </w:p>
        </w:tc>
        <w:tc>
          <w:tcPr>
            <w:tcW w:w="2060" w:type="dxa"/>
            <w:vAlign w:val="bottom"/>
            <w:tcBorders>
              <w:top w:val="single" w:sz="8" w:color="auto"/>
              <w:right w:val="single" w:sz="8" w:color="auto"/>
            </w:tcBorders>
          </w:tcPr>
          <w:p>
            <w:pPr>
              <w:jc w:val="center"/>
              <w:ind w:right="110"/>
              <w:spacing w:after="0"/>
              <w:rPr>
                <w:sz w:val="20"/>
                <w:szCs w:val="20"/>
                <w:color w:val="auto"/>
              </w:rPr>
            </w:pPr>
            <w:r>
              <w:rPr>
                <w:rFonts w:ascii="Arial" w:cs="Arial" w:eastAsia="Arial" w:hAnsi="Arial"/>
                <w:sz w:val="18"/>
                <w:szCs w:val="18"/>
                <w:color w:val="auto"/>
                <w:w w:val="96"/>
              </w:rPr>
              <w:t>5.6 million</w:t>
            </w:r>
          </w:p>
        </w:tc>
        <w:tc>
          <w:tcPr>
            <w:tcW w:w="500" w:type="dxa"/>
            <w:vAlign w:val="bottom"/>
            <w:tcBorders>
              <w:top w:val="single" w:sz="8" w:color="auto"/>
            </w:tcBorders>
          </w:tcPr>
          <w:p>
            <w:pPr>
              <w:spacing w:after="0"/>
              <w:rPr>
                <w:sz w:val="20"/>
                <w:szCs w:val="20"/>
                <w:color w:val="auto"/>
              </w:rPr>
            </w:pPr>
          </w:p>
        </w:tc>
        <w:tc>
          <w:tcPr>
            <w:tcW w:w="1720" w:type="dxa"/>
            <w:vAlign w:val="bottom"/>
            <w:tcBorders>
              <w:top w:val="single" w:sz="8" w:color="auto"/>
              <w:right w:val="single" w:sz="8" w:color="auto"/>
            </w:tcBorders>
          </w:tcPr>
          <w:p>
            <w:pPr>
              <w:jc w:val="center"/>
              <w:ind w:right="470"/>
              <w:spacing w:after="0"/>
              <w:rPr>
                <w:sz w:val="20"/>
                <w:szCs w:val="20"/>
                <w:color w:val="auto"/>
              </w:rPr>
            </w:pPr>
            <w:r>
              <w:rPr>
                <w:rFonts w:ascii="Arial" w:cs="Arial" w:eastAsia="Arial" w:hAnsi="Arial"/>
                <w:sz w:val="18"/>
                <w:szCs w:val="18"/>
                <w:color w:val="auto"/>
                <w:w w:val="98"/>
              </w:rPr>
              <w:t>0.1 million</w:t>
            </w:r>
          </w:p>
        </w:tc>
      </w:tr>
      <w:tr>
        <w:trPr>
          <w:trHeight w:val="27"/>
        </w:trPr>
        <w:tc>
          <w:tcPr>
            <w:tcW w:w="1180" w:type="dxa"/>
            <w:vAlign w:val="bottom"/>
            <w:tcBorders>
              <w:left w:val="single" w:sz="8" w:color="auto"/>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c>
          <w:tcPr>
            <w:tcW w:w="2440" w:type="dxa"/>
            <w:vAlign w:val="bottom"/>
            <w:tcBorders>
              <w:bottom w:val="single" w:sz="8" w:color="auto"/>
              <w:right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r>
      <w:tr>
        <w:trPr>
          <w:trHeight w:val="269"/>
        </w:trPr>
        <w:tc>
          <w:tcPr>
            <w:tcW w:w="2380" w:type="dxa"/>
            <w:vAlign w:val="bottom"/>
            <w:tcBorders>
              <w:left w:val="single" w:sz="8" w:color="auto"/>
              <w:bottom w:val="single" w:sz="8" w:color="D9D9D9"/>
              <w:right w:val="single" w:sz="8" w:color="auto"/>
            </w:tcBorders>
            <w:gridSpan w:val="3"/>
            <w:shd w:val="clear" w:color="auto" w:fill="D9D9D9"/>
          </w:tcPr>
          <w:p>
            <w:pPr>
              <w:jc w:val="center"/>
              <w:spacing w:after="0"/>
              <w:rPr>
                <w:sz w:val="20"/>
                <w:szCs w:val="20"/>
                <w:color w:val="auto"/>
              </w:rPr>
            </w:pPr>
            <w:r>
              <w:rPr>
                <w:rFonts w:ascii="Arial" w:cs="Arial" w:eastAsia="Arial" w:hAnsi="Arial"/>
                <w:sz w:val="18"/>
                <w:szCs w:val="18"/>
                <w:b w:val="1"/>
                <w:bCs w:val="1"/>
                <w:color w:val="auto"/>
                <w:w w:val="90"/>
              </w:rPr>
              <w:t>Fixed Broadband Customers</w:t>
            </w:r>
          </w:p>
        </w:tc>
        <w:tc>
          <w:tcPr>
            <w:tcW w:w="2440" w:type="dxa"/>
            <w:vAlign w:val="bottom"/>
            <w:tcBorders>
              <w:bottom w:val="single" w:sz="8" w:color="D9D9D9"/>
              <w:right w:val="single" w:sz="8" w:color="auto"/>
            </w:tcBorders>
            <w:shd w:val="clear" w:color="auto" w:fill="D9D9D9"/>
          </w:tcPr>
          <w:p>
            <w:pPr>
              <w:jc w:val="center"/>
              <w:ind w:right="10"/>
              <w:spacing w:after="0"/>
              <w:rPr>
                <w:sz w:val="20"/>
                <w:szCs w:val="20"/>
                <w:color w:val="auto"/>
              </w:rPr>
            </w:pPr>
            <w:r>
              <w:rPr>
                <w:rFonts w:ascii="Arial" w:cs="Arial" w:eastAsia="Arial" w:hAnsi="Arial"/>
                <w:sz w:val="18"/>
                <w:szCs w:val="18"/>
                <w:color w:val="auto"/>
                <w:w w:val="96"/>
              </w:rPr>
              <w:t>4.5 million</w:t>
            </w:r>
          </w:p>
        </w:tc>
        <w:tc>
          <w:tcPr>
            <w:tcW w:w="360" w:type="dxa"/>
            <w:vAlign w:val="bottom"/>
            <w:tcBorders>
              <w:bottom w:val="single" w:sz="8" w:color="D9D9D9"/>
            </w:tcBorders>
            <w:shd w:val="clear" w:color="auto" w:fill="D9D9D9"/>
          </w:tcPr>
          <w:p>
            <w:pPr>
              <w:spacing w:after="0"/>
              <w:rPr>
                <w:sz w:val="22"/>
                <w:szCs w:val="22"/>
                <w:color w:val="auto"/>
              </w:rPr>
            </w:pPr>
          </w:p>
        </w:tc>
        <w:tc>
          <w:tcPr>
            <w:tcW w:w="1780" w:type="dxa"/>
            <w:vAlign w:val="bottom"/>
            <w:tcBorders>
              <w:bottom w:val="single" w:sz="8" w:color="D9D9D9"/>
              <w:right w:val="single" w:sz="8" w:color="auto"/>
            </w:tcBorders>
            <w:shd w:val="clear" w:color="auto" w:fill="D9D9D9"/>
          </w:tcPr>
          <w:p>
            <w:pPr>
              <w:jc w:val="center"/>
              <w:ind w:right="370"/>
              <w:spacing w:after="0"/>
              <w:rPr>
                <w:sz w:val="20"/>
                <w:szCs w:val="20"/>
                <w:color w:val="auto"/>
              </w:rPr>
            </w:pPr>
            <w:r>
              <w:rPr>
                <w:rFonts w:ascii="Arial" w:cs="Arial" w:eastAsia="Arial" w:hAnsi="Arial"/>
                <w:sz w:val="18"/>
                <w:szCs w:val="18"/>
                <w:color w:val="auto"/>
                <w:w w:val="98"/>
              </w:rPr>
              <w:t>0.3 million</w:t>
            </w:r>
          </w:p>
        </w:tc>
        <w:tc>
          <w:tcPr>
            <w:tcW w:w="180" w:type="dxa"/>
            <w:vAlign w:val="bottom"/>
            <w:tcBorders>
              <w:bottom w:val="single" w:sz="8" w:color="D9D9D9"/>
              <w:right w:val="single" w:sz="8" w:color="D9D9D9"/>
            </w:tcBorders>
            <w:shd w:val="clear" w:color="auto" w:fill="D9D9D9"/>
          </w:tcPr>
          <w:p>
            <w:pPr>
              <w:spacing w:after="0"/>
              <w:rPr>
                <w:sz w:val="22"/>
                <w:szCs w:val="22"/>
                <w:color w:val="auto"/>
              </w:rPr>
            </w:pPr>
          </w:p>
        </w:tc>
        <w:tc>
          <w:tcPr>
            <w:tcW w:w="2060" w:type="dxa"/>
            <w:vAlign w:val="bottom"/>
            <w:tcBorders>
              <w:bottom w:val="single" w:sz="8" w:color="D9D9D9"/>
              <w:right w:val="single" w:sz="8" w:color="auto"/>
            </w:tcBorders>
            <w:shd w:val="clear" w:color="auto" w:fill="D9D9D9"/>
          </w:tcPr>
          <w:p>
            <w:pPr>
              <w:jc w:val="center"/>
              <w:ind w:right="110"/>
              <w:spacing w:after="0"/>
              <w:rPr>
                <w:sz w:val="20"/>
                <w:szCs w:val="20"/>
                <w:color w:val="auto"/>
              </w:rPr>
            </w:pPr>
            <w:r>
              <w:rPr>
                <w:rFonts w:ascii="Arial" w:cs="Arial" w:eastAsia="Arial" w:hAnsi="Arial"/>
                <w:sz w:val="18"/>
                <w:szCs w:val="18"/>
                <w:color w:val="auto"/>
                <w:w w:val="96"/>
              </w:rPr>
              <w:t>5.5 million</w:t>
            </w:r>
          </w:p>
        </w:tc>
        <w:tc>
          <w:tcPr>
            <w:tcW w:w="500" w:type="dxa"/>
            <w:vAlign w:val="bottom"/>
            <w:tcBorders>
              <w:bottom w:val="single" w:sz="8" w:color="D9D9D9"/>
              <w:right w:val="single" w:sz="8" w:color="D9D9D9"/>
            </w:tcBorders>
            <w:shd w:val="clear" w:color="auto" w:fill="D9D9D9"/>
          </w:tcPr>
          <w:p>
            <w:pPr>
              <w:spacing w:after="0"/>
              <w:rPr>
                <w:sz w:val="22"/>
                <w:szCs w:val="22"/>
                <w:color w:val="auto"/>
              </w:rPr>
            </w:pPr>
          </w:p>
        </w:tc>
        <w:tc>
          <w:tcPr>
            <w:tcW w:w="1720" w:type="dxa"/>
            <w:vAlign w:val="bottom"/>
            <w:tcBorders>
              <w:bottom w:val="single" w:sz="8" w:color="D9D9D9"/>
              <w:right w:val="single" w:sz="8" w:color="auto"/>
            </w:tcBorders>
            <w:shd w:val="clear" w:color="auto" w:fill="D9D9D9"/>
          </w:tcPr>
          <w:p>
            <w:pPr>
              <w:jc w:val="center"/>
              <w:ind w:right="470"/>
              <w:spacing w:after="0"/>
              <w:rPr>
                <w:sz w:val="20"/>
                <w:szCs w:val="20"/>
                <w:color w:val="auto"/>
              </w:rPr>
            </w:pPr>
            <w:r>
              <w:rPr>
                <w:rFonts w:ascii="Arial" w:cs="Arial" w:eastAsia="Arial" w:hAnsi="Arial"/>
                <w:sz w:val="18"/>
                <w:szCs w:val="18"/>
                <w:color w:val="auto"/>
                <w:w w:val="98"/>
              </w:rPr>
              <w:t>0.3 million</w:t>
            </w:r>
          </w:p>
        </w:tc>
      </w:tr>
      <w:tr>
        <w:trPr>
          <w:trHeight w:val="237"/>
        </w:trPr>
        <w:tc>
          <w:tcPr>
            <w:tcW w:w="2380" w:type="dxa"/>
            <w:vAlign w:val="bottom"/>
            <w:tcBorders>
              <w:top w:val="single" w:sz="8" w:color="auto"/>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7"/>
              </w:rPr>
              <w:t>Voice Customers</w:t>
            </w:r>
          </w:p>
        </w:tc>
        <w:tc>
          <w:tcPr>
            <w:tcW w:w="2440" w:type="dxa"/>
            <w:vAlign w:val="bottom"/>
            <w:tcBorders>
              <w:top w:val="single" w:sz="8" w:color="auto"/>
              <w:right w:val="single" w:sz="8" w:color="auto"/>
            </w:tcBorders>
          </w:tcPr>
          <w:p>
            <w:pPr>
              <w:jc w:val="center"/>
              <w:ind w:right="10"/>
              <w:spacing w:after="0"/>
              <w:rPr>
                <w:sz w:val="20"/>
                <w:szCs w:val="20"/>
                <w:color w:val="auto"/>
              </w:rPr>
            </w:pPr>
            <w:r>
              <w:rPr>
                <w:rFonts w:ascii="Arial" w:cs="Arial" w:eastAsia="Arial" w:hAnsi="Arial"/>
                <w:sz w:val="18"/>
                <w:szCs w:val="18"/>
                <w:color w:val="auto"/>
                <w:w w:val="96"/>
              </w:rPr>
              <w:t>2.3 million</w:t>
            </w:r>
          </w:p>
        </w:tc>
        <w:tc>
          <w:tcPr>
            <w:tcW w:w="360" w:type="dxa"/>
            <w:vAlign w:val="bottom"/>
            <w:tcBorders>
              <w:top w:val="single" w:sz="8" w:color="auto"/>
            </w:tcBorders>
          </w:tcPr>
          <w:p>
            <w:pPr>
              <w:spacing w:after="0"/>
              <w:rPr>
                <w:sz w:val="20"/>
                <w:szCs w:val="20"/>
                <w:color w:val="auto"/>
              </w:rPr>
            </w:pPr>
          </w:p>
        </w:tc>
        <w:tc>
          <w:tcPr>
            <w:tcW w:w="1780" w:type="dxa"/>
            <w:vAlign w:val="bottom"/>
            <w:tcBorders>
              <w:top w:val="single" w:sz="8" w:color="auto"/>
              <w:right w:val="single" w:sz="8" w:color="auto"/>
            </w:tcBorders>
          </w:tcPr>
          <w:p>
            <w:pPr>
              <w:jc w:val="center"/>
              <w:ind w:right="370"/>
              <w:spacing w:after="0"/>
              <w:rPr>
                <w:sz w:val="20"/>
                <w:szCs w:val="20"/>
                <w:color w:val="auto"/>
              </w:rPr>
            </w:pPr>
            <w:r>
              <w:rPr>
                <w:rFonts w:ascii="Arial" w:cs="Arial" w:eastAsia="Arial" w:hAnsi="Arial"/>
                <w:sz w:val="18"/>
                <w:szCs w:val="18"/>
                <w:color w:val="auto"/>
                <w:w w:val="98"/>
              </w:rPr>
              <w:t>0.2 million</w:t>
            </w:r>
          </w:p>
        </w:tc>
        <w:tc>
          <w:tcPr>
            <w:tcW w:w="180" w:type="dxa"/>
            <w:vAlign w:val="bottom"/>
            <w:tcBorders>
              <w:top w:val="single" w:sz="8" w:color="auto"/>
            </w:tcBorders>
          </w:tcPr>
          <w:p>
            <w:pPr>
              <w:spacing w:after="0"/>
              <w:rPr>
                <w:sz w:val="20"/>
                <w:szCs w:val="20"/>
                <w:color w:val="auto"/>
              </w:rPr>
            </w:pPr>
          </w:p>
        </w:tc>
        <w:tc>
          <w:tcPr>
            <w:tcW w:w="2060" w:type="dxa"/>
            <w:vAlign w:val="bottom"/>
            <w:tcBorders>
              <w:top w:val="single" w:sz="8" w:color="auto"/>
              <w:right w:val="single" w:sz="8" w:color="auto"/>
            </w:tcBorders>
          </w:tcPr>
          <w:p>
            <w:pPr>
              <w:jc w:val="center"/>
              <w:ind w:right="110"/>
              <w:spacing w:after="0"/>
              <w:rPr>
                <w:sz w:val="20"/>
                <w:szCs w:val="20"/>
                <w:color w:val="auto"/>
              </w:rPr>
            </w:pPr>
            <w:r>
              <w:rPr>
                <w:rFonts w:ascii="Arial" w:cs="Arial" w:eastAsia="Arial" w:hAnsi="Arial"/>
                <w:sz w:val="18"/>
                <w:szCs w:val="18"/>
                <w:color w:val="auto"/>
                <w:w w:val="96"/>
              </w:rPr>
              <w:t>2.8 million</w:t>
            </w:r>
          </w:p>
        </w:tc>
        <w:tc>
          <w:tcPr>
            <w:tcW w:w="500" w:type="dxa"/>
            <w:vAlign w:val="bottom"/>
            <w:tcBorders>
              <w:top w:val="single" w:sz="8" w:color="auto"/>
            </w:tcBorders>
          </w:tcPr>
          <w:p>
            <w:pPr>
              <w:spacing w:after="0"/>
              <w:rPr>
                <w:sz w:val="20"/>
                <w:szCs w:val="20"/>
                <w:color w:val="auto"/>
              </w:rPr>
            </w:pPr>
          </w:p>
        </w:tc>
        <w:tc>
          <w:tcPr>
            <w:tcW w:w="1720" w:type="dxa"/>
            <w:vAlign w:val="bottom"/>
            <w:tcBorders>
              <w:top w:val="single" w:sz="8" w:color="auto"/>
              <w:right w:val="single" w:sz="8" w:color="auto"/>
            </w:tcBorders>
          </w:tcPr>
          <w:p>
            <w:pPr>
              <w:jc w:val="center"/>
              <w:ind w:right="470"/>
              <w:spacing w:after="0"/>
              <w:rPr>
                <w:sz w:val="20"/>
                <w:szCs w:val="20"/>
                <w:color w:val="auto"/>
              </w:rPr>
            </w:pPr>
            <w:r>
              <w:rPr>
                <w:rFonts w:ascii="Arial" w:cs="Arial" w:eastAsia="Arial" w:hAnsi="Arial"/>
                <w:sz w:val="18"/>
                <w:szCs w:val="18"/>
                <w:color w:val="auto"/>
                <w:w w:val="98"/>
              </w:rPr>
              <w:t>0.2 million</w:t>
            </w:r>
          </w:p>
        </w:tc>
      </w:tr>
      <w:tr>
        <w:trPr>
          <w:trHeight w:val="27"/>
        </w:trPr>
        <w:tc>
          <w:tcPr>
            <w:tcW w:w="1180" w:type="dxa"/>
            <w:vAlign w:val="bottom"/>
            <w:tcBorders>
              <w:left w:val="single" w:sz="8" w:color="auto"/>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c>
          <w:tcPr>
            <w:tcW w:w="2440" w:type="dxa"/>
            <w:vAlign w:val="bottom"/>
            <w:tcBorders>
              <w:bottom w:val="single" w:sz="8" w:color="auto"/>
              <w:right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r>
      <w:tr>
        <w:trPr>
          <w:trHeight w:val="289"/>
        </w:trPr>
        <w:tc>
          <w:tcPr>
            <w:tcW w:w="2380" w:type="dxa"/>
            <w:vAlign w:val="bottom"/>
            <w:tcBorders>
              <w:left w:val="single" w:sz="8" w:color="auto"/>
              <w:bottom w:val="single" w:sz="8" w:color="D9D9D9"/>
              <w:right w:val="single" w:sz="8" w:color="auto"/>
            </w:tcBorders>
            <w:gridSpan w:val="3"/>
            <w:shd w:val="clear" w:color="auto" w:fill="D9D9D9"/>
          </w:tcPr>
          <w:p>
            <w:pPr>
              <w:jc w:val="center"/>
              <w:spacing w:after="0"/>
              <w:rPr>
                <w:sz w:val="20"/>
                <w:szCs w:val="20"/>
                <w:color w:val="auto"/>
              </w:rPr>
            </w:pPr>
            <w:r>
              <w:rPr>
                <w:rFonts w:ascii="Arial" w:cs="Arial" w:eastAsia="Arial" w:hAnsi="Arial"/>
                <w:sz w:val="18"/>
                <w:szCs w:val="18"/>
                <w:b w:val="1"/>
                <w:bCs w:val="1"/>
                <w:color w:val="auto"/>
                <w:w w:val="85"/>
              </w:rPr>
              <w:t>Homes Passed</w:t>
            </w:r>
          </w:p>
        </w:tc>
        <w:tc>
          <w:tcPr>
            <w:tcW w:w="2440" w:type="dxa"/>
            <w:vAlign w:val="bottom"/>
            <w:tcBorders>
              <w:bottom w:val="single" w:sz="8" w:color="D9D9D9"/>
              <w:right w:val="single" w:sz="8" w:color="auto"/>
            </w:tcBorders>
            <w:shd w:val="clear" w:color="auto" w:fill="D9D9D9"/>
          </w:tcPr>
          <w:p>
            <w:pPr>
              <w:jc w:val="center"/>
              <w:ind w:right="10"/>
              <w:spacing w:after="0"/>
              <w:rPr>
                <w:sz w:val="20"/>
                <w:szCs w:val="20"/>
                <w:color w:val="auto"/>
              </w:rPr>
            </w:pPr>
            <w:r>
              <w:rPr>
                <w:rFonts w:ascii="Arial" w:cs="Arial" w:eastAsia="Arial" w:hAnsi="Arial"/>
                <w:sz w:val="18"/>
                <w:szCs w:val="18"/>
                <w:b w:val="1"/>
                <w:bCs w:val="1"/>
                <w:color w:val="auto"/>
              </w:rPr>
              <w:t xml:space="preserve">[[ ]] </w:t>
            </w:r>
            <w:r>
              <w:rPr>
                <w:rFonts w:ascii="Arial" w:cs="Arial" w:eastAsia="Arial" w:hAnsi="Arial"/>
                <w:sz w:val="18"/>
                <w:szCs w:val="18"/>
                <w:color w:val="auto"/>
              </w:rPr>
              <w:t>million</w:t>
            </w:r>
          </w:p>
        </w:tc>
        <w:tc>
          <w:tcPr>
            <w:tcW w:w="360" w:type="dxa"/>
            <w:vAlign w:val="bottom"/>
            <w:tcBorders>
              <w:bottom w:val="single" w:sz="8" w:color="D9D9D9"/>
            </w:tcBorders>
            <w:shd w:val="clear" w:color="auto" w:fill="D9D9D9"/>
          </w:tcPr>
          <w:p>
            <w:pPr>
              <w:spacing w:after="0"/>
              <w:rPr>
                <w:sz w:val="24"/>
                <w:szCs w:val="24"/>
                <w:color w:val="auto"/>
              </w:rPr>
            </w:pPr>
          </w:p>
        </w:tc>
        <w:tc>
          <w:tcPr>
            <w:tcW w:w="1780" w:type="dxa"/>
            <w:vAlign w:val="bottom"/>
            <w:tcBorders>
              <w:bottom w:val="single" w:sz="8" w:color="D9D9D9"/>
              <w:right w:val="single" w:sz="8" w:color="auto"/>
            </w:tcBorders>
            <w:shd w:val="clear" w:color="auto" w:fill="D9D9D9"/>
          </w:tcPr>
          <w:p>
            <w:pPr>
              <w:jc w:val="center"/>
              <w:ind w:right="37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w:t>
            </w:r>
            <w:r>
              <w:rPr>
                <w:rFonts w:ascii="Arial" w:cs="Arial" w:eastAsia="Arial" w:hAnsi="Arial"/>
                <w:sz w:val="18"/>
                <w:szCs w:val="18"/>
                <w:color w:val="auto"/>
              </w:rPr>
              <w:t xml:space="preserve"> million</w:t>
            </w:r>
          </w:p>
        </w:tc>
        <w:tc>
          <w:tcPr>
            <w:tcW w:w="180" w:type="dxa"/>
            <w:vAlign w:val="bottom"/>
            <w:tcBorders>
              <w:bottom w:val="single" w:sz="8" w:color="D9D9D9"/>
              <w:right w:val="single" w:sz="8" w:color="D9D9D9"/>
            </w:tcBorders>
            <w:shd w:val="clear" w:color="auto" w:fill="D9D9D9"/>
          </w:tcPr>
          <w:p>
            <w:pPr>
              <w:spacing w:after="0"/>
              <w:rPr>
                <w:sz w:val="24"/>
                <w:szCs w:val="24"/>
                <w:color w:val="auto"/>
              </w:rPr>
            </w:pPr>
          </w:p>
        </w:tc>
        <w:tc>
          <w:tcPr>
            <w:tcW w:w="2060" w:type="dxa"/>
            <w:vAlign w:val="bottom"/>
            <w:tcBorders>
              <w:bottom w:val="single" w:sz="8" w:color="D9D9D9"/>
              <w:right w:val="single" w:sz="8" w:color="auto"/>
            </w:tcBorders>
            <w:shd w:val="clear" w:color="auto" w:fill="D9D9D9"/>
          </w:tcPr>
          <w:p>
            <w:pPr>
              <w:jc w:val="center"/>
              <w:ind w:right="110"/>
              <w:spacing w:after="0"/>
              <w:rPr>
                <w:sz w:val="20"/>
                <w:szCs w:val="20"/>
                <w:color w:val="auto"/>
              </w:rPr>
            </w:pPr>
            <w:r>
              <w:rPr>
                <w:rFonts w:ascii="Arial" w:cs="Arial" w:eastAsia="Arial" w:hAnsi="Arial"/>
                <w:sz w:val="18"/>
                <w:szCs w:val="18"/>
                <w:b w:val="1"/>
                <w:bCs w:val="1"/>
                <w:color w:val="auto"/>
              </w:rPr>
              <w:t xml:space="preserve">[[ ]] </w:t>
            </w:r>
            <w:r>
              <w:rPr>
                <w:rFonts w:ascii="Arial" w:cs="Arial" w:eastAsia="Arial" w:hAnsi="Arial"/>
                <w:sz w:val="18"/>
                <w:szCs w:val="18"/>
                <w:color w:val="auto"/>
              </w:rPr>
              <w:t>million</w:t>
            </w:r>
          </w:p>
        </w:tc>
        <w:tc>
          <w:tcPr>
            <w:tcW w:w="500" w:type="dxa"/>
            <w:vAlign w:val="bottom"/>
            <w:tcBorders>
              <w:bottom w:val="single" w:sz="8" w:color="D9D9D9"/>
              <w:right w:val="single" w:sz="8" w:color="D9D9D9"/>
            </w:tcBorders>
            <w:shd w:val="clear" w:color="auto" w:fill="D9D9D9"/>
          </w:tcPr>
          <w:p>
            <w:pPr>
              <w:spacing w:after="0"/>
              <w:rPr>
                <w:sz w:val="24"/>
                <w:szCs w:val="24"/>
                <w:color w:val="auto"/>
              </w:rPr>
            </w:pPr>
          </w:p>
        </w:tc>
        <w:tc>
          <w:tcPr>
            <w:tcW w:w="1720" w:type="dxa"/>
            <w:vAlign w:val="bottom"/>
            <w:tcBorders>
              <w:bottom w:val="single" w:sz="8" w:color="D9D9D9"/>
              <w:right w:val="single" w:sz="8" w:color="auto"/>
            </w:tcBorders>
            <w:shd w:val="clear" w:color="auto" w:fill="D9D9D9"/>
          </w:tcPr>
          <w:p>
            <w:pPr>
              <w:jc w:val="center"/>
              <w:ind w:right="450"/>
              <w:spacing w:after="0"/>
              <w:rPr>
                <w:sz w:val="20"/>
                <w:szCs w:val="20"/>
                <w:color w:val="auto"/>
              </w:rPr>
            </w:pPr>
            <w:r>
              <w:rPr>
                <w:rFonts w:ascii="Arial" w:cs="Arial" w:eastAsia="Arial" w:hAnsi="Arial"/>
                <w:sz w:val="18"/>
                <w:szCs w:val="18"/>
                <w:b w:val="1"/>
                <w:bCs w:val="1"/>
                <w:color w:val="auto"/>
              </w:rPr>
              <w:t xml:space="preserve">[[ ]] </w:t>
            </w:r>
            <w:r>
              <w:rPr>
                <w:rFonts w:ascii="Arial" w:cs="Arial" w:eastAsia="Arial" w:hAnsi="Arial"/>
                <w:sz w:val="18"/>
                <w:szCs w:val="18"/>
                <w:color w:val="auto"/>
              </w:rPr>
              <w:t>million</w:t>
            </w:r>
          </w:p>
        </w:tc>
      </w:tr>
      <w:tr>
        <w:trPr>
          <w:trHeight w:val="824"/>
        </w:trPr>
        <w:tc>
          <w:tcPr>
            <w:tcW w:w="118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244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780" w:type="dxa"/>
            <w:vAlign w:val="bottom"/>
            <w:tcBorders>
              <w:top w:val="single" w:sz="8" w:color="auto"/>
            </w:tcBorders>
          </w:tcPr>
          <w:p>
            <w:pPr>
              <w:ind w:left="200"/>
              <w:spacing w:after="0"/>
              <w:rPr>
                <w:sz w:val="20"/>
                <w:szCs w:val="20"/>
                <w:color w:val="auto"/>
              </w:rPr>
            </w:pPr>
            <w:r>
              <w:rPr>
                <w:rFonts w:ascii="Arial" w:cs="Arial" w:eastAsia="Arial" w:hAnsi="Arial"/>
                <w:sz w:val="18"/>
                <w:szCs w:val="18"/>
                <w:b w:val="1"/>
                <w:bCs w:val="1"/>
                <w:color w:val="auto"/>
              </w:rPr>
              <w:t>SPINCO</w:t>
            </w:r>
          </w:p>
        </w:tc>
        <w:tc>
          <w:tcPr>
            <w:tcW w:w="180" w:type="dxa"/>
            <w:vAlign w:val="bottom"/>
            <w:tcBorders>
              <w:top w:val="single" w:sz="8" w:color="auto"/>
            </w:tcBorders>
          </w:tcPr>
          <w:p>
            <w:pPr>
              <w:spacing w:after="0"/>
              <w:rPr>
                <w:sz w:val="24"/>
                <w:szCs w:val="24"/>
                <w:color w:val="auto"/>
              </w:rPr>
            </w:pPr>
          </w:p>
        </w:tc>
        <w:tc>
          <w:tcPr>
            <w:tcW w:w="206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720" w:type="dxa"/>
            <w:vAlign w:val="bottom"/>
            <w:tcBorders>
              <w:top w:val="single" w:sz="8" w:color="auto"/>
            </w:tcBorders>
          </w:tcPr>
          <w:p>
            <w:pPr>
              <w:spacing w:after="0"/>
              <w:rPr>
                <w:sz w:val="24"/>
                <w:szCs w:val="24"/>
                <w:color w:val="auto"/>
              </w:rPr>
            </w:pPr>
          </w:p>
        </w:tc>
      </w:tr>
      <w:tr>
        <w:trPr>
          <w:trHeight w:val="41"/>
        </w:trPr>
        <w:tc>
          <w:tcPr>
            <w:tcW w:w="1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960" w:type="dxa"/>
            <w:vAlign w:val="bottom"/>
            <w:gridSpan w:val="2"/>
          </w:tcPr>
          <w:p>
            <w:pPr>
              <w:spacing w:after="0"/>
              <w:rPr>
                <w:sz w:val="3"/>
                <w:szCs w:val="3"/>
                <w:color w:val="auto"/>
              </w:rPr>
            </w:pPr>
          </w:p>
        </w:tc>
        <w:tc>
          <w:tcPr>
            <w:tcW w:w="20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720" w:type="dxa"/>
            <w:vAlign w:val="bottom"/>
          </w:tcPr>
          <w:p>
            <w:pPr>
              <w:spacing w:after="0"/>
              <w:rPr>
                <w:sz w:val="3"/>
                <w:szCs w:val="3"/>
                <w:color w:val="auto"/>
              </w:rPr>
            </w:pPr>
          </w:p>
        </w:tc>
      </w:tr>
      <w:tr>
        <w:trPr>
          <w:trHeight w:val="275"/>
        </w:trPr>
        <w:tc>
          <w:tcPr>
            <w:tcW w:w="1180" w:type="dxa"/>
            <w:vAlign w:val="bottom"/>
          </w:tcPr>
          <w:p>
            <w:pPr>
              <w:spacing w:after="0"/>
              <w:rPr>
                <w:sz w:val="23"/>
                <w:szCs w:val="23"/>
                <w:color w:val="auto"/>
              </w:rPr>
            </w:pPr>
          </w:p>
        </w:tc>
        <w:tc>
          <w:tcPr>
            <w:tcW w:w="580" w:type="dxa"/>
            <w:vAlign w:val="bottom"/>
            <w:tcBorders>
              <w:right w:val="single" w:sz="8" w:color="auto"/>
            </w:tcBorders>
          </w:tcPr>
          <w:p>
            <w:pPr>
              <w:spacing w:after="0"/>
              <w:rPr>
                <w:sz w:val="23"/>
                <w:szCs w:val="23"/>
                <w:color w:val="auto"/>
              </w:rPr>
            </w:pPr>
          </w:p>
        </w:tc>
        <w:tc>
          <w:tcPr>
            <w:tcW w:w="620" w:type="dxa"/>
            <w:vAlign w:val="bottom"/>
            <w:tcBorders>
              <w:bottom w:val="single" w:sz="8" w:color="D9D9D9"/>
              <w:right w:val="single" w:sz="8" w:color="D9D9D9"/>
            </w:tcBorders>
            <w:shd w:val="clear" w:color="auto" w:fill="D9D9D9"/>
          </w:tcPr>
          <w:p>
            <w:pPr>
              <w:spacing w:after="0"/>
              <w:rPr>
                <w:sz w:val="23"/>
                <w:szCs w:val="23"/>
                <w:color w:val="auto"/>
              </w:rPr>
            </w:pPr>
          </w:p>
        </w:tc>
        <w:tc>
          <w:tcPr>
            <w:tcW w:w="2440" w:type="dxa"/>
            <w:vAlign w:val="bottom"/>
            <w:tcBorders>
              <w:bottom w:val="single" w:sz="8" w:color="D9D9D9"/>
              <w:right w:val="single" w:sz="8" w:color="auto"/>
            </w:tcBorders>
            <w:shd w:val="clear" w:color="auto" w:fill="D9D9D9"/>
          </w:tcPr>
          <w:p>
            <w:pPr>
              <w:spacing w:after="0"/>
              <w:rPr>
                <w:sz w:val="23"/>
                <w:szCs w:val="23"/>
                <w:color w:val="auto"/>
              </w:rPr>
            </w:pPr>
          </w:p>
        </w:tc>
        <w:tc>
          <w:tcPr>
            <w:tcW w:w="360" w:type="dxa"/>
            <w:vAlign w:val="bottom"/>
            <w:tcBorders>
              <w:bottom w:val="single" w:sz="8" w:color="D9D9D9"/>
            </w:tcBorders>
            <w:shd w:val="clear" w:color="auto" w:fill="D9D9D9"/>
          </w:tcPr>
          <w:p>
            <w:pPr>
              <w:spacing w:after="0"/>
              <w:rPr>
                <w:sz w:val="23"/>
                <w:szCs w:val="23"/>
                <w:color w:val="auto"/>
              </w:rPr>
            </w:pPr>
          </w:p>
        </w:tc>
        <w:tc>
          <w:tcPr>
            <w:tcW w:w="4020" w:type="dxa"/>
            <w:vAlign w:val="bottom"/>
            <w:tcBorders>
              <w:bottom w:val="single" w:sz="8" w:color="D9D9D9"/>
              <w:right w:val="single" w:sz="8" w:color="D9D9D9"/>
            </w:tcBorders>
            <w:gridSpan w:val="3"/>
            <w:shd w:val="clear" w:color="auto" w:fill="D9D9D9"/>
          </w:tcPr>
          <w:p>
            <w:pPr>
              <w:ind w:left="920"/>
              <w:spacing w:after="0"/>
              <w:rPr>
                <w:sz w:val="20"/>
                <w:szCs w:val="20"/>
                <w:color w:val="auto"/>
              </w:rPr>
            </w:pPr>
            <w:r>
              <w:rPr>
                <w:rFonts w:ascii="Arial" w:cs="Arial" w:eastAsia="Arial" w:hAnsi="Arial"/>
                <w:sz w:val="18"/>
                <w:szCs w:val="18"/>
                <w:b w:val="1"/>
                <w:bCs w:val="1"/>
                <w:color w:val="auto"/>
              </w:rPr>
              <w:t>Post-Divestiture Transactions</w:t>
            </w:r>
          </w:p>
        </w:tc>
        <w:tc>
          <w:tcPr>
            <w:tcW w:w="500" w:type="dxa"/>
            <w:vAlign w:val="bottom"/>
            <w:tcBorders>
              <w:bottom w:val="single" w:sz="8" w:color="D9D9D9"/>
              <w:right w:val="single" w:sz="8" w:color="auto"/>
            </w:tcBorders>
            <w:shd w:val="clear" w:color="auto" w:fill="D9D9D9"/>
          </w:tcPr>
          <w:p>
            <w:pPr>
              <w:spacing w:after="0"/>
              <w:rPr>
                <w:sz w:val="23"/>
                <w:szCs w:val="23"/>
                <w:color w:val="auto"/>
              </w:rPr>
            </w:pPr>
          </w:p>
        </w:tc>
        <w:tc>
          <w:tcPr>
            <w:tcW w:w="1720" w:type="dxa"/>
            <w:vAlign w:val="bottom"/>
          </w:tcPr>
          <w:p>
            <w:pPr>
              <w:spacing w:after="0"/>
              <w:rPr>
                <w:sz w:val="23"/>
                <w:szCs w:val="23"/>
                <w:color w:val="auto"/>
              </w:rPr>
            </w:pPr>
          </w:p>
        </w:tc>
      </w:tr>
      <w:tr>
        <w:trPr>
          <w:trHeight w:val="269"/>
        </w:trPr>
        <w:tc>
          <w:tcPr>
            <w:tcW w:w="1180" w:type="dxa"/>
            <w:vAlign w:val="bottom"/>
          </w:tcPr>
          <w:p>
            <w:pPr>
              <w:spacing w:after="0"/>
              <w:rPr>
                <w:sz w:val="22"/>
                <w:szCs w:val="22"/>
                <w:color w:val="auto"/>
              </w:rPr>
            </w:pPr>
          </w:p>
        </w:tc>
        <w:tc>
          <w:tcPr>
            <w:tcW w:w="580" w:type="dxa"/>
            <w:vAlign w:val="bottom"/>
            <w:tcBorders>
              <w:right w:val="single" w:sz="8" w:color="auto"/>
            </w:tcBorders>
          </w:tcPr>
          <w:p>
            <w:pPr>
              <w:spacing w:after="0"/>
              <w:rPr>
                <w:sz w:val="22"/>
                <w:szCs w:val="22"/>
                <w:color w:val="auto"/>
              </w:rPr>
            </w:pPr>
          </w:p>
        </w:tc>
        <w:tc>
          <w:tcPr>
            <w:tcW w:w="620" w:type="dxa"/>
            <w:vAlign w:val="bottom"/>
            <w:tcBorders>
              <w:top w:val="single" w:sz="8" w:color="auto"/>
              <w:bottom w:val="single" w:sz="8" w:color="D9D9D9"/>
              <w:right w:val="single" w:sz="8" w:color="D9D9D9"/>
            </w:tcBorders>
            <w:shd w:val="clear" w:color="auto" w:fill="D9D9D9"/>
          </w:tcPr>
          <w:p>
            <w:pPr>
              <w:spacing w:after="0"/>
              <w:rPr>
                <w:sz w:val="22"/>
                <w:szCs w:val="22"/>
                <w:color w:val="auto"/>
              </w:rPr>
            </w:pPr>
          </w:p>
        </w:tc>
        <w:tc>
          <w:tcPr>
            <w:tcW w:w="2440" w:type="dxa"/>
            <w:vAlign w:val="bottom"/>
            <w:tcBorders>
              <w:top w:val="single" w:sz="8" w:color="auto"/>
              <w:bottom w:val="single" w:sz="8" w:color="D9D9D9"/>
              <w:right w:val="single" w:sz="8" w:color="auto"/>
            </w:tcBorders>
            <w:shd w:val="clear" w:color="auto" w:fill="D9D9D9"/>
          </w:tcPr>
          <w:p>
            <w:pPr>
              <w:spacing w:after="0"/>
              <w:rPr>
                <w:sz w:val="22"/>
                <w:szCs w:val="22"/>
                <w:color w:val="auto"/>
              </w:rPr>
            </w:pPr>
          </w:p>
        </w:tc>
        <w:tc>
          <w:tcPr>
            <w:tcW w:w="360" w:type="dxa"/>
            <w:vAlign w:val="bottom"/>
            <w:tcBorders>
              <w:top w:val="single" w:sz="8" w:color="auto"/>
              <w:bottom w:val="single" w:sz="8" w:color="D9D9D9"/>
            </w:tcBorders>
            <w:shd w:val="clear" w:color="auto" w:fill="D9D9D9"/>
          </w:tcPr>
          <w:p>
            <w:pPr>
              <w:spacing w:after="0"/>
              <w:rPr>
                <w:sz w:val="22"/>
                <w:szCs w:val="22"/>
                <w:color w:val="auto"/>
              </w:rPr>
            </w:pPr>
          </w:p>
        </w:tc>
        <w:tc>
          <w:tcPr>
            <w:tcW w:w="1780" w:type="dxa"/>
            <w:vAlign w:val="bottom"/>
            <w:tcBorders>
              <w:top w:val="single" w:sz="8" w:color="auto"/>
              <w:bottom w:val="single" w:sz="8" w:color="D9D9D9"/>
              <w:right w:val="single" w:sz="8" w:color="D9D9D9"/>
            </w:tcBorders>
            <w:shd w:val="clear" w:color="auto" w:fill="D9D9D9"/>
          </w:tcPr>
          <w:p>
            <w:pPr>
              <w:jc w:val="center"/>
              <w:ind w:right="110"/>
              <w:spacing w:after="0"/>
              <w:rPr>
                <w:sz w:val="20"/>
                <w:szCs w:val="20"/>
                <w:color w:val="auto"/>
              </w:rPr>
            </w:pPr>
            <w:r>
              <w:rPr>
                <w:rFonts w:ascii="Arial" w:cs="Arial" w:eastAsia="Arial" w:hAnsi="Arial"/>
                <w:sz w:val="18"/>
                <w:szCs w:val="18"/>
                <w:i w:val="1"/>
                <w:iCs w:val="1"/>
                <w:color w:val="auto"/>
                <w:w w:val="92"/>
              </w:rPr>
              <w:t>Residential</w:t>
            </w:r>
          </w:p>
        </w:tc>
        <w:tc>
          <w:tcPr>
            <w:tcW w:w="180" w:type="dxa"/>
            <w:vAlign w:val="bottom"/>
            <w:tcBorders>
              <w:top w:val="single" w:sz="8" w:color="auto"/>
              <w:bottom w:val="single" w:sz="8" w:color="D9D9D9"/>
              <w:right w:val="single" w:sz="8" w:color="auto"/>
            </w:tcBorders>
            <w:shd w:val="clear" w:color="auto" w:fill="D9D9D9"/>
          </w:tcPr>
          <w:p>
            <w:pPr>
              <w:spacing w:after="0"/>
              <w:rPr>
                <w:sz w:val="22"/>
                <w:szCs w:val="22"/>
                <w:color w:val="auto"/>
              </w:rPr>
            </w:pPr>
          </w:p>
        </w:tc>
        <w:tc>
          <w:tcPr>
            <w:tcW w:w="2060" w:type="dxa"/>
            <w:vAlign w:val="bottom"/>
            <w:tcBorders>
              <w:top w:val="single" w:sz="8" w:color="auto"/>
              <w:bottom w:val="single" w:sz="8" w:color="D9D9D9"/>
              <w:right w:val="single" w:sz="8" w:color="D9D9D9"/>
            </w:tcBorders>
            <w:shd w:val="clear" w:color="auto" w:fill="D9D9D9"/>
          </w:tcPr>
          <w:p>
            <w:pPr>
              <w:jc w:val="center"/>
              <w:ind w:left="370"/>
              <w:spacing w:after="0"/>
              <w:rPr>
                <w:sz w:val="20"/>
                <w:szCs w:val="20"/>
                <w:color w:val="auto"/>
              </w:rPr>
            </w:pPr>
            <w:r>
              <w:rPr>
                <w:rFonts w:ascii="Arial" w:cs="Arial" w:eastAsia="Arial" w:hAnsi="Arial"/>
                <w:sz w:val="18"/>
                <w:szCs w:val="18"/>
                <w:i w:val="1"/>
                <w:iCs w:val="1"/>
                <w:color w:val="auto"/>
                <w:w w:val="91"/>
              </w:rPr>
              <w:t>Commercial</w:t>
            </w:r>
          </w:p>
        </w:tc>
        <w:tc>
          <w:tcPr>
            <w:tcW w:w="500" w:type="dxa"/>
            <w:vAlign w:val="bottom"/>
            <w:tcBorders>
              <w:top w:val="single" w:sz="8" w:color="auto"/>
              <w:bottom w:val="single" w:sz="8" w:color="D9D9D9"/>
              <w:right w:val="single" w:sz="8" w:color="auto"/>
            </w:tcBorders>
            <w:shd w:val="clear" w:color="auto" w:fill="D9D9D9"/>
          </w:tcPr>
          <w:p>
            <w:pPr>
              <w:spacing w:after="0"/>
              <w:rPr>
                <w:sz w:val="22"/>
                <w:szCs w:val="22"/>
                <w:color w:val="auto"/>
              </w:rPr>
            </w:pPr>
          </w:p>
        </w:tc>
        <w:tc>
          <w:tcPr>
            <w:tcW w:w="1720" w:type="dxa"/>
            <w:vAlign w:val="bottom"/>
          </w:tcPr>
          <w:p>
            <w:pPr>
              <w:spacing w:after="0"/>
              <w:rPr>
                <w:sz w:val="22"/>
                <w:szCs w:val="22"/>
                <w:color w:val="auto"/>
              </w:rPr>
            </w:pPr>
          </w:p>
        </w:tc>
      </w:tr>
      <w:tr>
        <w:trPr>
          <w:trHeight w:val="237"/>
        </w:trPr>
        <w:tc>
          <w:tcPr>
            <w:tcW w:w="1180" w:type="dxa"/>
            <w:vAlign w:val="bottom"/>
          </w:tcPr>
          <w:p>
            <w:pPr>
              <w:spacing w:after="0"/>
              <w:rPr>
                <w:sz w:val="20"/>
                <w:szCs w:val="20"/>
                <w:color w:val="auto"/>
              </w:rPr>
            </w:pPr>
          </w:p>
        </w:tc>
        <w:tc>
          <w:tcPr>
            <w:tcW w:w="580" w:type="dxa"/>
            <w:vAlign w:val="bottom"/>
            <w:tcBorders>
              <w:right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2440" w:type="dxa"/>
            <w:vAlign w:val="bottom"/>
            <w:tcBorders>
              <w:top w:val="single" w:sz="8" w:color="auto"/>
              <w:right w:val="single" w:sz="8" w:color="auto"/>
            </w:tcBorders>
          </w:tcPr>
          <w:p>
            <w:pPr>
              <w:jc w:val="center"/>
              <w:ind w:right="550"/>
              <w:spacing w:after="0"/>
              <w:rPr>
                <w:sz w:val="20"/>
                <w:szCs w:val="20"/>
                <w:color w:val="auto"/>
              </w:rPr>
            </w:pPr>
            <w:r>
              <w:rPr>
                <w:rFonts w:ascii="Arial" w:cs="Arial" w:eastAsia="Arial" w:hAnsi="Arial"/>
                <w:sz w:val="18"/>
                <w:szCs w:val="18"/>
                <w:b w:val="1"/>
                <w:bCs w:val="1"/>
                <w:color w:val="auto"/>
                <w:w w:val="89"/>
              </w:rPr>
              <w:t>Video Customers</w:t>
            </w:r>
          </w:p>
        </w:tc>
        <w:tc>
          <w:tcPr>
            <w:tcW w:w="36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tcPr>
          <w:p>
            <w:pPr>
              <w:jc w:val="center"/>
              <w:ind w:right="110"/>
              <w:spacing w:after="0"/>
              <w:rPr>
                <w:sz w:val="20"/>
                <w:szCs w:val="20"/>
                <w:color w:val="auto"/>
              </w:rPr>
            </w:pPr>
            <w:r>
              <w:rPr>
                <w:rFonts w:ascii="Arial" w:cs="Arial" w:eastAsia="Arial" w:hAnsi="Arial"/>
                <w:sz w:val="18"/>
                <w:szCs w:val="18"/>
                <w:color w:val="auto"/>
                <w:w w:val="96"/>
              </w:rPr>
              <w:t>2.4 million</w:t>
            </w:r>
          </w:p>
        </w:tc>
        <w:tc>
          <w:tcPr>
            <w:tcW w:w="180" w:type="dxa"/>
            <w:vAlign w:val="bottom"/>
            <w:tcBorders>
              <w:top w:val="single" w:sz="8" w:color="auto"/>
              <w:right w:val="single" w:sz="8" w:color="auto"/>
            </w:tcBorders>
          </w:tcPr>
          <w:p>
            <w:pPr>
              <w:spacing w:after="0"/>
              <w:rPr>
                <w:sz w:val="20"/>
                <w:szCs w:val="20"/>
                <w:color w:val="auto"/>
              </w:rPr>
            </w:pPr>
          </w:p>
        </w:tc>
        <w:tc>
          <w:tcPr>
            <w:tcW w:w="2060" w:type="dxa"/>
            <w:vAlign w:val="bottom"/>
            <w:tcBorders>
              <w:top w:val="single" w:sz="8" w:color="auto"/>
            </w:tcBorders>
          </w:tcPr>
          <w:p>
            <w:pPr>
              <w:jc w:val="center"/>
              <w:ind w:left="350"/>
              <w:spacing w:after="0"/>
              <w:rPr>
                <w:sz w:val="20"/>
                <w:szCs w:val="20"/>
                <w:color w:val="auto"/>
              </w:rPr>
            </w:pPr>
            <w:r>
              <w:rPr>
                <w:rFonts w:ascii="Arial" w:cs="Arial" w:eastAsia="Arial" w:hAnsi="Arial"/>
                <w:sz w:val="18"/>
                <w:szCs w:val="18"/>
                <w:color w:val="auto"/>
                <w:w w:val="96"/>
              </w:rPr>
              <w:t>0.1 million</w:t>
            </w:r>
          </w:p>
        </w:tc>
        <w:tc>
          <w:tcPr>
            <w:tcW w:w="500" w:type="dxa"/>
            <w:vAlign w:val="bottom"/>
            <w:tcBorders>
              <w:top w:val="single" w:sz="8" w:color="auto"/>
              <w:right w:val="single" w:sz="8" w:color="auto"/>
            </w:tcBorders>
          </w:tcPr>
          <w:p>
            <w:pPr>
              <w:spacing w:after="0"/>
              <w:rPr>
                <w:sz w:val="20"/>
                <w:szCs w:val="20"/>
                <w:color w:val="auto"/>
              </w:rPr>
            </w:pPr>
          </w:p>
        </w:tc>
        <w:tc>
          <w:tcPr>
            <w:tcW w:w="1720" w:type="dxa"/>
            <w:vAlign w:val="bottom"/>
          </w:tcPr>
          <w:p>
            <w:pPr>
              <w:spacing w:after="0"/>
              <w:rPr>
                <w:sz w:val="20"/>
                <w:szCs w:val="20"/>
                <w:color w:val="auto"/>
              </w:rPr>
            </w:pPr>
          </w:p>
        </w:tc>
      </w:tr>
      <w:tr>
        <w:trPr>
          <w:trHeight w:val="27"/>
        </w:trPr>
        <w:tc>
          <w:tcPr>
            <w:tcW w:w="1180" w:type="dxa"/>
            <w:vAlign w:val="bottom"/>
          </w:tcPr>
          <w:p>
            <w:pPr>
              <w:spacing w:after="0"/>
              <w:rPr>
                <w:sz w:val="2"/>
                <w:szCs w:val="2"/>
                <w:color w:val="auto"/>
              </w:rPr>
            </w:pPr>
          </w:p>
        </w:tc>
        <w:tc>
          <w:tcPr>
            <w:tcW w:w="580" w:type="dxa"/>
            <w:vAlign w:val="bottom"/>
            <w:tcBorders>
              <w:right w:val="single" w:sz="8" w:color="auto"/>
            </w:tcBorders>
          </w:tcPr>
          <w:p>
            <w:pPr>
              <w:spacing w:after="0"/>
              <w:rPr>
                <w:sz w:val="2"/>
                <w:szCs w:val="2"/>
                <w:color w:val="auto"/>
              </w:rPr>
            </w:pPr>
          </w:p>
        </w:tc>
        <w:tc>
          <w:tcPr>
            <w:tcW w:w="3060" w:type="dxa"/>
            <w:vAlign w:val="bottom"/>
            <w:tcBorders>
              <w:bottom w:val="single" w:sz="8" w:color="auto"/>
              <w:right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1720" w:type="dxa"/>
            <w:vAlign w:val="bottom"/>
          </w:tcPr>
          <w:p>
            <w:pPr>
              <w:spacing w:after="0"/>
              <w:rPr>
                <w:sz w:val="2"/>
                <w:szCs w:val="2"/>
                <w:color w:val="auto"/>
              </w:rPr>
            </w:pPr>
          </w:p>
        </w:tc>
      </w:tr>
      <w:tr>
        <w:trPr>
          <w:trHeight w:val="269"/>
        </w:trPr>
        <w:tc>
          <w:tcPr>
            <w:tcW w:w="1180" w:type="dxa"/>
            <w:vAlign w:val="bottom"/>
          </w:tcPr>
          <w:p>
            <w:pPr>
              <w:spacing w:after="0"/>
              <w:rPr>
                <w:sz w:val="22"/>
                <w:szCs w:val="22"/>
                <w:color w:val="auto"/>
              </w:rPr>
            </w:pPr>
          </w:p>
        </w:tc>
        <w:tc>
          <w:tcPr>
            <w:tcW w:w="580" w:type="dxa"/>
            <w:vAlign w:val="bottom"/>
            <w:tcBorders>
              <w:right w:val="single" w:sz="8" w:color="auto"/>
            </w:tcBorders>
          </w:tcPr>
          <w:p>
            <w:pPr>
              <w:spacing w:after="0"/>
              <w:rPr>
                <w:sz w:val="22"/>
                <w:szCs w:val="22"/>
                <w:color w:val="auto"/>
              </w:rPr>
            </w:pPr>
          </w:p>
        </w:tc>
        <w:tc>
          <w:tcPr>
            <w:tcW w:w="3060" w:type="dxa"/>
            <w:vAlign w:val="bottom"/>
            <w:tcBorders>
              <w:bottom w:val="single" w:sz="8" w:color="D9D9D9"/>
              <w:right w:val="single" w:sz="8" w:color="auto"/>
            </w:tcBorders>
            <w:gridSpan w:val="2"/>
            <w:shd w:val="clear" w:color="auto" w:fill="D9D9D9"/>
          </w:tcPr>
          <w:p>
            <w:pPr>
              <w:jc w:val="center"/>
              <w:spacing w:after="0"/>
              <w:rPr>
                <w:sz w:val="20"/>
                <w:szCs w:val="20"/>
                <w:color w:val="auto"/>
              </w:rPr>
            </w:pPr>
            <w:r>
              <w:rPr>
                <w:rFonts w:ascii="Arial" w:cs="Arial" w:eastAsia="Arial" w:hAnsi="Arial"/>
                <w:sz w:val="18"/>
                <w:szCs w:val="18"/>
                <w:b w:val="1"/>
                <w:bCs w:val="1"/>
                <w:color w:val="auto"/>
                <w:w w:val="90"/>
              </w:rPr>
              <w:t>Fixed Broadband Customers</w:t>
            </w:r>
          </w:p>
        </w:tc>
        <w:tc>
          <w:tcPr>
            <w:tcW w:w="360" w:type="dxa"/>
            <w:vAlign w:val="bottom"/>
            <w:tcBorders>
              <w:bottom w:val="single" w:sz="8" w:color="D9D9D9"/>
            </w:tcBorders>
            <w:shd w:val="clear" w:color="auto" w:fill="D9D9D9"/>
          </w:tcPr>
          <w:p>
            <w:pPr>
              <w:spacing w:after="0"/>
              <w:rPr>
                <w:sz w:val="22"/>
                <w:szCs w:val="22"/>
                <w:color w:val="auto"/>
              </w:rPr>
            </w:pPr>
          </w:p>
        </w:tc>
        <w:tc>
          <w:tcPr>
            <w:tcW w:w="1780" w:type="dxa"/>
            <w:vAlign w:val="bottom"/>
            <w:tcBorders>
              <w:bottom w:val="single" w:sz="8" w:color="D9D9D9"/>
              <w:right w:val="single" w:sz="8" w:color="D9D9D9"/>
            </w:tcBorders>
            <w:shd w:val="clear" w:color="auto" w:fill="D9D9D9"/>
          </w:tcPr>
          <w:p>
            <w:pPr>
              <w:jc w:val="center"/>
              <w:ind w:right="110"/>
              <w:spacing w:after="0"/>
              <w:rPr>
                <w:sz w:val="20"/>
                <w:szCs w:val="20"/>
                <w:color w:val="auto"/>
              </w:rPr>
            </w:pPr>
            <w:r>
              <w:rPr>
                <w:rFonts w:ascii="Arial" w:cs="Arial" w:eastAsia="Arial" w:hAnsi="Arial"/>
                <w:sz w:val="18"/>
                <w:szCs w:val="18"/>
                <w:color w:val="auto"/>
                <w:w w:val="96"/>
              </w:rPr>
              <w:t>2.1 million</w:t>
            </w:r>
          </w:p>
        </w:tc>
        <w:tc>
          <w:tcPr>
            <w:tcW w:w="180" w:type="dxa"/>
            <w:vAlign w:val="bottom"/>
            <w:tcBorders>
              <w:bottom w:val="single" w:sz="8" w:color="D9D9D9"/>
              <w:right w:val="single" w:sz="8" w:color="auto"/>
            </w:tcBorders>
            <w:shd w:val="clear" w:color="auto" w:fill="D9D9D9"/>
          </w:tcPr>
          <w:p>
            <w:pPr>
              <w:spacing w:after="0"/>
              <w:rPr>
                <w:sz w:val="22"/>
                <w:szCs w:val="22"/>
                <w:color w:val="auto"/>
              </w:rPr>
            </w:pPr>
          </w:p>
        </w:tc>
        <w:tc>
          <w:tcPr>
            <w:tcW w:w="2060" w:type="dxa"/>
            <w:vAlign w:val="bottom"/>
            <w:tcBorders>
              <w:bottom w:val="single" w:sz="8" w:color="D9D9D9"/>
              <w:right w:val="single" w:sz="8" w:color="D9D9D9"/>
            </w:tcBorders>
            <w:shd w:val="clear" w:color="auto" w:fill="D9D9D9"/>
          </w:tcPr>
          <w:p>
            <w:pPr>
              <w:jc w:val="center"/>
              <w:ind w:left="350"/>
              <w:spacing w:after="0"/>
              <w:rPr>
                <w:sz w:val="20"/>
                <w:szCs w:val="20"/>
                <w:color w:val="auto"/>
              </w:rPr>
            </w:pPr>
            <w:r>
              <w:rPr>
                <w:rFonts w:ascii="Arial" w:cs="Arial" w:eastAsia="Arial" w:hAnsi="Arial"/>
                <w:sz w:val="18"/>
                <w:szCs w:val="18"/>
                <w:color w:val="auto"/>
                <w:w w:val="96"/>
              </w:rPr>
              <w:t>0.2 million</w:t>
            </w:r>
          </w:p>
        </w:tc>
        <w:tc>
          <w:tcPr>
            <w:tcW w:w="500" w:type="dxa"/>
            <w:vAlign w:val="bottom"/>
            <w:tcBorders>
              <w:bottom w:val="single" w:sz="8" w:color="D9D9D9"/>
              <w:right w:val="single" w:sz="8" w:color="auto"/>
            </w:tcBorders>
            <w:shd w:val="clear" w:color="auto" w:fill="D9D9D9"/>
          </w:tcPr>
          <w:p>
            <w:pPr>
              <w:spacing w:after="0"/>
              <w:rPr>
                <w:sz w:val="22"/>
                <w:szCs w:val="22"/>
                <w:color w:val="auto"/>
              </w:rPr>
            </w:pPr>
          </w:p>
        </w:tc>
        <w:tc>
          <w:tcPr>
            <w:tcW w:w="1720" w:type="dxa"/>
            <w:vAlign w:val="bottom"/>
          </w:tcPr>
          <w:p>
            <w:pPr>
              <w:spacing w:after="0"/>
              <w:rPr>
                <w:sz w:val="22"/>
                <w:szCs w:val="22"/>
                <w:color w:val="auto"/>
              </w:rPr>
            </w:pPr>
          </w:p>
        </w:tc>
      </w:tr>
      <w:tr>
        <w:trPr>
          <w:trHeight w:val="237"/>
        </w:trPr>
        <w:tc>
          <w:tcPr>
            <w:tcW w:w="1180" w:type="dxa"/>
            <w:vAlign w:val="bottom"/>
          </w:tcPr>
          <w:p>
            <w:pPr>
              <w:spacing w:after="0"/>
              <w:rPr>
                <w:sz w:val="20"/>
                <w:szCs w:val="20"/>
                <w:color w:val="auto"/>
              </w:rPr>
            </w:pPr>
          </w:p>
        </w:tc>
        <w:tc>
          <w:tcPr>
            <w:tcW w:w="580" w:type="dxa"/>
            <w:vAlign w:val="bottom"/>
            <w:tcBorders>
              <w:right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2440" w:type="dxa"/>
            <w:vAlign w:val="bottom"/>
            <w:tcBorders>
              <w:top w:val="single" w:sz="8" w:color="auto"/>
              <w:right w:val="single" w:sz="8" w:color="auto"/>
            </w:tcBorders>
          </w:tcPr>
          <w:p>
            <w:pPr>
              <w:jc w:val="center"/>
              <w:ind w:right="550"/>
              <w:spacing w:after="0"/>
              <w:rPr>
                <w:sz w:val="20"/>
                <w:szCs w:val="20"/>
                <w:color w:val="auto"/>
              </w:rPr>
            </w:pPr>
            <w:r>
              <w:rPr>
                <w:rFonts w:ascii="Arial" w:cs="Arial" w:eastAsia="Arial" w:hAnsi="Arial"/>
                <w:sz w:val="18"/>
                <w:szCs w:val="18"/>
                <w:b w:val="1"/>
                <w:bCs w:val="1"/>
                <w:color w:val="auto"/>
                <w:w w:val="87"/>
              </w:rPr>
              <w:t>Voice Customers</w:t>
            </w:r>
          </w:p>
        </w:tc>
        <w:tc>
          <w:tcPr>
            <w:tcW w:w="36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tcPr>
          <w:p>
            <w:pPr>
              <w:jc w:val="center"/>
              <w:ind w:right="110"/>
              <w:spacing w:after="0"/>
              <w:rPr>
                <w:sz w:val="20"/>
                <w:szCs w:val="20"/>
                <w:color w:val="auto"/>
              </w:rPr>
            </w:pPr>
            <w:r>
              <w:rPr>
                <w:rFonts w:ascii="Arial" w:cs="Arial" w:eastAsia="Arial" w:hAnsi="Arial"/>
                <w:sz w:val="18"/>
                <w:szCs w:val="18"/>
                <w:color w:val="auto"/>
                <w:w w:val="96"/>
              </w:rPr>
              <w:t>1.1 million</w:t>
            </w:r>
          </w:p>
        </w:tc>
        <w:tc>
          <w:tcPr>
            <w:tcW w:w="180" w:type="dxa"/>
            <w:vAlign w:val="bottom"/>
            <w:tcBorders>
              <w:top w:val="single" w:sz="8" w:color="auto"/>
              <w:right w:val="single" w:sz="8" w:color="auto"/>
            </w:tcBorders>
          </w:tcPr>
          <w:p>
            <w:pPr>
              <w:spacing w:after="0"/>
              <w:rPr>
                <w:sz w:val="20"/>
                <w:szCs w:val="20"/>
                <w:color w:val="auto"/>
              </w:rPr>
            </w:pPr>
          </w:p>
        </w:tc>
        <w:tc>
          <w:tcPr>
            <w:tcW w:w="2060" w:type="dxa"/>
            <w:vAlign w:val="bottom"/>
            <w:tcBorders>
              <w:top w:val="single" w:sz="8" w:color="auto"/>
            </w:tcBorders>
          </w:tcPr>
          <w:p>
            <w:pPr>
              <w:jc w:val="center"/>
              <w:ind w:left="350"/>
              <w:spacing w:after="0"/>
              <w:rPr>
                <w:sz w:val="20"/>
                <w:szCs w:val="20"/>
                <w:color w:val="auto"/>
              </w:rPr>
            </w:pPr>
            <w:r>
              <w:rPr>
                <w:rFonts w:ascii="Arial" w:cs="Arial" w:eastAsia="Arial" w:hAnsi="Arial"/>
                <w:sz w:val="18"/>
                <w:szCs w:val="18"/>
                <w:color w:val="auto"/>
                <w:w w:val="96"/>
              </w:rPr>
              <w:t>0.1 million</w:t>
            </w:r>
          </w:p>
        </w:tc>
        <w:tc>
          <w:tcPr>
            <w:tcW w:w="500" w:type="dxa"/>
            <w:vAlign w:val="bottom"/>
            <w:tcBorders>
              <w:top w:val="single" w:sz="8" w:color="auto"/>
              <w:right w:val="single" w:sz="8" w:color="auto"/>
            </w:tcBorders>
          </w:tcPr>
          <w:p>
            <w:pPr>
              <w:spacing w:after="0"/>
              <w:rPr>
                <w:sz w:val="20"/>
                <w:szCs w:val="20"/>
                <w:color w:val="auto"/>
              </w:rPr>
            </w:pPr>
          </w:p>
        </w:tc>
        <w:tc>
          <w:tcPr>
            <w:tcW w:w="1720" w:type="dxa"/>
            <w:vAlign w:val="bottom"/>
          </w:tcPr>
          <w:p>
            <w:pPr>
              <w:spacing w:after="0"/>
              <w:rPr>
                <w:sz w:val="20"/>
                <w:szCs w:val="20"/>
                <w:color w:val="auto"/>
              </w:rPr>
            </w:pPr>
          </w:p>
        </w:tc>
      </w:tr>
      <w:tr>
        <w:trPr>
          <w:trHeight w:val="27"/>
        </w:trPr>
        <w:tc>
          <w:tcPr>
            <w:tcW w:w="1180" w:type="dxa"/>
            <w:vAlign w:val="bottom"/>
          </w:tcPr>
          <w:p>
            <w:pPr>
              <w:spacing w:after="0"/>
              <w:rPr>
                <w:sz w:val="2"/>
                <w:szCs w:val="2"/>
                <w:color w:val="auto"/>
              </w:rPr>
            </w:pPr>
          </w:p>
        </w:tc>
        <w:tc>
          <w:tcPr>
            <w:tcW w:w="580" w:type="dxa"/>
            <w:vAlign w:val="bottom"/>
            <w:tcBorders>
              <w:right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440" w:type="dxa"/>
            <w:vAlign w:val="bottom"/>
            <w:tcBorders>
              <w:bottom w:val="single" w:sz="8" w:color="auto"/>
              <w:right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1720" w:type="dxa"/>
            <w:vAlign w:val="bottom"/>
          </w:tcPr>
          <w:p>
            <w:pPr>
              <w:spacing w:after="0"/>
              <w:rPr>
                <w:sz w:val="2"/>
                <w:szCs w:val="2"/>
                <w:color w:val="auto"/>
              </w:rPr>
            </w:pPr>
          </w:p>
        </w:tc>
      </w:tr>
      <w:tr>
        <w:trPr>
          <w:trHeight w:val="289"/>
        </w:trPr>
        <w:tc>
          <w:tcPr>
            <w:tcW w:w="1180" w:type="dxa"/>
            <w:vAlign w:val="bottom"/>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620" w:type="dxa"/>
            <w:vAlign w:val="bottom"/>
            <w:tcBorders>
              <w:bottom w:val="single" w:sz="8" w:color="D9D9D9"/>
              <w:right w:val="single" w:sz="8" w:color="D9D9D9"/>
            </w:tcBorders>
            <w:shd w:val="clear" w:color="auto" w:fill="D9D9D9"/>
          </w:tcPr>
          <w:p>
            <w:pPr>
              <w:spacing w:after="0"/>
              <w:rPr>
                <w:sz w:val="24"/>
                <w:szCs w:val="24"/>
                <w:color w:val="auto"/>
              </w:rPr>
            </w:pPr>
          </w:p>
        </w:tc>
        <w:tc>
          <w:tcPr>
            <w:tcW w:w="2440" w:type="dxa"/>
            <w:vAlign w:val="bottom"/>
            <w:tcBorders>
              <w:bottom w:val="single" w:sz="8" w:color="D9D9D9"/>
              <w:right w:val="single" w:sz="8" w:color="auto"/>
            </w:tcBorders>
            <w:shd w:val="clear" w:color="auto" w:fill="D9D9D9"/>
          </w:tcPr>
          <w:p>
            <w:pPr>
              <w:jc w:val="center"/>
              <w:ind w:right="530"/>
              <w:spacing w:after="0"/>
              <w:rPr>
                <w:sz w:val="20"/>
                <w:szCs w:val="20"/>
                <w:color w:val="auto"/>
              </w:rPr>
            </w:pPr>
            <w:r>
              <w:rPr>
                <w:rFonts w:ascii="Arial" w:cs="Arial" w:eastAsia="Arial" w:hAnsi="Arial"/>
                <w:sz w:val="18"/>
                <w:szCs w:val="18"/>
                <w:b w:val="1"/>
                <w:bCs w:val="1"/>
                <w:color w:val="auto"/>
                <w:w w:val="85"/>
              </w:rPr>
              <w:t>Homes Passed</w:t>
            </w:r>
          </w:p>
        </w:tc>
        <w:tc>
          <w:tcPr>
            <w:tcW w:w="360" w:type="dxa"/>
            <w:vAlign w:val="bottom"/>
            <w:tcBorders>
              <w:bottom w:val="single" w:sz="8" w:color="D9D9D9"/>
            </w:tcBorders>
            <w:shd w:val="clear" w:color="auto" w:fill="D9D9D9"/>
          </w:tcPr>
          <w:p>
            <w:pPr>
              <w:spacing w:after="0"/>
              <w:rPr>
                <w:sz w:val="24"/>
                <w:szCs w:val="24"/>
                <w:color w:val="auto"/>
              </w:rPr>
            </w:pPr>
          </w:p>
        </w:tc>
        <w:tc>
          <w:tcPr>
            <w:tcW w:w="1780" w:type="dxa"/>
            <w:vAlign w:val="bottom"/>
            <w:tcBorders>
              <w:bottom w:val="single" w:sz="8" w:color="D9D9D9"/>
              <w:right w:val="single" w:sz="8" w:color="D9D9D9"/>
            </w:tcBorders>
            <w:shd w:val="clear" w:color="auto" w:fill="D9D9D9"/>
          </w:tcPr>
          <w:p>
            <w:pPr>
              <w:jc w:val="center"/>
              <w:ind w:right="110"/>
              <w:spacing w:after="0"/>
              <w:rPr>
                <w:sz w:val="20"/>
                <w:szCs w:val="20"/>
                <w:color w:val="auto"/>
              </w:rPr>
            </w:pPr>
            <w:r>
              <w:rPr>
                <w:rFonts w:ascii="Arial" w:cs="Arial" w:eastAsia="Arial" w:hAnsi="Arial"/>
                <w:sz w:val="18"/>
                <w:szCs w:val="18"/>
                <w:b w:val="1"/>
                <w:bCs w:val="1"/>
                <w:color w:val="auto"/>
              </w:rPr>
              <w:t xml:space="preserve">[[ ]] </w:t>
            </w:r>
            <w:r>
              <w:rPr>
                <w:rFonts w:ascii="Arial" w:cs="Arial" w:eastAsia="Arial" w:hAnsi="Arial"/>
                <w:sz w:val="18"/>
                <w:szCs w:val="18"/>
                <w:color w:val="auto"/>
              </w:rPr>
              <w:t>million</w:t>
            </w:r>
          </w:p>
        </w:tc>
        <w:tc>
          <w:tcPr>
            <w:tcW w:w="180" w:type="dxa"/>
            <w:vAlign w:val="bottom"/>
            <w:tcBorders>
              <w:bottom w:val="single" w:sz="8" w:color="D9D9D9"/>
              <w:right w:val="single" w:sz="8" w:color="auto"/>
            </w:tcBorders>
            <w:shd w:val="clear" w:color="auto" w:fill="D9D9D9"/>
          </w:tcPr>
          <w:p>
            <w:pPr>
              <w:spacing w:after="0"/>
              <w:rPr>
                <w:sz w:val="24"/>
                <w:szCs w:val="24"/>
                <w:color w:val="auto"/>
              </w:rPr>
            </w:pPr>
          </w:p>
        </w:tc>
        <w:tc>
          <w:tcPr>
            <w:tcW w:w="2060" w:type="dxa"/>
            <w:vAlign w:val="bottom"/>
            <w:tcBorders>
              <w:bottom w:val="single" w:sz="8" w:color="D9D9D9"/>
              <w:right w:val="single" w:sz="8" w:color="D9D9D9"/>
            </w:tcBorders>
            <w:shd w:val="clear" w:color="auto" w:fill="D9D9D9"/>
          </w:tcPr>
          <w:p>
            <w:pPr>
              <w:jc w:val="center"/>
              <w:ind w:left="350"/>
              <w:spacing w:after="0"/>
              <w:rPr>
                <w:sz w:val="20"/>
                <w:szCs w:val="20"/>
                <w:color w:val="auto"/>
              </w:rPr>
            </w:pPr>
            <w:r>
              <w:rPr>
                <w:rFonts w:ascii="Arial" w:cs="Arial" w:eastAsia="Arial" w:hAnsi="Arial"/>
                <w:sz w:val="18"/>
                <w:szCs w:val="18"/>
                <w:b w:val="1"/>
                <w:bCs w:val="1"/>
                <w:color w:val="auto"/>
              </w:rPr>
              <w:t xml:space="preserve">[[ ]] </w:t>
            </w:r>
            <w:r>
              <w:rPr>
                <w:rFonts w:ascii="Arial" w:cs="Arial" w:eastAsia="Arial" w:hAnsi="Arial"/>
                <w:sz w:val="18"/>
                <w:szCs w:val="18"/>
                <w:color w:val="auto"/>
              </w:rPr>
              <w:t>million</w:t>
            </w:r>
          </w:p>
        </w:tc>
        <w:tc>
          <w:tcPr>
            <w:tcW w:w="500" w:type="dxa"/>
            <w:vAlign w:val="bottom"/>
            <w:tcBorders>
              <w:bottom w:val="single" w:sz="8" w:color="D9D9D9"/>
              <w:right w:val="single" w:sz="8" w:color="auto"/>
            </w:tcBorders>
            <w:shd w:val="clear" w:color="auto" w:fill="D9D9D9"/>
          </w:tcPr>
          <w:p>
            <w:pPr>
              <w:spacing w:after="0"/>
              <w:rPr>
                <w:sz w:val="24"/>
                <w:szCs w:val="24"/>
                <w:color w:val="auto"/>
              </w:rPr>
            </w:pPr>
          </w:p>
        </w:tc>
        <w:tc>
          <w:tcPr>
            <w:tcW w:w="1720" w:type="dxa"/>
            <w:vAlign w:val="bottom"/>
          </w:tcPr>
          <w:p>
            <w:pPr>
              <w:spacing w:after="0"/>
              <w:rPr>
                <w:sz w:val="24"/>
                <w:szCs w:val="24"/>
                <w:color w:val="auto"/>
              </w:rPr>
            </w:pPr>
          </w:p>
        </w:tc>
      </w:tr>
      <w:tr>
        <w:trPr>
          <w:trHeight w:val="378"/>
        </w:trPr>
        <w:tc>
          <w:tcPr>
            <w:tcW w:w="1180" w:type="dxa"/>
            <w:vAlign w:val="bottom"/>
            <w:tcBorders>
              <w:bottom w:val="single" w:sz="8" w:color="9A9A9A"/>
            </w:tcBorders>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244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7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06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7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1081405</wp:posOffset>
            </wp:positionH>
            <wp:positionV relativeFrom="paragraph">
              <wp:posOffset>-1564005</wp:posOffset>
            </wp:positionV>
            <wp:extent cx="5093970" cy="2311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093970" cy="231140"/>
                    </a:xfrm>
                    <a:prstGeom prst="rect">
                      <a:avLst/>
                    </a:prstGeom>
                    <a:noFill/>
                  </pic:spPr>
                </pic:pic>
              </a:graphicData>
            </a:graphic>
          </wp:anchor>
        </w:drawing>
        <w:drawing>
          <wp:anchor simplePos="0" relativeHeight="251657728" behindDoc="1" locked="0" layoutInCell="0" allowOverlap="1">
            <wp:simplePos x="0" y="0"/>
            <wp:positionH relativeFrom="column">
              <wp:posOffset>729615</wp:posOffset>
            </wp:positionH>
            <wp:positionV relativeFrom="paragraph">
              <wp:posOffset>-20955</wp:posOffset>
            </wp:positionV>
            <wp:extent cx="3429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317" w:lineRule="exact"/>
        <w:rPr>
          <w:sz w:val="20"/>
          <w:szCs w:val="20"/>
          <w:color w:val="auto"/>
        </w:rPr>
      </w:pPr>
    </w:p>
    <w:p>
      <w:pPr>
        <w:ind w:right="60" w:firstLine="8"/>
        <w:spacing w:after="0" w:line="274" w:lineRule="auto"/>
        <w:tabs>
          <w:tab w:leader="none" w:pos="108" w:val="left"/>
        </w:tabs>
        <w:numPr>
          <w:ilvl w:val="0"/>
          <w:numId w:val="5"/>
        </w:numPr>
        <w:rPr>
          <w:rFonts w:ascii="Arial" w:cs="Arial" w:eastAsia="Arial" w:hAnsi="Arial"/>
          <w:sz w:val="22"/>
          <w:szCs w:val="22"/>
          <w:color w:val="auto"/>
          <w:vertAlign w:val="superscript"/>
        </w:rPr>
      </w:pPr>
      <w:r>
        <w:rPr>
          <w:rFonts w:ascii="Arial" w:cs="Arial" w:eastAsia="Arial" w:hAnsi="Arial"/>
          <w:sz w:val="16"/>
          <w:szCs w:val="16"/>
          <w:color w:val="auto"/>
        </w:rPr>
        <w:t>Current Charter customers and homes passed are based on Charter’s reporting methodology; the gains from TWC as a result of the Divestiture Transactions are based on TWC’s reporting methodology, where there are small definitional differences, including for commercial video customers. Charter’s reporting methodology for commercial video customers is calculated on an equivalent bulk unit (“EBU”) basis. EBUs are calculated by dividing the bulk price charged to accounts in an area by the published rate charged to non-bulk residential customers in that market for the comparable tier of service. Charter’s homes passed figures are estimated based on residential billing records and third-party estimates of businesses located within a specified radius of its plant. For purposes of calculating the post-Divestiture Transactions totals, the breakout between Charter’s divested and retained homes passed was based on billing records for residential, while commercial passings were split pro rata based on commercial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241300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5" w:right="239" w:bottom="1440" w:gutter="0" w:footer="0" w:header="0"/>
        </w:sectPr>
      </w:pPr>
    </w:p>
    <w:bookmarkStart w:id="3" w:name="page4"/>
    <w:bookmarkEnd w:id="3"/>
    <w:p>
      <w:pPr>
        <w:jc w:val="center"/>
        <w:ind w:right="-119"/>
        <w:spacing w:after="0"/>
        <w:rPr>
          <w:sz w:val="20"/>
          <w:szCs w:val="20"/>
          <w:color w:val="auto"/>
        </w:rPr>
      </w:pPr>
      <w:r>
        <w:rPr>
          <w:rFonts w:ascii="Arial" w:cs="Arial" w:eastAsia="Arial" w:hAnsi="Arial"/>
          <w:sz w:val="14"/>
          <w:szCs w:val="14"/>
          <w:b w:val="1"/>
          <w:bCs w:val="1"/>
          <w:color w:val="auto"/>
        </w:rPr>
        <w:t>REDACTED – FOR PUBLIC INSPECTION</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Ms. Marlene H. Dortch</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June 27, 2014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200" w:lineRule="exact"/>
        <w:rPr>
          <w:sz w:val="20"/>
          <w:szCs w:val="20"/>
          <w:color w:val="auto"/>
        </w:rPr>
      </w:pPr>
    </w:p>
    <w:p>
      <w:pPr>
        <w:spacing w:after="0" w:line="281" w:lineRule="exact"/>
        <w:rPr>
          <w:sz w:val="20"/>
          <w:szCs w:val="20"/>
          <w:color w:val="auto"/>
        </w:rPr>
      </w:pPr>
    </w:p>
    <w:p>
      <w:pPr>
        <w:ind w:firstLine="648"/>
        <w:spacing w:after="0" w:line="246" w:lineRule="auto"/>
        <w:rPr>
          <w:sz w:val="20"/>
          <w:szCs w:val="20"/>
          <w:color w:val="auto"/>
        </w:rPr>
      </w:pPr>
      <w:r>
        <w:rPr>
          <w:rFonts w:ascii="Arial" w:cs="Arial" w:eastAsia="Arial" w:hAnsi="Arial"/>
          <w:sz w:val="17"/>
          <w:szCs w:val="17"/>
          <w:color w:val="auto"/>
        </w:rPr>
        <w:t xml:space="preserve">As the parties previously explained, neither the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transfer of TWC’s indirect legal interest in BHN from TWC to Comcast nor the provision of certain services by Comcast to BHN post-transaction should give rise to the inclusion of BHN’s customers when considering Comcast’s post-transaction share in any relevant market.</w:t>
      </w:r>
      <w:r>
        <w:rPr>
          <w:rFonts w:ascii="Arial" w:cs="Arial" w:eastAsia="Arial" w:hAnsi="Arial"/>
          <w:sz w:val="24"/>
          <w:szCs w:val="24"/>
          <w:color w:val="auto"/>
          <w:vertAlign w:val="superscript"/>
        </w:rPr>
        <w:t>6</w:t>
      </w:r>
      <w:r>
        <w:rPr>
          <w:rFonts w:ascii="Arial" w:cs="Arial" w:eastAsia="Arial" w:hAnsi="Arial"/>
          <w:sz w:val="17"/>
          <w:szCs w:val="17"/>
          <w:color w:val="auto"/>
        </w:rPr>
        <w:t xml:space="preserve"> The parties nonetheless provided data regarding BHN’s residential customers and total homes passed. The chart below provides more detailed information that identifies BHN’s residential and commercial customers and homes passed.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1081405</wp:posOffset>
            </wp:positionH>
            <wp:positionV relativeFrom="paragraph">
              <wp:posOffset>155575</wp:posOffset>
            </wp:positionV>
            <wp:extent cx="5093970" cy="3683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093970" cy="368300"/>
                    </a:xfrm>
                    <a:prstGeom prst="rect">
                      <a:avLst/>
                    </a:prstGeom>
                    <a:noFill/>
                  </pic:spPr>
                </pic:pic>
              </a:graphicData>
            </a:graphic>
          </wp:anchor>
        </w:drawing>
      </w:r>
    </w:p>
    <w:p>
      <w:pPr>
        <w:spacing w:after="0" w:line="29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BRIGHT HOUSE NETWORKS</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POST-DIVESTITURE TRANSACTIONS</w:t>
      </w:r>
    </w:p>
    <w:p>
      <w:pPr>
        <w:spacing w:after="0" w:line="50" w:lineRule="exact"/>
        <w:rPr>
          <w:sz w:val="20"/>
          <w:szCs w:val="20"/>
          <w:color w:val="auto"/>
        </w:rPr>
      </w:pPr>
    </w:p>
    <w:tbl>
      <w:tblPr>
        <w:tblLayout w:type="fixed"/>
        <w:tblInd w:w="1730" w:type="dxa"/>
        <w:tblCellMar>
          <w:top w:w="0" w:type="dxa"/>
          <w:left w:w="0" w:type="dxa"/>
          <w:bottom w:w="0" w:type="dxa"/>
          <w:right w:w="0" w:type="dxa"/>
        </w:tblCellMar>
      </w:tblPr>
      <w:tr>
        <w:trPr>
          <w:trHeight w:val="264"/>
        </w:trPr>
        <w:tc>
          <w:tcPr>
            <w:tcW w:w="3700" w:type="dxa"/>
            <w:vAlign w:val="bottom"/>
            <w:tcBorders>
              <w:left w:val="single" w:sz="8" w:color="auto"/>
              <w:bottom w:val="single" w:sz="8" w:color="auto"/>
              <w:right w:val="single" w:sz="8" w:color="auto"/>
            </w:tcBorders>
            <w:shd w:val="clear" w:color="auto" w:fill="D9D9D9"/>
          </w:tcPr>
          <w:p>
            <w:pPr>
              <w:spacing w:after="0"/>
              <w:rPr>
                <w:sz w:val="22"/>
                <w:szCs w:val="22"/>
                <w:color w:val="auto"/>
              </w:rPr>
            </w:pPr>
          </w:p>
        </w:tc>
        <w:tc>
          <w:tcPr>
            <w:tcW w:w="22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i w:val="1"/>
                <w:iCs w:val="1"/>
                <w:color w:val="auto"/>
                <w:w w:val="92"/>
              </w:rPr>
              <w:t>Residential</w:t>
            </w:r>
          </w:p>
        </w:tc>
        <w:tc>
          <w:tcPr>
            <w:tcW w:w="2000" w:type="dxa"/>
            <w:vAlign w:val="bottom"/>
            <w:tcBorders>
              <w:bottom w:val="single" w:sz="8" w:color="auto"/>
              <w:right w:val="single" w:sz="8" w:color="auto"/>
            </w:tcBorders>
            <w:shd w:val="clear" w:color="auto" w:fill="D9D9D9"/>
          </w:tcPr>
          <w:p>
            <w:pPr>
              <w:ind w:left="540"/>
              <w:spacing w:after="0"/>
              <w:rPr>
                <w:sz w:val="20"/>
                <w:szCs w:val="20"/>
                <w:color w:val="auto"/>
              </w:rPr>
            </w:pPr>
            <w:r>
              <w:rPr>
                <w:rFonts w:ascii="Arial" w:cs="Arial" w:eastAsia="Arial" w:hAnsi="Arial"/>
                <w:sz w:val="18"/>
                <w:szCs w:val="18"/>
                <w:i w:val="1"/>
                <w:iCs w:val="1"/>
                <w:color w:val="auto"/>
              </w:rPr>
              <w:t>Commercial</w:t>
            </w:r>
          </w:p>
        </w:tc>
      </w:tr>
      <w:tr>
        <w:trPr>
          <w:trHeight w:val="243"/>
        </w:trPr>
        <w:tc>
          <w:tcPr>
            <w:tcW w:w="37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Video Customers</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2.1 million</w:t>
            </w:r>
          </w:p>
        </w:tc>
        <w:tc>
          <w:tcPr>
            <w:tcW w:w="2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35,000</w:t>
            </w:r>
          </w:p>
        </w:tc>
      </w:tr>
      <w:tr>
        <w:trPr>
          <w:trHeight w:val="27"/>
        </w:trPr>
        <w:tc>
          <w:tcPr>
            <w:tcW w:w="370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r>
      <w:tr>
        <w:trPr>
          <w:trHeight w:val="269"/>
        </w:trPr>
        <w:tc>
          <w:tcPr>
            <w:tcW w:w="3700" w:type="dxa"/>
            <w:vAlign w:val="bottom"/>
            <w:tcBorders>
              <w:left w:val="single" w:sz="8" w:color="auto"/>
              <w:bottom w:val="single" w:sz="8" w:color="D9D9D9"/>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89"/>
              </w:rPr>
              <w:t>Fixed Broadband Customers</w:t>
            </w:r>
          </w:p>
        </w:tc>
        <w:tc>
          <w:tcPr>
            <w:tcW w:w="2280" w:type="dxa"/>
            <w:vAlign w:val="bottom"/>
            <w:tcBorders>
              <w:bottom w:val="single" w:sz="8" w:color="D9D9D9"/>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6"/>
              </w:rPr>
              <w:t>1.9 million</w:t>
            </w:r>
          </w:p>
        </w:tc>
        <w:tc>
          <w:tcPr>
            <w:tcW w:w="2000" w:type="dxa"/>
            <w:vAlign w:val="bottom"/>
            <w:tcBorders>
              <w:bottom w:val="single" w:sz="8" w:color="D9D9D9"/>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89"/>
              </w:rPr>
              <w:t>109,000</w:t>
            </w:r>
          </w:p>
        </w:tc>
      </w:tr>
      <w:tr>
        <w:trPr>
          <w:trHeight w:val="237"/>
        </w:trPr>
        <w:tc>
          <w:tcPr>
            <w:tcW w:w="370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Voice Customers</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1.1 million</w:t>
            </w:r>
          </w:p>
        </w:tc>
        <w:tc>
          <w:tcPr>
            <w:tcW w:w="20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67,000</w:t>
            </w:r>
          </w:p>
        </w:tc>
      </w:tr>
      <w:tr>
        <w:trPr>
          <w:trHeight w:val="27"/>
        </w:trPr>
        <w:tc>
          <w:tcPr>
            <w:tcW w:w="370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r>
      <w:tr>
        <w:trPr>
          <w:trHeight w:val="244"/>
        </w:trPr>
        <w:tc>
          <w:tcPr>
            <w:tcW w:w="3700" w:type="dxa"/>
            <w:vAlign w:val="bottom"/>
            <w:tcBorders>
              <w:left w:val="single" w:sz="8" w:color="auto"/>
              <w:bottom w:val="single" w:sz="8" w:color="D9D9D9"/>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84"/>
              </w:rPr>
              <w:t>Homes Passed</w:t>
            </w:r>
          </w:p>
        </w:tc>
        <w:tc>
          <w:tcPr>
            <w:tcW w:w="2280" w:type="dxa"/>
            <w:vAlign w:val="bottom"/>
            <w:tcBorders>
              <w:bottom w:val="single" w:sz="8" w:color="D9D9D9"/>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rPr>
              <w:t xml:space="preserve">[[ ]] </w:t>
            </w:r>
            <w:r>
              <w:rPr>
                <w:rFonts w:ascii="Arial" w:cs="Arial" w:eastAsia="Arial" w:hAnsi="Arial"/>
                <w:sz w:val="18"/>
                <w:szCs w:val="18"/>
                <w:color w:val="auto"/>
              </w:rPr>
              <w:t>million</w:t>
            </w:r>
          </w:p>
        </w:tc>
        <w:tc>
          <w:tcPr>
            <w:tcW w:w="2000" w:type="dxa"/>
            <w:vAlign w:val="bottom"/>
            <w:tcBorders>
              <w:bottom w:val="single" w:sz="8" w:color="D9D9D9"/>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rPr>
              <w:t>[[ ]]</w:t>
            </w:r>
          </w:p>
        </w:tc>
      </w:tr>
      <w:tr>
        <w:trPr>
          <w:trHeight w:val="41"/>
        </w:trPr>
        <w:tc>
          <w:tcPr>
            <w:tcW w:w="3700" w:type="dxa"/>
            <w:vAlign w:val="bottom"/>
            <w:tcBorders>
              <w:left w:val="single" w:sz="8" w:color="auto"/>
              <w:right w:val="single" w:sz="8" w:color="auto"/>
            </w:tcBorders>
            <w:shd w:val="clear" w:color="auto" w:fill="000000"/>
          </w:tcPr>
          <w:p>
            <w:pPr>
              <w:spacing w:after="0"/>
              <w:rPr>
                <w:sz w:val="3"/>
                <w:szCs w:val="3"/>
                <w:color w:val="auto"/>
              </w:rPr>
            </w:pPr>
          </w:p>
        </w:tc>
        <w:tc>
          <w:tcPr>
            <w:tcW w:w="2280" w:type="dxa"/>
            <w:vAlign w:val="bottom"/>
            <w:tcBorders>
              <w:right w:val="single" w:sz="8" w:color="auto"/>
            </w:tcBorders>
            <w:shd w:val="clear" w:color="auto" w:fill="000000"/>
          </w:tcPr>
          <w:p>
            <w:pPr>
              <w:spacing w:after="0"/>
              <w:rPr>
                <w:sz w:val="3"/>
                <w:szCs w:val="3"/>
                <w:color w:val="auto"/>
              </w:rPr>
            </w:pPr>
          </w:p>
        </w:tc>
        <w:tc>
          <w:tcPr>
            <w:tcW w:w="2000" w:type="dxa"/>
            <w:vAlign w:val="bottom"/>
            <w:tcBorders>
              <w:right w:val="single" w:sz="8" w:color="auto"/>
            </w:tcBorders>
            <w:shd w:val="clear" w:color="auto" w:fill="000000"/>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553085</wp:posOffset>
            </wp:positionV>
            <wp:extent cx="758825"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58825"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40" w:hanging="132"/>
        <w:spacing w:after="0"/>
        <w:tabs>
          <w:tab w:leader="none" w:pos="140" w:val="left"/>
        </w:tabs>
        <w:numPr>
          <w:ilvl w:val="0"/>
          <w:numId w:val="6"/>
        </w:numPr>
        <w:rPr>
          <w:rFonts w:ascii="Arial" w:cs="Arial" w:eastAsia="Arial" w:hAnsi="Arial"/>
          <w:sz w:val="25"/>
          <w:szCs w:val="25"/>
          <w:color w:val="auto"/>
          <w:vertAlign w:val="superscript"/>
        </w:rPr>
      </w:pPr>
      <w:r>
        <w:rPr>
          <w:rFonts w:ascii="Arial" w:cs="Arial" w:eastAsia="Arial" w:hAnsi="Arial"/>
          <w:sz w:val="18"/>
          <w:szCs w:val="18"/>
          <w:color w:val="auto"/>
        </w:rPr>
        <w:t>June 24 Letter at 9-12.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598170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265"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4"/>
          <w:szCs w:val="14"/>
          <w:b w:val="1"/>
          <w:bCs w:val="1"/>
          <w:color w:val="auto"/>
        </w:rPr>
        <w:t>REDACTED – FOR PUBLIC INSPECTION</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Ms. Marlene H. Dortch</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June 27, 2014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200" w:lineRule="exact"/>
        <w:rPr>
          <w:sz w:val="20"/>
          <w:szCs w:val="20"/>
          <w:color w:val="auto"/>
        </w:rPr>
      </w:pPr>
    </w:p>
    <w:p>
      <w:pPr>
        <w:spacing w:after="0" w:line="358" w:lineRule="exact"/>
        <w:rPr>
          <w:sz w:val="20"/>
          <w:szCs w:val="20"/>
          <w:color w:val="auto"/>
        </w:rPr>
      </w:pPr>
    </w:p>
    <w:p>
      <w:pPr>
        <w:ind w:left="780"/>
        <w:spacing w:after="0"/>
        <w:tabs>
          <w:tab w:leader="none" w:pos="104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6"/>
          <w:szCs w:val="16"/>
          <w:b w:val="1"/>
          <w:bCs w:val="1"/>
          <w:color w:val="auto"/>
        </w:rPr>
        <w:t>Broadband Share Data</w:t>
      </w:r>
    </w:p>
    <w:p>
      <w:pPr>
        <w:spacing w:after="0" w:line="310" w:lineRule="exact"/>
        <w:rPr>
          <w:sz w:val="20"/>
          <w:szCs w:val="20"/>
          <w:color w:val="auto"/>
        </w:rPr>
      </w:pPr>
    </w:p>
    <w:p>
      <w:pPr>
        <w:ind w:right="440" w:firstLine="648"/>
        <w:spacing w:after="0" w:line="230" w:lineRule="auto"/>
        <w:rPr>
          <w:sz w:val="20"/>
          <w:szCs w:val="20"/>
          <w:color w:val="auto"/>
        </w:rPr>
      </w:pPr>
      <w:r>
        <w:rPr>
          <w:rFonts w:ascii="Arial" w:cs="Arial" w:eastAsia="Arial" w:hAnsi="Arial"/>
          <w:sz w:val="17"/>
          <w:szCs w:val="17"/>
          <w:color w:val="auto"/>
        </w:rPr>
        <w:t>On June 25, 2014, the Commission released its latest Internet Access Services Report,</w:t>
      </w:r>
      <w:r>
        <w:rPr>
          <w:rFonts w:ascii="Arial" w:cs="Arial" w:eastAsia="Arial" w:hAnsi="Arial"/>
          <w:sz w:val="24"/>
          <w:szCs w:val="24"/>
          <w:color w:val="auto"/>
          <w:vertAlign w:val="superscript"/>
        </w:rPr>
        <w:t>7</w:t>
      </w:r>
      <w:r>
        <w:rPr>
          <w:rFonts w:ascii="Arial" w:cs="Arial" w:eastAsia="Arial" w:hAnsi="Arial"/>
          <w:sz w:val="17"/>
          <w:szCs w:val="17"/>
          <w:color w:val="auto"/>
        </w:rPr>
        <w:t xml:space="preserve"> which provides total national broadband data as of June 2013. In prior filings, Comcast has presented broadband share calculations prepared by Dr. Mark Israel and his team at Compass Lexecon, which were necessarily based on FCC data as of December 2012.</w:t>
      </w:r>
      <w:r>
        <w:rPr>
          <w:rFonts w:ascii="Arial" w:cs="Arial" w:eastAsia="Arial" w:hAnsi="Arial"/>
          <w:sz w:val="24"/>
          <w:szCs w:val="24"/>
          <w:color w:val="auto"/>
          <w:vertAlign w:val="superscript"/>
        </w:rPr>
        <w:t>8</w:t>
      </w:r>
      <w:r>
        <w:rPr>
          <w:rFonts w:ascii="Arial" w:cs="Arial" w:eastAsia="Arial" w:hAnsi="Arial"/>
          <w:sz w:val="17"/>
          <w:szCs w:val="17"/>
          <w:color w:val="auto"/>
        </w:rPr>
        <w:t xml:space="preserve"> In the table below, Dr. Israel and Compass Lexecon have updated each of the broadband share calculations using this new June 2013 data (and based on the corresponding Form 477 data as of June 2013 from Comcast, TWC, and Charter, as applicable). For ease of reference, the data as of December 2012 and June 2013 are presented in full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161290</wp:posOffset>
            </wp:positionV>
            <wp:extent cx="7272020" cy="2311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2020" cy="231140"/>
                    </a:xfrm>
                    <a:prstGeom prst="rect">
                      <a:avLst/>
                    </a:prstGeom>
                    <a:noFill/>
                  </pic:spPr>
                </pic:pic>
              </a:graphicData>
            </a:graphic>
          </wp:anchor>
        </w:drawing>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Comcast’s National Broadband Shares for at Least 3 Mbps/768 Kbps</w:t>
      </w:r>
    </w:p>
    <w:p>
      <w:pPr>
        <w:spacing w:after="0" w:line="68"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1280" w:type="dxa"/>
            <w:vAlign w:val="bottom"/>
            <w:tcBorders>
              <w:left w:val="single" w:sz="8" w:color="auto"/>
              <w:right w:val="single" w:sz="8" w:color="auto"/>
            </w:tcBorders>
            <w:shd w:val="clear" w:color="auto" w:fill="D9D9D9"/>
          </w:tcPr>
          <w:p>
            <w:pPr>
              <w:spacing w:after="0"/>
              <w:rPr>
                <w:sz w:val="19"/>
                <w:szCs w:val="19"/>
                <w:color w:val="auto"/>
              </w:rPr>
            </w:pPr>
          </w:p>
        </w:tc>
        <w:tc>
          <w:tcPr>
            <w:tcW w:w="560" w:type="dxa"/>
            <w:vAlign w:val="bottom"/>
            <w:shd w:val="clear" w:color="auto" w:fill="D9D9D9"/>
          </w:tcPr>
          <w:p>
            <w:pPr>
              <w:spacing w:after="0"/>
              <w:rPr>
                <w:sz w:val="19"/>
                <w:szCs w:val="19"/>
                <w:color w:val="auto"/>
              </w:rPr>
            </w:pPr>
          </w:p>
        </w:tc>
        <w:tc>
          <w:tcPr>
            <w:tcW w:w="720" w:type="dxa"/>
            <w:vAlign w:val="bottom"/>
            <w:tcBorders>
              <w:right w:val="single" w:sz="8" w:color="D9D9D9"/>
            </w:tcBorders>
            <w:shd w:val="clear" w:color="auto" w:fill="D9D9D9"/>
          </w:tcPr>
          <w:p>
            <w:pPr>
              <w:spacing w:after="0"/>
              <w:rPr>
                <w:sz w:val="19"/>
                <w:szCs w:val="19"/>
                <w:color w:val="auto"/>
              </w:rPr>
            </w:pPr>
          </w:p>
        </w:tc>
        <w:tc>
          <w:tcPr>
            <w:tcW w:w="560" w:type="dxa"/>
            <w:vAlign w:val="bottom"/>
            <w:shd w:val="clear" w:color="auto" w:fill="D9D9D9"/>
          </w:tcPr>
          <w:p>
            <w:pPr>
              <w:spacing w:after="0"/>
              <w:rPr>
                <w:sz w:val="19"/>
                <w:szCs w:val="19"/>
                <w:color w:val="auto"/>
              </w:rPr>
            </w:pPr>
          </w:p>
        </w:tc>
        <w:tc>
          <w:tcPr>
            <w:tcW w:w="720" w:type="dxa"/>
            <w:vAlign w:val="bottom"/>
            <w:tcBorders>
              <w:right w:val="single" w:sz="8" w:color="auto"/>
            </w:tcBorders>
            <w:shd w:val="clear" w:color="auto" w:fill="D9D9D9"/>
          </w:tcPr>
          <w:p>
            <w:pPr>
              <w:spacing w:after="0"/>
              <w:rPr>
                <w:sz w:val="19"/>
                <w:szCs w:val="19"/>
                <w:color w:val="auto"/>
              </w:rPr>
            </w:pPr>
          </w:p>
        </w:tc>
        <w:tc>
          <w:tcPr>
            <w:tcW w:w="2540" w:type="dxa"/>
            <w:vAlign w:val="bottom"/>
            <w:tcBorders>
              <w:right w:val="single" w:sz="8" w:color="auto"/>
            </w:tcBorders>
            <w:gridSpan w:val="2"/>
            <w:shd w:val="clear" w:color="auto" w:fill="D9D9D9"/>
          </w:tcPr>
          <w:p>
            <w:pPr>
              <w:jc w:val="center"/>
              <w:spacing w:after="0"/>
              <w:rPr>
                <w:sz w:val="20"/>
                <w:szCs w:val="20"/>
                <w:color w:val="auto"/>
              </w:rPr>
            </w:pPr>
            <w:r>
              <w:rPr>
                <w:rFonts w:ascii="Arial" w:cs="Arial" w:eastAsia="Arial" w:hAnsi="Arial"/>
                <w:sz w:val="18"/>
                <w:szCs w:val="18"/>
                <w:b w:val="1"/>
                <w:bCs w:val="1"/>
                <w:color w:val="auto"/>
                <w:w w:val="92"/>
              </w:rPr>
              <w:t>Post-TWC Transaction</w:t>
            </w:r>
          </w:p>
        </w:tc>
        <w:tc>
          <w:tcPr>
            <w:tcW w:w="2540" w:type="dxa"/>
            <w:vAlign w:val="bottom"/>
            <w:tcBorders>
              <w:right w:val="single" w:sz="8" w:color="auto"/>
            </w:tcBorders>
            <w:gridSpan w:val="2"/>
            <w:shd w:val="clear" w:color="auto" w:fill="D9D9D9"/>
          </w:tcPr>
          <w:p>
            <w:pPr>
              <w:jc w:val="center"/>
              <w:spacing w:after="0"/>
              <w:rPr>
                <w:sz w:val="20"/>
                <w:szCs w:val="20"/>
                <w:color w:val="auto"/>
              </w:rPr>
            </w:pPr>
            <w:r>
              <w:rPr>
                <w:rFonts w:ascii="Arial" w:cs="Arial" w:eastAsia="Arial" w:hAnsi="Arial"/>
                <w:sz w:val="18"/>
                <w:szCs w:val="18"/>
                <w:b w:val="1"/>
                <w:bCs w:val="1"/>
                <w:color w:val="auto"/>
                <w:w w:val="92"/>
              </w:rPr>
              <w:t>Post-TWC Transaction</w:t>
            </w:r>
          </w:p>
        </w:tc>
        <w:tc>
          <w:tcPr>
            <w:tcW w:w="2500" w:type="dxa"/>
            <w:vAlign w:val="bottom"/>
            <w:tcBorders>
              <w:right w:val="single" w:sz="8" w:color="auto"/>
            </w:tcBorders>
            <w:gridSpan w:val="2"/>
            <w:shd w:val="clear" w:color="auto" w:fill="D9D9D9"/>
          </w:tcPr>
          <w:p>
            <w:pPr>
              <w:jc w:val="center"/>
              <w:spacing w:after="0"/>
              <w:rPr>
                <w:sz w:val="20"/>
                <w:szCs w:val="20"/>
                <w:color w:val="auto"/>
              </w:rPr>
            </w:pPr>
            <w:r>
              <w:rPr>
                <w:rFonts w:ascii="Arial" w:cs="Arial" w:eastAsia="Arial" w:hAnsi="Arial"/>
                <w:sz w:val="18"/>
                <w:szCs w:val="18"/>
                <w:b w:val="1"/>
                <w:bCs w:val="1"/>
                <w:color w:val="auto"/>
                <w:w w:val="88"/>
              </w:rPr>
              <w:t>Post-Divestiture Transactions</w:t>
            </w: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right w:val="single" w:sz="8" w:color="auto"/>
            </w:tcBorders>
            <w:shd w:val="clear" w:color="auto" w:fill="D9D9D9"/>
          </w:tcPr>
          <w:p>
            <w:pPr>
              <w:spacing w:after="0"/>
              <w:rPr>
                <w:sz w:val="18"/>
                <w:szCs w:val="18"/>
                <w:color w:val="auto"/>
              </w:rPr>
            </w:pPr>
          </w:p>
        </w:tc>
        <w:tc>
          <w:tcPr>
            <w:tcW w:w="560" w:type="dxa"/>
            <w:vAlign w:val="bottom"/>
            <w:shd w:val="clear" w:color="auto" w:fill="D9D9D9"/>
          </w:tcPr>
          <w:p>
            <w:pPr>
              <w:spacing w:after="0"/>
              <w:rPr>
                <w:sz w:val="18"/>
                <w:szCs w:val="18"/>
                <w:color w:val="auto"/>
              </w:rPr>
            </w:pPr>
          </w:p>
        </w:tc>
        <w:tc>
          <w:tcPr>
            <w:tcW w:w="1280" w:type="dxa"/>
            <w:vAlign w:val="bottom"/>
            <w:gridSpan w:val="2"/>
            <w:shd w:val="clear" w:color="auto" w:fill="D9D9D9"/>
          </w:tcPr>
          <w:p>
            <w:pPr>
              <w:ind w:left="140"/>
              <w:spacing w:after="0"/>
              <w:rPr>
                <w:sz w:val="20"/>
                <w:szCs w:val="20"/>
                <w:color w:val="auto"/>
              </w:rPr>
            </w:pPr>
            <w:r>
              <w:rPr>
                <w:rFonts w:ascii="Arial" w:cs="Arial" w:eastAsia="Arial" w:hAnsi="Arial"/>
                <w:sz w:val="18"/>
                <w:szCs w:val="18"/>
                <w:b w:val="1"/>
                <w:bCs w:val="1"/>
                <w:color w:val="auto"/>
                <w:w w:val="87"/>
              </w:rPr>
              <w:t>Comcast alone</w:t>
            </w:r>
          </w:p>
        </w:tc>
        <w:tc>
          <w:tcPr>
            <w:tcW w:w="720" w:type="dxa"/>
            <w:vAlign w:val="bottom"/>
            <w:tcBorders>
              <w:right w:val="single" w:sz="8" w:color="auto"/>
            </w:tcBorders>
            <w:shd w:val="clear" w:color="auto" w:fill="D9D9D9"/>
          </w:tcPr>
          <w:p>
            <w:pPr>
              <w:spacing w:after="0"/>
              <w:rPr>
                <w:sz w:val="18"/>
                <w:szCs w:val="18"/>
                <w:color w:val="auto"/>
              </w:rPr>
            </w:pPr>
          </w:p>
        </w:tc>
        <w:tc>
          <w:tcPr>
            <w:tcW w:w="2540" w:type="dxa"/>
            <w:vAlign w:val="bottom"/>
            <w:tcBorders>
              <w:right w:val="single" w:sz="8" w:color="auto"/>
            </w:tcBorders>
            <w:gridSpan w:val="2"/>
            <w:shd w:val="clear" w:color="auto" w:fill="D9D9D9"/>
          </w:tcPr>
          <w:p>
            <w:pPr>
              <w:jc w:val="center"/>
              <w:spacing w:after="0"/>
              <w:rPr>
                <w:sz w:val="20"/>
                <w:szCs w:val="20"/>
                <w:color w:val="auto"/>
              </w:rPr>
            </w:pPr>
            <w:r>
              <w:rPr>
                <w:rFonts w:ascii="Arial" w:cs="Arial" w:eastAsia="Arial" w:hAnsi="Arial"/>
                <w:sz w:val="18"/>
                <w:szCs w:val="18"/>
                <w:b w:val="1"/>
                <w:bCs w:val="1"/>
                <w:color w:val="auto"/>
                <w:w w:val="89"/>
              </w:rPr>
              <w:t>(before any subscriber</w:t>
            </w:r>
          </w:p>
        </w:tc>
        <w:tc>
          <w:tcPr>
            <w:tcW w:w="2540" w:type="dxa"/>
            <w:vAlign w:val="bottom"/>
            <w:tcBorders>
              <w:right w:val="single" w:sz="8" w:color="auto"/>
            </w:tcBorders>
            <w:gridSpan w:val="2"/>
            <w:shd w:val="clear" w:color="auto" w:fill="D9D9D9"/>
          </w:tcPr>
          <w:p>
            <w:pPr>
              <w:jc w:val="center"/>
              <w:spacing w:after="0"/>
              <w:rPr>
                <w:sz w:val="20"/>
                <w:szCs w:val="20"/>
                <w:color w:val="auto"/>
              </w:rPr>
            </w:pPr>
            <w:r>
              <w:rPr>
                <w:rFonts w:ascii="Arial" w:cs="Arial" w:eastAsia="Arial" w:hAnsi="Arial"/>
                <w:sz w:val="18"/>
                <w:szCs w:val="18"/>
                <w:b w:val="1"/>
                <w:bCs w:val="1"/>
                <w:color w:val="auto"/>
                <w:w w:val="88"/>
              </w:rPr>
              <w:t>(assuming 3 million subscriber</w:t>
            </w:r>
          </w:p>
        </w:tc>
        <w:tc>
          <w:tcPr>
            <w:tcW w:w="2500" w:type="dxa"/>
            <w:vAlign w:val="bottom"/>
            <w:tcBorders>
              <w:right w:val="single" w:sz="8" w:color="auto"/>
            </w:tcBorders>
            <w:gridSpan w:val="2"/>
            <w:shd w:val="clear" w:color="auto" w:fill="D9D9D9"/>
          </w:tcPr>
          <w:p>
            <w:pPr>
              <w:jc w:val="center"/>
              <w:spacing w:after="0"/>
              <w:rPr>
                <w:sz w:val="20"/>
                <w:szCs w:val="20"/>
                <w:color w:val="auto"/>
              </w:rPr>
            </w:pPr>
            <w:r>
              <w:rPr>
                <w:rFonts w:ascii="Arial" w:cs="Arial" w:eastAsia="Arial" w:hAnsi="Arial"/>
                <w:sz w:val="18"/>
                <w:szCs w:val="18"/>
                <w:b w:val="1"/>
                <w:bCs w:val="1"/>
                <w:color w:val="auto"/>
                <w:w w:val="90"/>
              </w:rPr>
              <w:t>(including 3.9 million</w:t>
            </w:r>
          </w:p>
        </w:tc>
        <w:tc>
          <w:tcPr>
            <w:tcW w:w="0" w:type="dxa"/>
            <w:vAlign w:val="bottom"/>
          </w:tcPr>
          <w:p>
            <w:pPr>
              <w:spacing w:after="0"/>
              <w:rPr>
                <w:sz w:val="1"/>
                <w:szCs w:val="1"/>
                <w:color w:val="auto"/>
              </w:rPr>
            </w:pPr>
          </w:p>
        </w:tc>
      </w:tr>
      <w:tr>
        <w:trPr>
          <w:trHeight w:val="261"/>
        </w:trPr>
        <w:tc>
          <w:tcPr>
            <w:tcW w:w="1280" w:type="dxa"/>
            <w:vAlign w:val="bottom"/>
            <w:tcBorders>
              <w:left w:val="single" w:sz="8" w:color="auto"/>
              <w:bottom w:val="single" w:sz="8" w:color="auto"/>
              <w:right w:val="single" w:sz="8" w:color="auto"/>
            </w:tcBorders>
            <w:shd w:val="clear" w:color="auto" w:fill="D9D9D9"/>
          </w:tcPr>
          <w:p>
            <w:pPr>
              <w:spacing w:after="0"/>
              <w:rPr>
                <w:sz w:val="22"/>
                <w:szCs w:val="22"/>
                <w:color w:val="auto"/>
              </w:rPr>
            </w:pPr>
          </w:p>
        </w:tc>
        <w:tc>
          <w:tcPr>
            <w:tcW w:w="560" w:type="dxa"/>
            <w:vAlign w:val="bottom"/>
            <w:tcBorders>
              <w:bottom w:val="single" w:sz="8" w:color="auto"/>
            </w:tcBorders>
            <w:shd w:val="clear" w:color="auto" w:fill="D9D9D9"/>
          </w:tcPr>
          <w:p>
            <w:pPr>
              <w:spacing w:after="0"/>
              <w:rPr>
                <w:sz w:val="22"/>
                <w:szCs w:val="22"/>
                <w:color w:val="auto"/>
              </w:rPr>
            </w:pPr>
          </w:p>
        </w:tc>
        <w:tc>
          <w:tcPr>
            <w:tcW w:w="720" w:type="dxa"/>
            <w:vAlign w:val="bottom"/>
            <w:tcBorders>
              <w:bottom w:val="single" w:sz="8" w:color="auto"/>
              <w:right w:val="single" w:sz="8" w:color="D9D9D9"/>
            </w:tcBorders>
            <w:shd w:val="clear" w:color="auto" w:fill="D9D9D9"/>
          </w:tcPr>
          <w:p>
            <w:pPr>
              <w:spacing w:after="0"/>
              <w:rPr>
                <w:sz w:val="22"/>
                <w:szCs w:val="22"/>
                <w:color w:val="auto"/>
              </w:rPr>
            </w:pPr>
          </w:p>
        </w:tc>
        <w:tc>
          <w:tcPr>
            <w:tcW w:w="560" w:type="dxa"/>
            <w:vAlign w:val="bottom"/>
            <w:tcBorders>
              <w:bottom w:val="single" w:sz="8" w:color="auto"/>
            </w:tcBorders>
            <w:shd w:val="clear" w:color="auto" w:fill="D9D9D9"/>
          </w:tcPr>
          <w:p>
            <w:pPr>
              <w:spacing w:after="0"/>
              <w:rPr>
                <w:sz w:val="22"/>
                <w:szCs w:val="22"/>
                <w:color w:val="auto"/>
              </w:rPr>
            </w:pPr>
          </w:p>
        </w:tc>
        <w:tc>
          <w:tcPr>
            <w:tcW w:w="720" w:type="dxa"/>
            <w:vAlign w:val="bottom"/>
            <w:tcBorders>
              <w:bottom w:val="single" w:sz="8" w:color="auto"/>
              <w:right w:val="single" w:sz="8" w:color="auto"/>
            </w:tcBorders>
            <w:shd w:val="clear" w:color="auto" w:fill="D9D9D9"/>
          </w:tcPr>
          <w:p>
            <w:pPr>
              <w:spacing w:after="0"/>
              <w:rPr>
                <w:sz w:val="22"/>
                <w:szCs w:val="22"/>
                <w:color w:val="auto"/>
              </w:rPr>
            </w:pPr>
          </w:p>
        </w:tc>
        <w:tc>
          <w:tcPr>
            <w:tcW w:w="2540" w:type="dxa"/>
            <w:vAlign w:val="bottom"/>
            <w:tcBorders>
              <w:bottom w:val="single" w:sz="8" w:color="auto"/>
              <w:right w:val="single" w:sz="8" w:color="auto"/>
            </w:tcBorders>
            <w:gridSpan w:val="2"/>
            <w:shd w:val="clear" w:color="auto" w:fill="D9D9D9"/>
          </w:tcPr>
          <w:p>
            <w:pPr>
              <w:jc w:val="center"/>
              <w:spacing w:after="0"/>
              <w:rPr>
                <w:sz w:val="20"/>
                <w:szCs w:val="20"/>
                <w:color w:val="auto"/>
              </w:rPr>
            </w:pPr>
            <w:r>
              <w:rPr>
                <w:rFonts w:ascii="Arial" w:cs="Arial" w:eastAsia="Arial" w:hAnsi="Arial"/>
                <w:sz w:val="18"/>
                <w:szCs w:val="18"/>
                <w:b w:val="1"/>
                <w:bCs w:val="1"/>
                <w:color w:val="auto"/>
                <w:w w:val="87"/>
              </w:rPr>
              <w:t>divestitures)</w:t>
            </w:r>
          </w:p>
        </w:tc>
        <w:tc>
          <w:tcPr>
            <w:tcW w:w="2540" w:type="dxa"/>
            <w:vAlign w:val="bottom"/>
            <w:tcBorders>
              <w:bottom w:val="single" w:sz="8" w:color="auto"/>
              <w:right w:val="single" w:sz="8" w:color="auto"/>
            </w:tcBorders>
            <w:gridSpan w:val="2"/>
            <w:shd w:val="clear" w:color="auto" w:fill="D9D9D9"/>
          </w:tcPr>
          <w:p>
            <w:pPr>
              <w:jc w:val="center"/>
              <w:spacing w:after="0" w:line="262" w:lineRule="exact"/>
              <w:rPr>
                <w:sz w:val="20"/>
                <w:szCs w:val="20"/>
                <w:color w:val="auto"/>
              </w:rPr>
            </w:pPr>
            <w:r>
              <w:rPr>
                <w:rFonts w:ascii="Arial" w:cs="Arial" w:eastAsia="Arial" w:hAnsi="Arial"/>
                <w:sz w:val="18"/>
                <w:szCs w:val="18"/>
                <w:b w:val="1"/>
                <w:bCs w:val="1"/>
                <w:color w:val="auto"/>
                <w:w w:val="87"/>
              </w:rPr>
              <w:t>divestitures)</w:t>
            </w:r>
            <w:r>
              <w:rPr>
                <w:rFonts w:ascii="Arial" w:cs="Arial" w:eastAsia="Arial" w:hAnsi="Arial"/>
                <w:sz w:val="25"/>
                <w:szCs w:val="25"/>
                <w:b w:val="1"/>
                <w:bCs w:val="1"/>
                <w:color w:val="auto"/>
                <w:w w:val="87"/>
                <w:vertAlign w:val="superscript"/>
              </w:rPr>
              <w:t>9</w:t>
            </w:r>
          </w:p>
        </w:tc>
        <w:tc>
          <w:tcPr>
            <w:tcW w:w="2500" w:type="dxa"/>
            <w:vAlign w:val="bottom"/>
            <w:tcBorders>
              <w:bottom w:val="single" w:sz="8" w:color="auto"/>
              <w:right w:val="single" w:sz="8" w:color="auto"/>
            </w:tcBorders>
            <w:gridSpan w:val="2"/>
            <w:shd w:val="clear" w:color="auto" w:fill="D9D9D9"/>
          </w:tcPr>
          <w:p>
            <w:pPr>
              <w:jc w:val="center"/>
              <w:spacing w:after="0" w:line="262" w:lineRule="exact"/>
              <w:rPr>
                <w:sz w:val="20"/>
                <w:szCs w:val="20"/>
                <w:color w:val="auto"/>
              </w:rPr>
            </w:pPr>
            <w:r>
              <w:rPr>
                <w:rFonts w:ascii="Arial" w:cs="Arial" w:eastAsia="Arial" w:hAnsi="Arial"/>
                <w:sz w:val="18"/>
                <w:szCs w:val="18"/>
                <w:b w:val="1"/>
                <w:bCs w:val="1"/>
                <w:color w:val="auto"/>
                <w:w w:val="87"/>
              </w:rPr>
              <w:t>subscriber divestitures)</w:t>
            </w:r>
            <w:r>
              <w:rPr>
                <w:rFonts w:ascii="Arial" w:cs="Arial" w:eastAsia="Arial" w:hAnsi="Arial"/>
                <w:sz w:val="25"/>
                <w:szCs w:val="25"/>
                <w:b w:val="1"/>
                <w:bCs w:val="1"/>
                <w:color w:val="auto"/>
                <w:w w:val="87"/>
                <w:vertAlign w:val="superscript"/>
              </w:rPr>
              <w:t>10</w:t>
            </w:r>
          </w:p>
        </w:tc>
        <w:tc>
          <w:tcPr>
            <w:tcW w:w="0" w:type="dxa"/>
            <w:vAlign w:val="bottom"/>
          </w:tcPr>
          <w:p>
            <w:pPr>
              <w:spacing w:after="0"/>
              <w:rPr>
                <w:sz w:val="1"/>
                <w:szCs w:val="1"/>
                <w:color w:val="auto"/>
              </w:rPr>
            </w:pPr>
          </w:p>
        </w:tc>
      </w:tr>
      <w:tr>
        <w:trPr>
          <w:trHeight w:val="222"/>
        </w:trPr>
        <w:tc>
          <w:tcPr>
            <w:tcW w:w="1280" w:type="dxa"/>
            <w:vAlign w:val="bottom"/>
            <w:tcBorders>
              <w:left w:val="single" w:sz="8" w:color="auto"/>
              <w:right w:val="single" w:sz="8" w:color="auto"/>
            </w:tcBorders>
          </w:tcPr>
          <w:p>
            <w:pPr>
              <w:spacing w:after="0"/>
              <w:rPr>
                <w:sz w:val="19"/>
                <w:szCs w:val="19"/>
                <w:color w:val="auto"/>
              </w:rPr>
            </w:pPr>
          </w:p>
        </w:tc>
        <w:tc>
          <w:tcPr>
            <w:tcW w:w="1280" w:type="dxa"/>
            <w:vAlign w:val="bottom"/>
            <w:tcBorders>
              <w:right w:val="single" w:sz="8" w:color="auto"/>
            </w:tcBorders>
            <w:gridSpan w:val="2"/>
            <w:vMerge w:val="restart"/>
          </w:tcPr>
          <w:p>
            <w:pPr>
              <w:jc w:val="right"/>
              <w:ind w:right="350"/>
              <w:spacing w:after="0"/>
              <w:rPr>
                <w:sz w:val="20"/>
                <w:szCs w:val="20"/>
                <w:color w:val="auto"/>
              </w:rPr>
            </w:pPr>
            <w:r>
              <w:rPr>
                <w:rFonts w:ascii="Arial" w:cs="Arial" w:eastAsia="Arial" w:hAnsi="Arial"/>
                <w:sz w:val="18"/>
                <w:szCs w:val="18"/>
                <w:color w:val="auto"/>
              </w:rPr>
              <w:t>Fixed</w:t>
            </w:r>
          </w:p>
        </w:tc>
        <w:tc>
          <w:tcPr>
            <w:tcW w:w="128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1"/>
              </w:rPr>
              <w:t>Fixed and</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Fixed</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Fixed and</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Fixed</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Fixed and</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Fixed</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Fixed and</w:t>
            </w:r>
          </w:p>
        </w:tc>
        <w:tc>
          <w:tcPr>
            <w:tcW w:w="0" w:type="dxa"/>
            <w:vAlign w:val="bottom"/>
          </w:tcPr>
          <w:p>
            <w:pPr>
              <w:spacing w:after="0"/>
              <w:rPr>
                <w:sz w:val="1"/>
                <w:szCs w:val="1"/>
                <w:color w:val="auto"/>
              </w:rPr>
            </w:pPr>
          </w:p>
        </w:tc>
      </w:tr>
      <w:tr>
        <w:trPr>
          <w:trHeight w:val="108"/>
        </w:trPr>
        <w:tc>
          <w:tcPr>
            <w:tcW w:w="1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Timeframe</w:t>
            </w:r>
          </w:p>
        </w:tc>
        <w:tc>
          <w:tcPr>
            <w:tcW w:w="1280" w:type="dxa"/>
            <w:vAlign w:val="bottom"/>
            <w:tcBorders>
              <w:right w:val="single" w:sz="8" w:color="auto"/>
            </w:tcBorders>
            <w:gridSpan w:val="2"/>
            <w:vMerge w:val="continue"/>
          </w:tcPr>
          <w:p>
            <w:pPr>
              <w:spacing w:after="0"/>
              <w:rPr>
                <w:sz w:val="9"/>
                <w:szCs w:val="9"/>
                <w:color w:val="auto"/>
              </w:rPr>
            </w:pPr>
          </w:p>
        </w:tc>
        <w:tc>
          <w:tcPr>
            <w:tcW w:w="1280" w:type="dxa"/>
            <w:vAlign w:val="bottom"/>
            <w:tcBorders>
              <w:right w:val="single" w:sz="8" w:color="auto"/>
            </w:tcBorders>
            <w:gridSpan w:val="2"/>
            <w:vMerge w:val="restart"/>
          </w:tcPr>
          <w:p>
            <w:pPr>
              <w:ind w:left="360"/>
              <w:spacing w:after="0"/>
              <w:rPr>
                <w:sz w:val="20"/>
                <w:szCs w:val="20"/>
                <w:color w:val="auto"/>
              </w:rPr>
            </w:pPr>
            <w:r>
              <w:rPr>
                <w:rFonts w:ascii="Arial" w:cs="Arial" w:eastAsia="Arial" w:hAnsi="Arial"/>
                <w:sz w:val="18"/>
                <w:szCs w:val="18"/>
                <w:color w:val="auto"/>
              </w:rPr>
              <w:t>Mobile</w:t>
            </w:r>
          </w:p>
        </w:tc>
        <w:tc>
          <w:tcPr>
            <w:tcW w:w="1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Broadband</w:t>
            </w:r>
          </w:p>
        </w:tc>
        <w:tc>
          <w:tcPr>
            <w:tcW w:w="1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8"/>
              </w:rPr>
              <w:t>Mobile</w:t>
            </w:r>
          </w:p>
        </w:tc>
        <w:tc>
          <w:tcPr>
            <w:tcW w:w="1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Broadband</w:t>
            </w:r>
          </w:p>
        </w:tc>
        <w:tc>
          <w:tcPr>
            <w:tcW w:w="1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8"/>
              </w:rPr>
              <w:t>Mobile</w:t>
            </w:r>
          </w:p>
        </w:tc>
        <w:tc>
          <w:tcPr>
            <w:tcW w:w="1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Broadband</w:t>
            </w:r>
          </w:p>
        </w:tc>
        <w:tc>
          <w:tcPr>
            <w:tcW w:w="1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8"/>
              </w:rPr>
              <w:t>Mobile</w:t>
            </w:r>
          </w:p>
        </w:tc>
        <w:tc>
          <w:tcPr>
            <w:tcW w:w="0" w:type="dxa"/>
            <w:vAlign w:val="bottom"/>
          </w:tcPr>
          <w:p>
            <w:pPr>
              <w:spacing w:after="0"/>
              <w:rPr>
                <w:sz w:val="1"/>
                <w:szCs w:val="1"/>
                <w:color w:val="auto"/>
              </w:rPr>
            </w:pPr>
          </w:p>
        </w:tc>
      </w:tr>
      <w:tr>
        <w:trPr>
          <w:trHeight w:val="108"/>
        </w:trPr>
        <w:tc>
          <w:tcPr>
            <w:tcW w:w="1280" w:type="dxa"/>
            <w:vAlign w:val="bottom"/>
            <w:tcBorders>
              <w:left w:val="single" w:sz="8" w:color="auto"/>
              <w:right w:val="single" w:sz="8" w:color="auto"/>
            </w:tcBorders>
            <w:vMerge w:val="continue"/>
          </w:tcPr>
          <w:p>
            <w:pPr>
              <w:spacing w:after="0"/>
              <w:rPr>
                <w:sz w:val="9"/>
                <w:szCs w:val="9"/>
                <w:color w:val="auto"/>
              </w:rPr>
            </w:pPr>
          </w:p>
        </w:tc>
        <w:tc>
          <w:tcPr>
            <w:tcW w:w="1280" w:type="dxa"/>
            <w:vAlign w:val="bottom"/>
            <w:tcBorders>
              <w:right w:val="single" w:sz="8" w:color="auto"/>
            </w:tcBorders>
            <w:gridSpan w:val="2"/>
            <w:vMerge w:val="restart"/>
          </w:tcPr>
          <w:p>
            <w:pPr>
              <w:jc w:val="right"/>
              <w:spacing w:after="0"/>
              <w:rPr>
                <w:sz w:val="20"/>
                <w:szCs w:val="20"/>
                <w:color w:val="auto"/>
              </w:rPr>
            </w:pPr>
            <w:r>
              <w:rPr>
                <w:rFonts w:ascii="Arial" w:cs="Arial" w:eastAsia="Arial" w:hAnsi="Arial"/>
                <w:sz w:val="18"/>
                <w:szCs w:val="18"/>
                <w:color w:val="auto"/>
                <w:w w:val="92"/>
              </w:rPr>
              <w:t>Broadband Only</w:t>
            </w:r>
          </w:p>
        </w:tc>
        <w:tc>
          <w:tcPr>
            <w:tcW w:w="1280" w:type="dxa"/>
            <w:vAlign w:val="bottom"/>
            <w:tcBorders>
              <w:right w:val="single" w:sz="8" w:color="auto"/>
            </w:tcBorders>
            <w:gridSpan w:val="2"/>
            <w:vMerge w:val="continue"/>
          </w:tcPr>
          <w:p>
            <w:pPr>
              <w:spacing w:after="0"/>
              <w:rPr>
                <w:sz w:val="9"/>
                <w:szCs w:val="9"/>
                <w:color w:val="auto"/>
              </w:rPr>
            </w:pPr>
          </w:p>
        </w:tc>
        <w:tc>
          <w:tcPr>
            <w:tcW w:w="1260" w:type="dxa"/>
            <w:vAlign w:val="bottom"/>
            <w:tcBorders>
              <w:right w:val="single" w:sz="8" w:color="auto"/>
            </w:tcBorders>
            <w:vMerge w:val="continue"/>
          </w:tcPr>
          <w:p>
            <w:pPr>
              <w:spacing w:after="0"/>
              <w:rPr>
                <w:sz w:val="9"/>
                <w:szCs w:val="9"/>
                <w:color w:val="auto"/>
              </w:rPr>
            </w:pPr>
          </w:p>
        </w:tc>
        <w:tc>
          <w:tcPr>
            <w:tcW w:w="1280" w:type="dxa"/>
            <w:vAlign w:val="bottom"/>
            <w:tcBorders>
              <w:right w:val="single" w:sz="8" w:color="auto"/>
            </w:tcBorders>
            <w:vMerge w:val="continue"/>
          </w:tcPr>
          <w:p>
            <w:pPr>
              <w:spacing w:after="0"/>
              <w:rPr>
                <w:sz w:val="9"/>
                <w:szCs w:val="9"/>
                <w:color w:val="auto"/>
              </w:rPr>
            </w:pPr>
          </w:p>
        </w:tc>
        <w:tc>
          <w:tcPr>
            <w:tcW w:w="1260" w:type="dxa"/>
            <w:vAlign w:val="bottom"/>
            <w:tcBorders>
              <w:right w:val="single" w:sz="8" w:color="auto"/>
            </w:tcBorders>
            <w:vMerge w:val="continue"/>
          </w:tcPr>
          <w:p>
            <w:pPr>
              <w:spacing w:after="0"/>
              <w:rPr>
                <w:sz w:val="9"/>
                <w:szCs w:val="9"/>
                <w:color w:val="auto"/>
              </w:rPr>
            </w:pPr>
          </w:p>
        </w:tc>
        <w:tc>
          <w:tcPr>
            <w:tcW w:w="1280" w:type="dxa"/>
            <w:vAlign w:val="bottom"/>
            <w:tcBorders>
              <w:right w:val="single" w:sz="8" w:color="auto"/>
            </w:tcBorders>
            <w:vMerge w:val="continue"/>
          </w:tcPr>
          <w:p>
            <w:pPr>
              <w:spacing w:after="0"/>
              <w:rPr>
                <w:sz w:val="9"/>
                <w:szCs w:val="9"/>
                <w:color w:val="auto"/>
              </w:rPr>
            </w:pPr>
          </w:p>
        </w:tc>
        <w:tc>
          <w:tcPr>
            <w:tcW w:w="1260" w:type="dxa"/>
            <w:vAlign w:val="bottom"/>
            <w:tcBorders>
              <w:right w:val="single" w:sz="8" w:color="auto"/>
            </w:tcBorders>
            <w:vMerge w:val="continue"/>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280" w:type="dxa"/>
            <w:vAlign w:val="bottom"/>
            <w:tcBorders>
              <w:left w:val="single" w:sz="8" w:color="auto"/>
              <w:right w:val="single" w:sz="8" w:color="auto"/>
            </w:tcBorders>
          </w:tcPr>
          <w:p>
            <w:pPr>
              <w:spacing w:after="0"/>
              <w:rPr>
                <w:sz w:val="10"/>
                <w:szCs w:val="10"/>
                <w:color w:val="auto"/>
              </w:rPr>
            </w:pPr>
          </w:p>
        </w:tc>
        <w:tc>
          <w:tcPr>
            <w:tcW w:w="1280" w:type="dxa"/>
            <w:vAlign w:val="bottom"/>
            <w:tcBorders>
              <w:right w:val="single" w:sz="8" w:color="auto"/>
            </w:tcBorders>
            <w:gridSpan w:val="2"/>
            <w:vMerge w:val="continue"/>
          </w:tcPr>
          <w:p>
            <w:pPr>
              <w:spacing w:after="0"/>
              <w:rPr>
                <w:sz w:val="10"/>
                <w:szCs w:val="10"/>
                <w:color w:val="auto"/>
              </w:rPr>
            </w:pPr>
          </w:p>
        </w:tc>
        <w:tc>
          <w:tcPr>
            <w:tcW w:w="128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0"/>
              </w:rPr>
              <w:t>Broadband</w:t>
            </w:r>
          </w:p>
        </w:tc>
        <w:tc>
          <w:tcPr>
            <w:tcW w:w="1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Only</w:t>
            </w:r>
          </w:p>
        </w:tc>
        <w:tc>
          <w:tcPr>
            <w:tcW w:w="1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Broadband</w:t>
            </w:r>
          </w:p>
        </w:tc>
        <w:tc>
          <w:tcPr>
            <w:tcW w:w="1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Only</w:t>
            </w:r>
          </w:p>
        </w:tc>
        <w:tc>
          <w:tcPr>
            <w:tcW w:w="1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Broadband</w:t>
            </w:r>
          </w:p>
        </w:tc>
        <w:tc>
          <w:tcPr>
            <w:tcW w:w="1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Only</w:t>
            </w:r>
          </w:p>
        </w:tc>
        <w:tc>
          <w:tcPr>
            <w:tcW w:w="1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Broadband</w:t>
            </w:r>
          </w:p>
        </w:tc>
        <w:tc>
          <w:tcPr>
            <w:tcW w:w="0" w:type="dxa"/>
            <w:vAlign w:val="bottom"/>
          </w:tcPr>
          <w:p>
            <w:pPr>
              <w:spacing w:after="0"/>
              <w:rPr>
                <w:sz w:val="1"/>
                <w:szCs w:val="1"/>
                <w:color w:val="auto"/>
              </w:rPr>
            </w:pPr>
          </w:p>
        </w:tc>
      </w:tr>
      <w:tr>
        <w:trPr>
          <w:trHeight w:val="108"/>
        </w:trPr>
        <w:tc>
          <w:tcPr>
            <w:tcW w:w="1280" w:type="dxa"/>
            <w:vAlign w:val="bottom"/>
            <w:tcBorders>
              <w:left w:val="single" w:sz="8" w:color="auto"/>
              <w:right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tcBorders>
              <w:right w:val="single" w:sz="8" w:color="auto"/>
            </w:tcBorders>
          </w:tcPr>
          <w:p>
            <w:pPr>
              <w:spacing w:after="0"/>
              <w:rPr>
                <w:sz w:val="9"/>
                <w:szCs w:val="9"/>
                <w:color w:val="auto"/>
              </w:rPr>
            </w:pPr>
          </w:p>
        </w:tc>
        <w:tc>
          <w:tcPr>
            <w:tcW w:w="1280" w:type="dxa"/>
            <w:vAlign w:val="bottom"/>
            <w:tcBorders>
              <w:right w:val="single" w:sz="8" w:color="auto"/>
            </w:tcBorders>
            <w:gridSpan w:val="2"/>
            <w:vMerge w:val="continue"/>
          </w:tcPr>
          <w:p>
            <w:pPr>
              <w:spacing w:after="0"/>
              <w:rPr>
                <w:sz w:val="9"/>
                <w:szCs w:val="9"/>
                <w:color w:val="auto"/>
              </w:rPr>
            </w:pPr>
          </w:p>
        </w:tc>
        <w:tc>
          <w:tcPr>
            <w:tcW w:w="1260" w:type="dxa"/>
            <w:vAlign w:val="bottom"/>
            <w:tcBorders>
              <w:right w:val="single" w:sz="8" w:color="auto"/>
            </w:tcBorders>
            <w:vMerge w:val="continue"/>
          </w:tcPr>
          <w:p>
            <w:pPr>
              <w:spacing w:after="0"/>
              <w:rPr>
                <w:sz w:val="9"/>
                <w:szCs w:val="9"/>
                <w:color w:val="auto"/>
              </w:rPr>
            </w:pPr>
          </w:p>
        </w:tc>
        <w:tc>
          <w:tcPr>
            <w:tcW w:w="1280" w:type="dxa"/>
            <w:vAlign w:val="bottom"/>
            <w:tcBorders>
              <w:right w:val="single" w:sz="8" w:color="auto"/>
            </w:tcBorders>
            <w:vMerge w:val="continue"/>
          </w:tcPr>
          <w:p>
            <w:pPr>
              <w:spacing w:after="0"/>
              <w:rPr>
                <w:sz w:val="9"/>
                <w:szCs w:val="9"/>
                <w:color w:val="auto"/>
              </w:rPr>
            </w:pPr>
          </w:p>
        </w:tc>
        <w:tc>
          <w:tcPr>
            <w:tcW w:w="1260" w:type="dxa"/>
            <w:vAlign w:val="bottom"/>
            <w:tcBorders>
              <w:right w:val="single" w:sz="8" w:color="auto"/>
            </w:tcBorders>
            <w:vMerge w:val="continue"/>
          </w:tcPr>
          <w:p>
            <w:pPr>
              <w:spacing w:after="0"/>
              <w:rPr>
                <w:sz w:val="9"/>
                <w:szCs w:val="9"/>
                <w:color w:val="auto"/>
              </w:rPr>
            </w:pPr>
          </w:p>
        </w:tc>
        <w:tc>
          <w:tcPr>
            <w:tcW w:w="1280" w:type="dxa"/>
            <w:vAlign w:val="bottom"/>
            <w:tcBorders>
              <w:right w:val="single" w:sz="8" w:color="auto"/>
            </w:tcBorders>
            <w:vMerge w:val="continue"/>
          </w:tcPr>
          <w:p>
            <w:pPr>
              <w:spacing w:after="0"/>
              <w:rPr>
                <w:sz w:val="9"/>
                <w:szCs w:val="9"/>
                <w:color w:val="auto"/>
              </w:rPr>
            </w:pPr>
          </w:p>
        </w:tc>
        <w:tc>
          <w:tcPr>
            <w:tcW w:w="1260" w:type="dxa"/>
            <w:vAlign w:val="bottom"/>
            <w:tcBorders>
              <w:right w:val="single" w:sz="8" w:color="auto"/>
            </w:tcBorders>
            <w:vMerge w:val="continue"/>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280" w:type="dxa"/>
            <w:vAlign w:val="bottom"/>
            <w:tcBorders>
              <w:left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88"/>
              </w:rPr>
              <w:t>As of</w:t>
            </w:r>
          </w:p>
        </w:tc>
        <w:tc>
          <w:tcPr>
            <w:tcW w:w="560" w:type="dxa"/>
            <w:vAlign w:val="bottom"/>
            <w:shd w:val="clear" w:color="auto" w:fill="D9D9D9"/>
          </w:tcPr>
          <w:p>
            <w:pPr>
              <w:spacing w:after="0"/>
              <w:rPr>
                <w:sz w:val="18"/>
                <w:szCs w:val="18"/>
                <w:color w:val="auto"/>
              </w:rPr>
            </w:pPr>
          </w:p>
        </w:tc>
        <w:tc>
          <w:tcPr>
            <w:tcW w:w="720" w:type="dxa"/>
            <w:vAlign w:val="bottom"/>
            <w:tcBorders>
              <w:right w:val="single" w:sz="8" w:color="auto"/>
            </w:tcBorders>
            <w:shd w:val="clear" w:color="auto" w:fill="D9D9D9"/>
          </w:tcPr>
          <w:p>
            <w:pPr>
              <w:spacing w:after="0"/>
              <w:rPr>
                <w:sz w:val="18"/>
                <w:szCs w:val="18"/>
                <w:color w:val="auto"/>
              </w:rPr>
            </w:pPr>
          </w:p>
        </w:tc>
        <w:tc>
          <w:tcPr>
            <w:tcW w:w="560" w:type="dxa"/>
            <w:vAlign w:val="bottom"/>
            <w:shd w:val="clear" w:color="auto" w:fill="D9D9D9"/>
          </w:tcPr>
          <w:p>
            <w:pPr>
              <w:spacing w:after="0"/>
              <w:rPr>
                <w:sz w:val="18"/>
                <w:szCs w:val="18"/>
                <w:color w:val="auto"/>
              </w:rPr>
            </w:pPr>
          </w:p>
        </w:tc>
        <w:tc>
          <w:tcPr>
            <w:tcW w:w="720" w:type="dxa"/>
            <w:vAlign w:val="bottom"/>
            <w:tcBorders>
              <w:right w:val="single" w:sz="8" w:color="auto"/>
            </w:tcBorders>
            <w:shd w:val="clear" w:color="auto" w:fill="D9D9D9"/>
          </w:tcPr>
          <w:p>
            <w:pPr>
              <w:spacing w:after="0"/>
              <w:rPr>
                <w:sz w:val="18"/>
                <w:szCs w:val="18"/>
                <w:color w:val="auto"/>
              </w:rPr>
            </w:pPr>
          </w:p>
        </w:tc>
        <w:tc>
          <w:tcPr>
            <w:tcW w:w="1260" w:type="dxa"/>
            <w:vAlign w:val="bottom"/>
            <w:tcBorders>
              <w:right w:val="single" w:sz="8" w:color="auto"/>
            </w:tcBorders>
            <w:shd w:val="clear" w:color="auto" w:fill="D9D9D9"/>
          </w:tcPr>
          <w:p>
            <w:pPr>
              <w:spacing w:after="0"/>
              <w:rPr>
                <w:sz w:val="18"/>
                <w:szCs w:val="18"/>
                <w:color w:val="auto"/>
              </w:rPr>
            </w:pPr>
          </w:p>
        </w:tc>
        <w:tc>
          <w:tcPr>
            <w:tcW w:w="1280" w:type="dxa"/>
            <w:vAlign w:val="bottom"/>
            <w:tcBorders>
              <w:right w:val="single" w:sz="8" w:color="auto"/>
            </w:tcBorders>
            <w:shd w:val="clear" w:color="auto" w:fill="D9D9D9"/>
          </w:tcPr>
          <w:p>
            <w:pPr>
              <w:spacing w:after="0"/>
              <w:rPr>
                <w:sz w:val="18"/>
                <w:szCs w:val="18"/>
                <w:color w:val="auto"/>
              </w:rPr>
            </w:pPr>
          </w:p>
        </w:tc>
        <w:tc>
          <w:tcPr>
            <w:tcW w:w="1260" w:type="dxa"/>
            <w:vAlign w:val="bottom"/>
            <w:tcBorders>
              <w:right w:val="single" w:sz="8" w:color="auto"/>
            </w:tcBorders>
            <w:shd w:val="clear" w:color="auto" w:fill="D9D9D9"/>
          </w:tcPr>
          <w:p>
            <w:pPr>
              <w:spacing w:after="0"/>
              <w:rPr>
                <w:sz w:val="18"/>
                <w:szCs w:val="18"/>
                <w:color w:val="auto"/>
              </w:rPr>
            </w:pPr>
          </w:p>
        </w:tc>
        <w:tc>
          <w:tcPr>
            <w:tcW w:w="1280" w:type="dxa"/>
            <w:vAlign w:val="bottom"/>
            <w:tcBorders>
              <w:right w:val="single" w:sz="8" w:color="auto"/>
            </w:tcBorders>
            <w:shd w:val="clear" w:color="auto" w:fill="D9D9D9"/>
          </w:tcPr>
          <w:p>
            <w:pPr>
              <w:spacing w:after="0"/>
              <w:rPr>
                <w:sz w:val="18"/>
                <w:szCs w:val="18"/>
                <w:color w:val="auto"/>
              </w:rPr>
            </w:pPr>
          </w:p>
        </w:tc>
        <w:tc>
          <w:tcPr>
            <w:tcW w:w="1260" w:type="dxa"/>
            <w:vAlign w:val="bottom"/>
            <w:tcBorders>
              <w:right w:val="single" w:sz="8" w:color="auto"/>
            </w:tcBorders>
            <w:shd w:val="clear" w:color="auto" w:fill="D9D9D9"/>
          </w:tcPr>
          <w:p>
            <w:pPr>
              <w:spacing w:after="0"/>
              <w:rPr>
                <w:sz w:val="18"/>
                <w:szCs w:val="18"/>
                <w:color w:val="auto"/>
              </w:rPr>
            </w:pPr>
          </w:p>
        </w:tc>
        <w:tc>
          <w:tcPr>
            <w:tcW w:w="1240" w:type="dxa"/>
            <w:vAlign w:val="bottom"/>
            <w:tcBorders>
              <w:right w:val="single" w:sz="8" w:color="auto"/>
            </w:tcBorders>
            <w:shd w:val="clear" w:color="auto" w:fill="D9D9D9"/>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89"/>
              </w:rPr>
              <w:t>December</w:t>
            </w:r>
          </w:p>
        </w:tc>
        <w:tc>
          <w:tcPr>
            <w:tcW w:w="560" w:type="dxa"/>
            <w:vAlign w:val="bottom"/>
            <w:shd w:val="clear" w:color="auto" w:fill="D9D9D9"/>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right w:val="single" w:sz="8" w:color="auto"/>
            </w:tcBorders>
            <w:shd w:val="clear" w:color="auto" w:fill="D9D9D9"/>
          </w:tcPr>
          <w:p>
            <w:pPr>
              <w:jc w:val="right"/>
              <w:ind w:right="330"/>
              <w:spacing w:after="0"/>
              <w:rPr>
                <w:sz w:val="20"/>
                <w:szCs w:val="20"/>
                <w:color w:val="auto"/>
              </w:rPr>
            </w:pPr>
            <w:r>
              <w:rPr>
                <w:rFonts w:ascii="Arial" w:cs="Arial" w:eastAsia="Arial" w:hAnsi="Arial"/>
                <w:sz w:val="18"/>
                <w:szCs w:val="18"/>
                <w:b w:val="1"/>
                <w:bCs w:val="1"/>
                <w:color w:val="auto"/>
                <w:w w:val="99"/>
              </w:rPr>
              <w:t>]]</w:t>
            </w:r>
            <w:r>
              <w:rPr>
                <w:rFonts w:ascii="Arial" w:cs="Arial" w:eastAsia="Arial" w:hAnsi="Arial"/>
                <w:sz w:val="18"/>
                <w:szCs w:val="18"/>
                <w:color w:val="auto"/>
                <w:w w:val="99"/>
              </w:rPr>
              <w:t>%</w:t>
            </w:r>
          </w:p>
        </w:tc>
        <w:tc>
          <w:tcPr>
            <w:tcW w:w="560" w:type="dxa"/>
            <w:vAlign w:val="bottom"/>
            <w:shd w:val="clear" w:color="auto" w:fill="D9D9D9"/>
          </w:tcPr>
          <w:p>
            <w:pPr>
              <w:ind w:left="380"/>
              <w:spacing w:after="0"/>
              <w:rPr>
                <w:sz w:val="20"/>
                <w:szCs w:val="20"/>
                <w:color w:val="auto"/>
              </w:rPr>
            </w:pPr>
            <w:r>
              <w:rPr>
                <w:rFonts w:ascii="Arial" w:cs="Arial" w:eastAsia="Arial" w:hAnsi="Arial"/>
                <w:sz w:val="18"/>
                <w:szCs w:val="18"/>
                <w:b w:val="1"/>
                <w:bCs w:val="1"/>
                <w:color w:val="auto"/>
              </w:rPr>
              <w:t>[[</w:t>
            </w:r>
          </w:p>
        </w:tc>
        <w:tc>
          <w:tcPr>
            <w:tcW w:w="720" w:type="dxa"/>
            <w:vAlign w:val="bottom"/>
            <w:tcBorders>
              <w:right w:val="single" w:sz="8" w:color="auto"/>
            </w:tcBorders>
            <w:shd w:val="clear" w:color="auto" w:fill="D9D9D9"/>
          </w:tcPr>
          <w:p>
            <w:pPr>
              <w:jc w:val="right"/>
              <w:ind w:right="330"/>
              <w:spacing w:after="0"/>
              <w:rPr>
                <w:sz w:val="20"/>
                <w:szCs w:val="20"/>
                <w:color w:val="auto"/>
              </w:rPr>
            </w:pPr>
            <w:r>
              <w:rPr>
                <w:rFonts w:ascii="Arial" w:cs="Arial" w:eastAsia="Arial" w:hAnsi="Arial"/>
                <w:sz w:val="18"/>
                <w:szCs w:val="18"/>
                <w:b w:val="1"/>
                <w:bCs w:val="1"/>
                <w:color w:val="auto"/>
                <w:w w:val="99"/>
              </w:rPr>
              <w:t>]]</w:t>
            </w:r>
            <w:r>
              <w:rPr>
                <w:rFonts w:ascii="Arial" w:cs="Arial" w:eastAsia="Arial" w:hAnsi="Arial"/>
                <w:sz w:val="18"/>
                <w:szCs w:val="18"/>
                <w:color w:val="auto"/>
                <w:w w:val="99"/>
              </w:rPr>
              <w:t>%</w:t>
            </w:r>
          </w:p>
        </w:tc>
        <w:tc>
          <w:tcPr>
            <w:tcW w:w="126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3"/>
              </w:rPr>
              <w:t>42.7%</w:t>
            </w:r>
          </w:p>
        </w:tc>
        <w:tc>
          <w:tcPr>
            <w:tcW w:w="128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0"/>
              </w:rPr>
              <w:t>21.5%</w:t>
            </w:r>
          </w:p>
        </w:tc>
        <w:tc>
          <w:tcPr>
            <w:tcW w:w="126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0"/>
              </w:rPr>
              <w:t>39.5%</w:t>
            </w:r>
          </w:p>
        </w:tc>
        <w:tc>
          <w:tcPr>
            <w:tcW w:w="128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0"/>
              </w:rPr>
              <w:t>19.9%</w:t>
            </w:r>
          </w:p>
        </w:tc>
        <w:tc>
          <w:tcPr>
            <w:tcW w:w="126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0"/>
              </w:rPr>
              <w:t>37.1%</w:t>
            </w:r>
          </w:p>
        </w:tc>
        <w:tc>
          <w:tcPr>
            <w:tcW w:w="124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0"/>
              </w:rPr>
              <w:t>18.6%</w:t>
            </w:r>
          </w:p>
        </w:tc>
        <w:tc>
          <w:tcPr>
            <w:tcW w:w="0" w:type="dxa"/>
            <w:vAlign w:val="bottom"/>
          </w:tcPr>
          <w:p>
            <w:pPr>
              <w:spacing w:after="0"/>
              <w:rPr>
                <w:sz w:val="1"/>
                <w:szCs w:val="1"/>
                <w:color w:val="auto"/>
              </w:rPr>
            </w:pPr>
          </w:p>
        </w:tc>
      </w:tr>
      <w:tr>
        <w:trPr>
          <w:trHeight w:val="266"/>
        </w:trPr>
        <w:tc>
          <w:tcPr>
            <w:tcW w:w="1280" w:type="dxa"/>
            <w:vAlign w:val="bottom"/>
            <w:tcBorders>
              <w:left w:val="single" w:sz="8" w:color="auto"/>
              <w:bottom w:val="single" w:sz="8" w:color="D9D9D9"/>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89"/>
              </w:rPr>
              <w:t>2012</w:t>
            </w:r>
          </w:p>
        </w:tc>
        <w:tc>
          <w:tcPr>
            <w:tcW w:w="560" w:type="dxa"/>
            <w:vAlign w:val="bottom"/>
            <w:tcBorders>
              <w:bottom w:val="single" w:sz="8" w:color="D9D9D9"/>
            </w:tcBorders>
            <w:shd w:val="clear" w:color="auto" w:fill="D9D9D9"/>
          </w:tcPr>
          <w:p>
            <w:pPr>
              <w:spacing w:after="0"/>
              <w:rPr>
                <w:sz w:val="22"/>
                <w:szCs w:val="22"/>
                <w:color w:val="auto"/>
              </w:rPr>
            </w:pPr>
          </w:p>
        </w:tc>
        <w:tc>
          <w:tcPr>
            <w:tcW w:w="720" w:type="dxa"/>
            <w:vAlign w:val="bottom"/>
            <w:tcBorders>
              <w:bottom w:val="single" w:sz="8" w:color="D9D9D9"/>
              <w:right w:val="single" w:sz="8" w:color="auto"/>
            </w:tcBorders>
            <w:shd w:val="clear" w:color="auto" w:fill="D9D9D9"/>
          </w:tcPr>
          <w:p>
            <w:pPr>
              <w:spacing w:after="0"/>
              <w:rPr>
                <w:sz w:val="22"/>
                <w:szCs w:val="22"/>
                <w:color w:val="auto"/>
              </w:rPr>
            </w:pPr>
          </w:p>
        </w:tc>
        <w:tc>
          <w:tcPr>
            <w:tcW w:w="560" w:type="dxa"/>
            <w:vAlign w:val="bottom"/>
            <w:tcBorders>
              <w:bottom w:val="single" w:sz="8" w:color="D9D9D9"/>
            </w:tcBorders>
            <w:shd w:val="clear" w:color="auto" w:fill="D9D9D9"/>
          </w:tcPr>
          <w:p>
            <w:pPr>
              <w:spacing w:after="0"/>
              <w:rPr>
                <w:sz w:val="22"/>
                <w:szCs w:val="22"/>
                <w:color w:val="auto"/>
              </w:rPr>
            </w:pPr>
          </w:p>
        </w:tc>
        <w:tc>
          <w:tcPr>
            <w:tcW w:w="720" w:type="dxa"/>
            <w:vAlign w:val="bottom"/>
            <w:tcBorders>
              <w:bottom w:val="single" w:sz="8" w:color="D9D9D9"/>
              <w:right w:val="single" w:sz="8" w:color="auto"/>
            </w:tcBorders>
            <w:shd w:val="clear" w:color="auto" w:fill="D9D9D9"/>
          </w:tcPr>
          <w:p>
            <w:pPr>
              <w:spacing w:after="0"/>
              <w:rPr>
                <w:sz w:val="22"/>
                <w:szCs w:val="22"/>
                <w:color w:val="auto"/>
              </w:rPr>
            </w:pPr>
          </w:p>
        </w:tc>
        <w:tc>
          <w:tcPr>
            <w:tcW w:w="1260" w:type="dxa"/>
            <w:vAlign w:val="bottom"/>
            <w:tcBorders>
              <w:bottom w:val="single" w:sz="8" w:color="D9D9D9"/>
              <w:right w:val="single" w:sz="8" w:color="auto"/>
            </w:tcBorders>
            <w:shd w:val="clear" w:color="auto" w:fill="D9D9D9"/>
          </w:tcPr>
          <w:p>
            <w:pPr>
              <w:spacing w:after="0"/>
              <w:rPr>
                <w:sz w:val="22"/>
                <w:szCs w:val="22"/>
                <w:color w:val="auto"/>
              </w:rPr>
            </w:pPr>
          </w:p>
        </w:tc>
        <w:tc>
          <w:tcPr>
            <w:tcW w:w="1280" w:type="dxa"/>
            <w:vAlign w:val="bottom"/>
            <w:tcBorders>
              <w:bottom w:val="single" w:sz="8" w:color="D9D9D9"/>
              <w:right w:val="single" w:sz="8" w:color="auto"/>
            </w:tcBorders>
            <w:shd w:val="clear" w:color="auto" w:fill="D9D9D9"/>
          </w:tcPr>
          <w:p>
            <w:pPr>
              <w:spacing w:after="0"/>
              <w:rPr>
                <w:sz w:val="22"/>
                <w:szCs w:val="22"/>
                <w:color w:val="auto"/>
              </w:rPr>
            </w:pPr>
          </w:p>
        </w:tc>
        <w:tc>
          <w:tcPr>
            <w:tcW w:w="1260" w:type="dxa"/>
            <w:vAlign w:val="bottom"/>
            <w:tcBorders>
              <w:bottom w:val="single" w:sz="8" w:color="D9D9D9"/>
              <w:right w:val="single" w:sz="8" w:color="auto"/>
            </w:tcBorders>
            <w:shd w:val="clear" w:color="auto" w:fill="D9D9D9"/>
          </w:tcPr>
          <w:p>
            <w:pPr>
              <w:spacing w:after="0"/>
              <w:rPr>
                <w:sz w:val="22"/>
                <w:szCs w:val="22"/>
                <w:color w:val="auto"/>
              </w:rPr>
            </w:pPr>
          </w:p>
        </w:tc>
        <w:tc>
          <w:tcPr>
            <w:tcW w:w="1280" w:type="dxa"/>
            <w:vAlign w:val="bottom"/>
            <w:tcBorders>
              <w:bottom w:val="single" w:sz="8" w:color="D9D9D9"/>
              <w:right w:val="single" w:sz="8" w:color="auto"/>
            </w:tcBorders>
            <w:shd w:val="clear" w:color="auto" w:fill="D9D9D9"/>
          </w:tcPr>
          <w:p>
            <w:pPr>
              <w:spacing w:after="0"/>
              <w:rPr>
                <w:sz w:val="22"/>
                <w:szCs w:val="22"/>
                <w:color w:val="auto"/>
              </w:rPr>
            </w:pPr>
          </w:p>
        </w:tc>
        <w:tc>
          <w:tcPr>
            <w:tcW w:w="1260" w:type="dxa"/>
            <w:vAlign w:val="bottom"/>
            <w:tcBorders>
              <w:bottom w:val="single" w:sz="8" w:color="D9D9D9"/>
              <w:right w:val="single" w:sz="8" w:color="auto"/>
            </w:tcBorders>
            <w:shd w:val="clear" w:color="auto" w:fill="D9D9D9"/>
          </w:tcPr>
          <w:p>
            <w:pPr>
              <w:spacing w:after="0"/>
              <w:rPr>
                <w:sz w:val="22"/>
                <w:szCs w:val="22"/>
                <w:color w:val="auto"/>
              </w:rPr>
            </w:pPr>
          </w:p>
        </w:tc>
        <w:tc>
          <w:tcPr>
            <w:tcW w:w="1240" w:type="dxa"/>
            <w:vAlign w:val="bottom"/>
            <w:tcBorders>
              <w:bottom w:val="single" w:sz="8" w:color="D9D9D9"/>
              <w:right w:val="single" w:sz="8" w:color="auto"/>
            </w:tcBorders>
            <w:shd w:val="clear" w:color="auto" w:fill="D9D9D9"/>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1280" w:type="dxa"/>
            <w:vAlign w:val="bottom"/>
            <w:tcBorders>
              <w:top w:val="single" w:sz="8" w:color="auto"/>
              <w:left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86"/>
              </w:rPr>
              <w:t>As of June</w:t>
            </w:r>
          </w:p>
        </w:tc>
        <w:tc>
          <w:tcPr>
            <w:tcW w:w="560" w:type="dxa"/>
            <w:vAlign w:val="bottom"/>
            <w:tcBorders>
              <w:top w:val="single" w:sz="8" w:color="auto"/>
            </w:tcBorders>
            <w:vMerge w:val="restart"/>
            <w:shd w:val="clear" w:color="auto" w:fill="D9D9D9"/>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top w:val="single" w:sz="8" w:color="auto"/>
              <w:right w:val="single" w:sz="8" w:color="auto"/>
            </w:tcBorders>
            <w:vMerge w:val="restart"/>
            <w:shd w:val="clear" w:color="auto" w:fill="D9D9D9"/>
          </w:tcPr>
          <w:p>
            <w:pPr>
              <w:jc w:val="right"/>
              <w:ind w:right="330"/>
              <w:spacing w:after="0"/>
              <w:rPr>
                <w:sz w:val="20"/>
                <w:szCs w:val="20"/>
                <w:color w:val="auto"/>
              </w:rPr>
            </w:pPr>
            <w:r>
              <w:rPr>
                <w:rFonts w:ascii="Arial" w:cs="Arial" w:eastAsia="Arial" w:hAnsi="Arial"/>
                <w:sz w:val="18"/>
                <w:szCs w:val="18"/>
                <w:b w:val="1"/>
                <w:bCs w:val="1"/>
                <w:color w:val="auto"/>
                <w:w w:val="99"/>
              </w:rPr>
              <w:t>]]</w:t>
            </w:r>
            <w:r>
              <w:rPr>
                <w:rFonts w:ascii="Arial" w:cs="Arial" w:eastAsia="Arial" w:hAnsi="Arial"/>
                <w:sz w:val="18"/>
                <w:szCs w:val="18"/>
                <w:color w:val="auto"/>
                <w:w w:val="99"/>
              </w:rPr>
              <w:t>%</w:t>
            </w:r>
          </w:p>
        </w:tc>
        <w:tc>
          <w:tcPr>
            <w:tcW w:w="560" w:type="dxa"/>
            <w:vAlign w:val="bottom"/>
            <w:tcBorders>
              <w:top w:val="single" w:sz="8" w:color="auto"/>
            </w:tcBorders>
            <w:vMerge w:val="restart"/>
            <w:shd w:val="clear" w:color="auto" w:fill="D9D9D9"/>
          </w:tcPr>
          <w:p>
            <w:pPr>
              <w:ind w:left="380"/>
              <w:spacing w:after="0"/>
              <w:rPr>
                <w:sz w:val="20"/>
                <w:szCs w:val="20"/>
                <w:color w:val="auto"/>
              </w:rPr>
            </w:pPr>
            <w:r>
              <w:rPr>
                <w:rFonts w:ascii="Arial" w:cs="Arial" w:eastAsia="Arial" w:hAnsi="Arial"/>
                <w:sz w:val="18"/>
                <w:szCs w:val="18"/>
                <w:b w:val="1"/>
                <w:bCs w:val="1"/>
                <w:color w:val="auto"/>
              </w:rPr>
              <w:t>[[</w:t>
            </w:r>
          </w:p>
        </w:tc>
        <w:tc>
          <w:tcPr>
            <w:tcW w:w="720" w:type="dxa"/>
            <w:vAlign w:val="bottom"/>
            <w:tcBorders>
              <w:top w:val="single" w:sz="8" w:color="auto"/>
              <w:right w:val="single" w:sz="8" w:color="auto"/>
            </w:tcBorders>
            <w:vMerge w:val="restart"/>
            <w:shd w:val="clear" w:color="auto" w:fill="D9D9D9"/>
          </w:tcPr>
          <w:p>
            <w:pPr>
              <w:jc w:val="right"/>
              <w:ind w:right="330"/>
              <w:spacing w:after="0"/>
              <w:rPr>
                <w:sz w:val="20"/>
                <w:szCs w:val="20"/>
                <w:color w:val="auto"/>
              </w:rPr>
            </w:pPr>
            <w:r>
              <w:rPr>
                <w:rFonts w:ascii="Arial" w:cs="Arial" w:eastAsia="Arial" w:hAnsi="Arial"/>
                <w:sz w:val="18"/>
                <w:szCs w:val="18"/>
                <w:b w:val="1"/>
                <w:bCs w:val="1"/>
                <w:color w:val="auto"/>
                <w:w w:val="99"/>
              </w:rPr>
              <w:t>]]</w:t>
            </w:r>
            <w:r>
              <w:rPr>
                <w:rFonts w:ascii="Arial" w:cs="Arial" w:eastAsia="Arial" w:hAnsi="Arial"/>
                <w:sz w:val="18"/>
                <w:szCs w:val="18"/>
                <w:color w:val="auto"/>
                <w:w w:val="99"/>
              </w:rPr>
              <w:t>%</w:t>
            </w:r>
          </w:p>
        </w:tc>
        <w:tc>
          <w:tcPr>
            <w:tcW w:w="1260" w:type="dxa"/>
            <w:vAlign w:val="bottom"/>
            <w:tcBorders>
              <w:top w:val="single" w:sz="8" w:color="auto"/>
              <w:right w:val="single" w:sz="8" w:color="auto"/>
            </w:tcBorders>
            <w:vMerge w:val="restart"/>
            <w:shd w:val="clear" w:color="auto" w:fill="D9D9D9"/>
          </w:tcPr>
          <w:p>
            <w:pPr>
              <w:jc w:val="center"/>
              <w:spacing w:after="0"/>
              <w:rPr>
                <w:sz w:val="20"/>
                <w:szCs w:val="20"/>
                <w:color w:val="auto"/>
              </w:rPr>
            </w:pPr>
            <w:r>
              <w:rPr>
                <w:rFonts w:ascii="Arial" w:cs="Arial" w:eastAsia="Arial" w:hAnsi="Arial"/>
                <w:sz w:val="18"/>
                <w:szCs w:val="18"/>
                <w:color w:val="auto"/>
                <w:w w:val="93"/>
              </w:rPr>
              <w:t>40.7%</w:t>
            </w:r>
          </w:p>
        </w:tc>
        <w:tc>
          <w:tcPr>
            <w:tcW w:w="1280" w:type="dxa"/>
            <w:vAlign w:val="bottom"/>
            <w:tcBorders>
              <w:top w:val="single" w:sz="8" w:color="auto"/>
              <w:right w:val="single" w:sz="8" w:color="auto"/>
            </w:tcBorders>
            <w:vMerge w:val="restart"/>
            <w:shd w:val="clear" w:color="auto" w:fill="D9D9D9"/>
          </w:tcPr>
          <w:p>
            <w:pPr>
              <w:jc w:val="center"/>
              <w:spacing w:after="0"/>
              <w:rPr>
                <w:sz w:val="20"/>
                <w:szCs w:val="20"/>
                <w:color w:val="auto"/>
              </w:rPr>
            </w:pPr>
            <w:r>
              <w:rPr>
                <w:rFonts w:ascii="Arial" w:cs="Arial" w:eastAsia="Arial" w:hAnsi="Arial"/>
                <w:sz w:val="18"/>
                <w:szCs w:val="18"/>
                <w:color w:val="auto"/>
                <w:w w:val="90"/>
              </w:rPr>
              <w:t>17.5%</w:t>
            </w:r>
          </w:p>
        </w:tc>
        <w:tc>
          <w:tcPr>
            <w:tcW w:w="1260" w:type="dxa"/>
            <w:vAlign w:val="bottom"/>
            <w:tcBorders>
              <w:top w:val="single" w:sz="8" w:color="auto"/>
              <w:right w:val="single" w:sz="8" w:color="auto"/>
            </w:tcBorders>
            <w:vMerge w:val="restart"/>
            <w:shd w:val="clear" w:color="auto" w:fill="D9D9D9"/>
          </w:tcPr>
          <w:p>
            <w:pPr>
              <w:jc w:val="center"/>
              <w:spacing w:after="0"/>
              <w:rPr>
                <w:sz w:val="20"/>
                <w:szCs w:val="20"/>
                <w:color w:val="auto"/>
              </w:rPr>
            </w:pPr>
            <w:r>
              <w:rPr>
                <w:rFonts w:ascii="Arial" w:cs="Arial" w:eastAsia="Arial" w:hAnsi="Arial"/>
                <w:sz w:val="18"/>
                <w:szCs w:val="18"/>
                <w:color w:val="auto"/>
                <w:w w:val="90"/>
              </w:rPr>
              <w:t>37.7%</w:t>
            </w:r>
          </w:p>
        </w:tc>
        <w:tc>
          <w:tcPr>
            <w:tcW w:w="1280" w:type="dxa"/>
            <w:vAlign w:val="bottom"/>
            <w:tcBorders>
              <w:top w:val="single" w:sz="8" w:color="auto"/>
              <w:right w:val="single" w:sz="8" w:color="auto"/>
            </w:tcBorders>
            <w:vMerge w:val="restart"/>
            <w:shd w:val="clear" w:color="auto" w:fill="D9D9D9"/>
          </w:tcPr>
          <w:p>
            <w:pPr>
              <w:jc w:val="center"/>
              <w:spacing w:after="0"/>
              <w:rPr>
                <w:sz w:val="20"/>
                <w:szCs w:val="20"/>
                <w:color w:val="auto"/>
              </w:rPr>
            </w:pPr>
            <w:r>
              <w:rPr>
                <w:rFonts w:ascii="Arial" w:cs="Arial" w:eastAsia="Arial" w:hAnsi="Arial"/>
                <w:sz w:val="18"/>
                <w:szCs w:val="18"/>
                <w:color w:val="auto"/>
                <w:w w:val="90"/>
              </w:rPr>
              <w:t>16.2%</w:t>
            </w:r>
          </w:p>
        </w:tc>
        <w:tc>
          <w:tcPr>
            <w:tcW w:w="1260" w:type="dxa"/>
            <w:vAlign w:val="bottom"/>
            <w:tcBorders>
              <w:top w:val="single" w:sz="8" w:color="auto"/>
              <w:right w:val="single" w:sz="8" w:color="auto"/>
            </w:tcBorders>
            <w:vMerge w:val="restart"/>
            <w:shd w:val="clear" w:color="auto" w:fill="D9D9D9"/>
          </w:tcPr>
          <w:p>
            <w:pPr>
              <w:jc w:val="center"/>
              <w:spacing w:after="0"/>
              <w:rPr>
                <w:sz w:val="20"/>
                <w:szCs w:val="20"/>
                <w:color w:val="auto"/>
              </w:rPr>
            </w:pPr>
            <w:r>
              <w:rPr>
                <w:rFonts w:ascii="Arial" w:cs="Arial" w:eastAsia="Arial" w:hAnsi="Arial"/>
                <w:sz w:val="18"/>
                <w:szCs w:val="18"/>
                <w:color w:val="auto"/>
                <w:w w:val="90"/>
              </w:rPr>
              <w:t>35.5%</w:t>
            </w:r>
          </w:p>
        </w:tc>
        <w:tc>
          <w:tcPr>
            <w:tcW w:w="1240" w:type="dxa"/>
            <w:vAlign w:val="bottom"/>
            <w:tcBorders>
              <w:top w:val="single" w:sz="8" w:color="auto"/>
              <w:right w:val="single" w:sz="8" w:color="auto"/>
            </w:tcBorders>
            <w:vMerge w:val="restart"/>
            <w:shd w:val="clear" w:color="auto" w:fill="D9D9D9"/>
          </w:tcPr>
          <w:p>
            <w:pPr>
              <w:jc w:val="center"/>
              <w:spacing w:after="0"/>
              <w:rPr>
                <w:sz w:val="20"/>
                <w:szCs w:val="20"/>
                <w:color w:val="auto"/>
              </w:rPr>
            </w:pPr>
            <w:r>
              <w:rPr>
                <w:rFonts w:ascii="Arial" w:cs="Arial" w:eastAsia="Arial" w:hAnsi="Arial"/>
                <w:sz w:val="18"/>
                <w:szCs w:val="18"/>
                <w:color w:val="auto"/>
                <w:w w:val="90"/>
              </w:rPr>
              <w:t>15.3%</w:t>
            </w:r>
          </w:p>
        </w:tc>
        <w:tc>
          <w:tcPr>
            <w:tcW w:w="0" w:type="dxa"/>
            <w:vAlign w:val="bottom"/>
          </w:tcPr>
          <w:p>
            <w:pPr>
              <w:spacing w:after="0"/>
              <w:rPr>
                <w:sz w:val="1"/>
                <w:szCs w:val="1"/>
                <w:color w:val="auto"/>
              </w:rPr>
            </w:pPr>
          </w:p>
        </w:tc>
      </w:tr>
      <w:tr>
        <w:trPr>
          <w:trHeight w:val="126"/>
        </w:trPr>
        <w:tc>
          <w:tcPr>
            <w:tcW w:w="1280" w:type="dxa"/>
            <w:vAlign w:val="bottom"/>
            <w:tcBorders>
              <w:left w:val="single" w:sz="8" w:color="auto"/>
              <w:right w:val="single" w:sz="8" w:color="auto"/>
            </w:tcBorders>
            <w:vMerge w:val="restart"/>
            <w:shd w:val="clear" w:color="auto" w:fill="D9D9D9"/>
          </w:tcPr>
          <w:p>
            <w:pPr>
              <w:jc w:val="center"/>
              <w:spacing w:after="0"/>
              <w:rPr>
                <w:sz w:val="20"/>
                <w:szCs w:val="20"/>
                <w:color w:val="auto"/>
              </w:rPr>
            </w:pPr>
            <w:r>
              <w:rPr>
                <w:rFonts w:ascii="Arial" w:cs="Arial" w:eastAsia="Arial" w:hAnsi="Arial"/>
                <w:sz w:val="18"/>
                <w:szCs w:val="18"/>
                <w:b w:val="1"/>
                <w:bCs w:val="1"/>
                <w:color w:val="auto"/>
                <w:w w:val="89"/>
              </w:rPr>
              <w:t>2013</w:t>
            </w:r>
          </w:p>
        </w:tc>
        <w:tc>
          <w:tcPr>
            <w:tcW w:w="560" w:type="dxa"/>
            <w:vAlign w:val="bottom"/>
            <w:vMerge w:val="continue"/>
            <w:shd w:val="clear" w:color="auto" w:fill="D9D9D9"/>
          </w:tcPr>
          <w:p>
            <w:pPr>
              <w:spacing w:after="0"/>
              <w:rPr>
                <w:sz w:val="10"/>
                <w:szCs w:val="10"/>
                <w:color w:val="auto"/>
              </w:rPr>
            </w:pPr>
          </w:p>
        </w:tc>
        <w:tc>
          <w:tcPr>
            <w:tcW w:w="720" w:type="dxa"/>
            <w:vAlign w:val="bottom"/>
            <w:tcBorders>
              <w:right w:val="single" w:sz="8" w:color="auto"/>
            </w:tcBorders>
            <w:vMerge w:val="continue"/>
            <w:shd w:val="clear" w:color="auto" w:fill="D9D9D9"/>
          </w:tcPr>
          <w:p>
            <w:pPr>
              <w:spacing w:after="0"/>
              <w:rPr>
                <w:sz w:val="10"/>
                <w:szCs w:val="10"/>
                <w:color w:val="auto"/>
              </w:rPr>
            </w:pPr>
          </w:p>
        </w:tc>
        <w:tc>
          <w:tcPr>
            <w:tcW w:w="560" w:type="dxa"/>
            <w:vAlign w:val="bottom"/>
            <w:vMerge w:val="continue"/>
            <w:shd w:val="clear" w:color="auto" w:fill="D9D9D9"/>
          </w:tcPr>
          <w:p>
            <w:pPr>
              <w:spacing w:after="0"/>
              <w:rPr>
                <w:sz w:val="10"/>
                <w:szCs w:val="10"/>
                <w:color w:val="auto"/>
              </w:rPr>
            </w:pPr>
          </w:p>
        </w:tc>
        <w:tc>
          <w:tcPr>
            <w:tcW w:w="720" w:type="dxa"/>
            <w:vAlign w:val="bottom"/>
            <w:tcBorders>
              <w:right w:val="single" w:sz="8" w:color="auto"/>
            </w:tcBorders>
            <w:vMerge w:val="continue"/>
            <w:shd w:val="clear" w:color="auto" w:fill="D9D9D9"/>
          </w:tcPr>
          <w:p>
            <w:pPr>
              <w:spacing w:after="0"/>
              <w:rPr>
                <w:sz w:val="10"/>
                <w:szCs w:val="10"/>
                <w:color w:val="auto"/>
              </w:rPr>
            </w:pPr>
          </w:p>
        </w:tc>
        <w:tc>
          <w:tcPr>
            <w:tcW w:w="1260" w:type="dxa"/>
            <w:vAlign w:val="bottom"/>
            <w:tcBorders>
              <w:right w:val="single" w:sz="8" w:color="auto"/>
            </w:tcBorders>
            <w:vMerge w:val="continue"/>
            <w:shd w:val="clear" w:color="auto" w:fill="D9D9D9"/>
          </w:tcPr>
          <w:p>
            <w:pPr>
              <w:spacing w:after="0"/>
              <w:rPr>
                <w:sz w:val="10"/>
                <w:szCs w:val="10"/>
                <w:color w:val="auto"/>
              </w:rPr>
            </w:pPr>
          </w:p>
        </w:tc>
        <w:tc>
          <w:tcPr>
            <w:tcW w:w="1280" w:type="dxa"/>
            <w:vAlign w:val="bottom"/>
            <w:tcBorders>
              <w:right w:val="single" w:sz="8" w:color="auto"/>
            </w:tcBorders>
            <w:vMerge w:val="continue"/>
            <w:shd w:val="clear" w:color="auto" w:fill="D9D9D9"/>
          </w:tcPr>
          <w:p>
            <w:pPr>
              <w:spacing w:after="0"/>
              <w:rPr>
                <w:sz w:val="10"/>
                <w:szCs w:val="10"/>
                <w:color w:val="auto"/>
              </w:rPr>
            </w:pPr>
          </w:p>
        </w:tc>
        <w:tc>
          <w:tcPr>
            <w:tcW w:w="1260" w:type="dxa"/>
            <w:vAlign w:val="bottom"/>
            <w:tcBorders>
              <w:right w:val="single" w:sz="8" w:color="auto"/>
            </w:tcBorders>
            <w:vMerge w:val="continue"/>
            <w:shd w:val="clear" w:color="auto" w:fill="D9D9D9"/>
          </w:tcPr>
          <w:p>
            <w:pPr>
              <w:spacing w:after="0"/>
              <w:rPr>
                <w:sz w:val="10"/>
                <w:szCs w:val="10"/>
                <w:color w:val="auto"/>
              </w:rPr>
            </w:pPr>
          </w:p>
        </w:tc>
        <w:tc>
          <w:tcPr>
            <w:tcW w:w="1280" w:type="dxa"/>
            <w:vAlign w:val="bottom"/>
            <w:tcBorders>
              <w:right w:val="single" w:sz="8" w:color="auto"/>
            </w:tcBorders>
            <w:vMerge w:val="continue"/>
            <w:shd w:val="clear" w:color="auto" w:fill="D9D9D9"/>
          </w:tcPr>
          <w:p>
            <w:pPr>
              <w:spacing w:after="0"/>
              <w:rPr>
                <w:sz w:val="10"/>
                <w:szCs w:val="10"/>
                <w:color w:val="auto"/>
              </w:rPr>
            </w:pPr>
          </w:p>
        </w:tc>
        <w:tc>
          <w:tcPr>
            <w:tcW w:w="1260" w:type="dxa"/>
            <w:vAlign w:val="bottom"/>
            <w:tcBorders>
              <w:right w:val="single" w:sz="8" w:color="auto"/>
            </w:tcBorders>
            <w:vMerge w:val="continue"/>
            <w:shd w:val="clear" w:color="auto" w:fill="D9D9D9"/>
          </w:tcPr>
          <w:p>
            <w:pPr>
              <w:spacing w:after="0"/>
              <w:rPr>
                <w:sz w:val="10"/>
                <w:szCs w:val="10"/>
                <w:color w:val="auto"/>
              </w:rPr>
            </w:pPr>
          </w:p>
        </w:tc>
        <w:tc>
          <w:tcPr>
            <w:tcW w:w="1240" w:type="dxa"/>
            <w:vAlign w:val="bottom"/>
            <w:tcBorders>
              <w:right w:val="single" w:sz="8" w:color="auto"/>
            </w:tcBorders>
            <w:vMerge w:val="continue"/>
            <w:shd w:val="clear" w:color="auto" w:fill="D9D9D9"/>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280" w:type="dxa"/>
            <w:vAlign w:val="bottom"/>
            <w:tcBorders>
              <w:left w:val="single" w:sz="8" w:color="auto"/>
              <w:bottom w:val="single" w:sz="8" w:color="D9D9D9"/>
              <w:right w:val="single" w:sz="8" w:color="auto"/>
            </w:tcBorders>
            <w:vMerge w:val="continue"/>
            <w:shd w:val="clear" w:color="auto" w:fill="D9D9D9"/>
          </w:tcPr>
          <w:p>
            <w:pPr>
              <w:spacing w:after="0"/>
              <w:rPr>
                <w:sz w:val="10"/>
                <w:szCs w:val="10"/>
                <w:color w:val="auto"/>
              </w:rPr>
            </w:pPr>
          </w:p>
        </w:tc>
        <w:tc>
          <w:tcPr>
            <w:tcW w:w="560" w:type="dxa"/>
            <w:vAlign w:val="bottom"/>
            <w:tcBorders>
              <w:bottom w:val="single" w:sz="8" w:color="D9D9D9"/>
            </w:tcBorders>
            <w:shd w:val="clear" w:color="auto" w:fill="D9D9D9"/>
          </w:tcPr>
          <w:p>
            <w:pPr>
              <w:spacing w:after="0"/>
              <w:rPr>
                <w:sz w:val="10"/>
                <w:szCs w:val="10"/>
                <w:color w:val="auto"/>
              </w:rPr>
            </w:pPr>
          </w:p>
        </w:tc>
        <w:tc>
          <w:tcPr>
            <w:tcW w:w="720" w:type="dxa"/>
            <w:vAlign w:val="bottom"/>
            <w:tcBorders>
              <w:bottom w:val="single" w:sz="8" w:color="D9D9D9"/>
              <w:right w:val="single" w:sz="8" w:color="auto"/>
            </w:tcBorders>
            <w:shd w:val="clear" w:color="auto" w:fill="D9D9D9"/>
          </w:tcPr>
          <w:p>
            <w:pPr>
              <w:spacing w:after="0"/>
              <w:rPr>
                <w:sz w:val="10"/>
                <w:szCs w:val="10"/>
                <w:color w:val="auto"/>
              </w:rPr>
            </w:pPr>
          </w:p>
        </w:tc>
        <w:tc>
          <w:tcPr>
            <w:tcW w:w="560" w:type="dxa"/>
            <w:vAlign w:val="bottom"/>
            <w:tcBorders>
              <w:bottom w:val="single" w:sz="8" w:color="D9D9D9"/>
            </w:tcBorders>
            <w:shd w:val="clear" w:color="auto" w:fill="D9D9D9"/>
          </w:tcPr>
          <w:p>
            <w:pPr>
              <w:spacing w:after="0"/>
              <w:rPr>
                <w:sz w:val="10"/>
                <w:szCs w:val="10"/>
                <w:color w:val="auto"/>
              </w:rPr>
            </w:pPr>
          </w:p>
        </w:tc>
        <w:tc>
          <w:tcPr>
            <w:tcW w:w="720" w:type="dxa"/>
            <w:vAlign w:val="bottom"/>
            <w:tcBorders>
              <w:bottom w:val="single" w:sz="8" w:color="D9D9D9"/>
              <w:right w:val="single" w:sz="8" w:color="auto"/>
            </w:tcBorders>
            <w:shd w:val="clear" w:color="auto" w:fill="D9D9D9"/>
          </w:tcPr>
          <w:p>
            <w:pPr>
              <w:spacing w:after="0"/>
              <w:rPr>
                <w:sz w:val="10"/>
                <w:szCs w:val="10"/>
                <w:color w:val="auto"/>
              </w:rPr>
            </w:pPr>
          </w:p>
        </w:tc>
        <w:tc>
          <w:tcPr>
            <w:tcW w:w="1260" w:type="dxa"/>
            <w:vAlign w:val="bottom"/>
            <w:tcBorders>
              <w:bottom w:val="single" w:sz="8" w:color="D9D9D9"/>
              <w:right w:val="single" w:sz="8" w:color="auto"/>
            </w:tcBorders>
            <w:shd w:val="clear" w:color="auto" w:fill="D9D9D9"/>
          </w:tcPr>
          <w:p>
            <w:pPr>
              <w:spacing w:after="0"/>
              <w:rPr>
                <w:sz w:val="10"/>
                <w:szCs w:val="10"/>
                <w:color w:val="auto"/>
              </w:rPr>
            </w:pPr>
          </w:p>
        </w:tc>
        <w:tc>
          <w:tcPr>
            <w:tcW w:w="1280" w:type="dxa"/>
            <w:vAlign w:val="bottom"/>
            <w:tcBorders>
              <w:bottom w:val="single" w:sz="8" w:color="D9D9D9"/>
              <w:right w:val="single" w:sz="8" w:color="auto"/>
            </w:tcBorders>
            <w:shd w:val="clear" w:color="auto" w:fill="D9D9D9"/>
          </w:tcPr>
          <w:p>
            <w:pPr>
              <w:spacing w:after="0"/>
              <w:rPr>
                <w:sz w:val="10"/>
                <w:szCs w:val="10"/>
                <w:color w:val="auto"/>
              </w:rPr>
            </w:pPr>
          </w:p>
        </w:tc>
        <w:tc>
          <w:tcPr>
            <w:tcW w:w="1260" w:type="dxa"/>
            <w:vAlign w:val="bottom"/>
            <w:tcBorders>
              <w:bottom w:val="single" w:sz="8" w:color="D9D9D9"/>
              <w:right w:val="single" w:sz="8" w:color="auto"/>
            </w:tcBorders>
            <w:shd w:val="clear" w:color="auto" w:fill="D9D9D9"/>
          </w:tcPr>
          <w:p>
            <w:pPr>
              <w:spacing w:after="0"/>
              <w:rPr>
                <w:sz w:val="10"/>
                <w:szCs w:val="10"/>
                <w:color w:val="auto"/>
              </w:rPr>
            </w:pPr>
          </w:p>
        </w:tc>
        <w:tc>
          <w:tcPr>
            <w:tcW w:w="1280" w:type="dxa"/>
            <w:vAlign w:val="bottom"/>
            <w:tcBorders>
              <w:bottom w:val="single" w:sz="8" w:color="D9D9D9"/>
              <w:right w:val="single" w:sz="8" w:color="auto"/>
            </w:tcBorders>
            <w:shd w:val="clear" w:color="auto" w:fill="D9D9D9"/>
          </w:tcPr>
          <w:p>
            <w:pPr>
              <w:spacing w:after="0"/>
              <w:rPr>
                <w:sz w:val="10"/>
                <w:szCs w:val="10"/>
                <w:color w:val="auto"/>
              </w:rPr>
            </w:pPr>
          </w:p>
        </w:tc>
        <w:tc>
          <w:tcPr>
            <w:tcW w:w="1260" w:type="dxa"/>
            <w:vAlign w:val="bottom"/>
            <w:tcBorders>
              <w:bottom w:val="single" w:sz="8" w:color="D9D9D9"/>
              <w:right w:val="single" w:sz="8" w:color="auto"/>
            </w:tcBorders>
            <w:shd w:val="clear" w:color="auto" w:fill="D9D9D9"/>
          </w:tcPr>
          <w:p>
            <w:pPr>
              <w:spacing w:after="0"/>
              <w:rPr>
                <w:sz w:val="10"/>
                <w:szCs w:val="10"/>
                <w:color w:val="auto"/>
              </w:rPr>
            </w:pPr>
          </w:p>
        </w:tc>
        <w:tc>
          <w:tcPr>
            <w:tcW w:w="1240" w:type="dxa"/>
            <w:vAlign w:val="bottom"/>
            <w:tcBorders>
              <w:bottom w:val="single" w:sz="8" w:color="D9D9D9"/>
              <w:right w:val="single" w:sz="8" w:color="auto"/>
            </w:tcBorders>
            <w:shd w:val="clear" w:color="auto" w:fill="D9D9D9"/>
          </w:tcPr>
          <w:p>
            <w:pPr>
              <w:spacing w:after="0"/>
              <w:rPr>
                <w:sz w:val="10"/>
                <w:szCs w:val="10"/>
                <w:color w:val="auto"/>
              </w:rPr>
            </w:pPr>
          </w:p>
        </w:tc>
        <w:tc>
          <w:tcPr>
            <w:tcW w:w="0" w:type="dxa"/>
            <w:vAlign w:val="bottom"/>
          </w:tcPr>
          <w:p>
            <w:pPr>
              <w:spacing w:after="0"/>
              <w:rPr>
                <w:sz w:val="1"/>
                <w:szCs w:val="1"/>
                <w:color w:val="auto"/>
              </w:rPr>
            </w:pPr>
          </w:p>
        </w:tc>
      </w:tr>
      <w:tr>
        <w:trPr>
          <w:trHeight w:val="41"/>
        </w:trPr>
        <w:tc>
          <w:tcPr>
            <w:tcW w:w="1280" w:type="dxa"/>
            <w:vAlign w:val="bottom"/>
            <w:tcBorders>
              <w:left w:val="single" w:sz="8" w:color="auto"/>
              <w:right w:val="single" w:sz="8" w:color="auto"/>
            </w:tcBorders>
            <w:shd w:val="clear" w:color="auto" w:fill="000000"/>
          </w:tcPr>
          <w:p>
            <w:pPr>
              <w:spacing w:after="0"/>
              <w:rPr>
                <w:sz w:val="3"/>
                <w:szCs w:val="3"/>
                <w:color w:val="auto"/>
              </w:rPr>
            </w:pPr>
          </w:p>
        </w:tc>
        <w:tc>
          <w:tcPr>
            <w:tcW w:w="560" w:type="dxa"/>
            <w:vAlign w:val="bottom"/>
            <w:shd w:val="clear" w:color="auto" w:fill="000000"/>
          </w:tcPr>
          <w:p>
            <w:pPr>
              <w:spacing w:after="0"/>
              <w:rPr>
                <w:sz w:val="3"/>
                <w:szCs w:val="3"/>
                <w:color w:val="auto"/>
              </w:rPr>
            </w:pPr>
          </w:p>
        </w:tc>
        <w:tc>
          <w:tcPr>
            <w:tcW w:w="720" w:type="dxa"/>
            <w:vAlign w:val="bottom"/>
            <w:tcBorders>
              <w:right w:val="single" w:sz="8" w:color="auto"/>
            </w:tcBorders>
            <w:shd w:val="clear" w:color="auto" w:fill="000000"/>
          </w:tcPr>
          <w:p>
            <w:pPr>
              <w:spacing w:after="0"/>
              <w:rPr>
                <w:sz w:val="3"/>
                <w:szCs w:val="3"/>
                <w:color w:val="auto"/>
              </w:rPr>
            </w:pPr>
          </w:p>
        </w:tc>
        <w:tc>
          <w:tcPr>
            <w:tcW w:w="560" w:type="dxa"/>
            <w:vAlign w:val="bottom"/>
            <w:shd w:val="clear" w:color="auto" w:fill="000000"/>
          </w:tcPr>
          <w:p>
            <w:pPr>
              <w:spacing w:after="0"/>
              <w:rPr>
                <w:sz w:val="3"/>
                <w:szCs w:val="3"/>
                <w:color w:val="auto"/>
              </w:rPr>
            </w:pPr>
          </w:p>
        </w:tc>
        <w:tc>
          <w:tcPr>
            <w:tcW w:w="720" w:type="dxa"/>
            <w:vAlign w:val="bottom"/>
            <w:tcBorders>
              <w:right w:val="single" w:sz="8" w:color="auto"/>
            </w:tcBorders>
            <w:shd w:val="clear" w:color="auto" w:fill="000000"/>
          </w:tcPr>
          <w:p>
            <w:pPr>
              <w:spacing w:after="0"/>
              <w:rPr>
                <w:sz w:val="3"/>
                <w:szCs w:val="3"/>
                <w:color w:val="auto"/>
              </w:rPr>
            </w:pPr>
          </w:p>
        </w:tc>
        <w:tc>
          <w:tcPr>
            <w:tcW w:w="1260" w:type="dxa"/>
            <w:vAlign w:val="bottom"/>
            <w:tcBorders>
              <w:right w:val="single" w:sz="8" w:color="auto"/>
            </w:tcBorders>
            <w:shd w:val="clear" w:color="auto" w:fill="000000"/>
          </w:tcPr>
          <w:p>
            <w:pPr>
              <w:spacing w:after="0"/>
              <w:rPr>
                <w:sz w:val="3"/>
                <w:szCs w:val="3"/>
                <w:color w:val="auto"/>
              </w:rPr>
            </w:pPr>
          </w:p>
        </w:tc>
        <w:tc>
          <w:tcPr>
            <w:tcW w:w="1280" w:type="dxa"/>
            <w:vAlign w:val="bottom"/>
            <w:tcBorders>
              <w:right w:val="single" w:sz="8" w:color="auto"/>
            </w:tcBorders>
            <w:shd w:val="clear" w:color="auto" w:fill="000000"/>
          </w:tcPr>
          <w:p>
            <w:pPr>
              <w:spacing w:after="0"/>
              <w:rPr>
                <w:sz w:val="3"/>
                <w:szCs w:val="3"/>
                <w:color w:val="auto"/>
              </w:rPr>
            </w:pPr>
          </w:p>
        </w:tc>
        <w:tc>
          <w:tcPr>
            <w:tcW w:w="1260" w:type="dxa"/>
            <w:vAlign w:val="bottom"/>
            <w:tcBorders>
              <w:right w:val="single" w:sz="8" w:color="auto"/>
            </w:tcBorders>
            <w:shd w:val="clear" w:color="auto" w:fill="000000"/>
          </w:tcPr>
          <w:p>
            <w:pPr>
              <w:spacing w:after="0"/>
              <w:rPr>
                <w:sz w:val="3"/>
                <w:szCs w:val="3"/>
                <w:color w:val="auto"/>
              </w:rPr>
            </w:pPr>
          </w:p>
        </w:tc>
        <w:tc>
          <w:tcPr>
            <w:tcW w:w="1280" w:type="dxa"/>
            <w:vAlign w:val="bottom"/>
            <w:tcBorders>
              <w:right w:val="single" w:sz="8" w:color="auto"/>
            </w:tcBorders>
            <w:shd w:val="clear" w:color="auto" w:fill="000000"/>
          </w:tcPr>
          <w:p>
            <w:pPr>
              <w:spacing w:after="0"/>
              <w:rPr>
                <w:sz w:val="3"/>
                <w:szCs w:val="3"/>
                <w:color w:val="auto"/>
              </w:rPr>
            </w:pPr>
          </w:p>
        </w:tc>
        <w:tc>
          <w:tcPr>
            <w:tcW w:w="1260" w:type="dxa"/>
            <w:vAlign w:val="bottom"/>
            <w:tcBorders>
              <w:right w:val="single" w:sz="8" w:color="auto"/>
            </w:tcBorders>
            <w:shd w:val="clear" w:color="auto" w:fill="000000"/>
          </w:tcPr>
          <w:p>
            <w:pPr>
              <w:spacing w:after="0"/>
              <w:rPr>
                <w:sz w:val="3"/>
                <w:szCs w:val="3"/>
                <w:color w:val="auto"/>
              </w:rPr>
            </w:pPr>
          </w:p>
        </w:tc>
        <w:tc>
          <w:tcPr>
            <w:tcW w:w="1240" w:type="dxa"/>
            <w:vAlign w:val="bottom"/>
            <w:tcBorders>
              <w:right w:val="single" w:sz="8" w:color="auto"/>
            </w:tcBorders>
            <w:shd w:val="clear" w:color="auto" w:fill="000000"/>
          </w:tcPr>
          <w:p>
            <w:pPr>
              <w:spacing w:after="0"/>
              <w:rPr>
                <w:sz w:val="3"/>
                <w:szCs w:val="3"/>
                <w:color w:val="auto"/>
              </w:rPr>
            </w:pPr>
          </w:p>
        </w:tc>
        <w:tc>
          <w:tcPr>
            <w:tcW w:w="0" w:type="dxa"/>
            <w:vAlign w:val="bottom"/>
          </w:tcPr>
          <w:p>
            <w:pPr>
              <w:spacing w:after="0"/>
              <w:rPr>
                <w:sz w:val="1"/>
                <w:szCs w:val="1"/>
                <w:color w:val="auto"/>
              </w:rPr>
            </w:pPr>
          </w:p>
        </w:tc>
      </w:tr>
    </w:tbl>
    <w:p>
      <w:pPr>
        <w:ind w:right="320"/>
        <w:spacing w:after="0" w:line="261" w:lineRule="auto"/>
        <w:rPr>
          <w:sz w:val="20"/>
          <w:szCs w:val="20"/>
          <w:color w:val="auto"/>
        </w:rPr>
      </w:pPr>
      <w:r>
        <w:rPr>
          <w:rFonts w:ascii="Arial" w:cs="Arial" w:eastAsia="Arial" w:hAnsi="Arial"/>
          <w:sz w:val="18"/>
          <w:szCs w:val="18"/>
          <w:i w:val="1"/>
          <w:iCs w:val="1"/>
          <w:color w:val="auto"/>
        </w:rPr>
        <w:t>Sources</w:t>
      </w:r>
      <w:r>
        <w:rPr>
          <w:rFonts w:ascii="Arial" w:cs="Arial" w:eastAsia="Arial" w:hAnsi="Arial"/>
          <w:sz w:val="18"/>
          <w:szCs w:val="18"/>
          <w:color w:val="auto"/>
        </w:rPr>
        <w:t>: FCC Form 477 data (December 2012 &amp; June 2013); FCC IAS Report (December 2013) (reporting data from December 2012); FCC IAS Report</w:t>
      </w:r>
      <w:r>
        <w:rPr>
          <w:rFonts w:ascii="Arial" w:cs="Arial" w:eastAsia="Arial" w:hAnsi="Arial"/>
          <w:sz w:val="18"/>
          <w:szCs w:val="18"/>
          <w:i w:val="1"/>
          <w:iCs w:val="1"/>
          <w:color w:val="auto"/>
        </w:rPr>
        <w:t xml:space="preserve"> </w:t>
      </w:r>
      <w:r>
        <w:rPr>
          <w:rFonts w:ascii="Arial" w:cs="Arial" w:eastAsia="Arial" w:hAnsi="Arial"/>
          <w:sz w:val="18"/>
          <w:szCs w:val="18"/>
          <w:color w:val="auto"/>
        </w:rPr>
        <w:t>(June 2014) (reporting data from June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370205</wp:posOffset>
            </wp:positionV>
            <wp:extent cx="758825"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58825"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880" w:firstLine="8"/>
        <w:spacing w:after="0" w:line="216" w:lineRule="auto"/>
        <w:tabs>
          <w:tab w:leader="none" w:pos="108" w:val="left"/>
        </w:tabs>
        <w:numPr>
          <w:ilvl w:val="0"/>
          <w:numId w:val="7"/>
        </w:numPr>
        <w:rPr>
          <w:rFonts w:ascii="Arial" w:cs="Arial" w:eastAsia="Arial" w:hAnsi="Arial"/>
          <w:sz w:val="25"/>
          <w:szCs w:val="25"/>
          <w:color w:val="auto"/>
          <w:vertAlign w:val="superscript"/>
        </w:rPr>
      </w:pPr>
      <w:r>
        <w:rPr>
          <w:rFonts w:ascii="Arial" w:cs="Arial" w:eastAsia="Arial" w:hAnsi="Arial"/>
          <w:sz w:val="18"/>
          <w:szCs w:val="18"/>
          <w:color w:val="auto"/>
        </w:rPr>
        <w:t xml:space="preserve">Indus. Analysis &amp; Tech. Div., Wireline Competition Bureau, FCC, Internet Access Services: Status as of June 30, 2013 (June 2014), </w:t>
      </w:r>
      <w:r>
        <w:rPr>
          <w:rFonts w:ascii="Arial" w:cs="Arial" w:eastAsia="Arial" w:hAnsi="Arial"/>
          <w:sz w:val="18"/>
          <w:szCs w:val="18"/>
          <w:i w:val="1"/>
          <w:iCs w:val="1"/>
          <w:color w:val="auto"/>
        </w:rPr>
        <w:t>available at</w:t>
      </w:r>
      <w:r>
        <w:rPr>
          <w:rFonts w:ascii="Arial" w:cs="Arial" w:eastAsia="Arial" w:hAnsi="Arial"/>
          <w:sz w:val="18"/>
          <w:szCs w:val="18"/>
          <w:color w:val="auto"/>
        </w:rPr>
        <w:t xml:space="preserve"> </w:t>
      </w:r>
      <w:r>
        <w:rPr>
          <w:rFonts w:ascii="Arial" w:cs="Arial" w:eastAsia="Arial" w:hAnsi="Arial"/>
          <w:sz w:val="18"/>
          <w:szCs w:val="18"/>
          <w:u w:val="single" w:color="auto"/>
          <w:color w:val="0000FF"/>
        </w:rPr>
        <w:t>http://transition.fcc.gov/Daily_Releases/Daily_Business/2014/db0625/DOC-327829A1.pdf</w:t>
      </w:r>
      <w:r>
        <w:rPr>
          <w:rFonts w:ascii="Arial" w:cs="Arial" w:eastAsia="Arial" w:hAnsi="Arial"/>
          <w:sz w:val="18"/>
          <w:szCs w:val="18"/>
          <w:color w:val="000000"/>
        </w:rPr>
        <w:t>.</w:t>
      </w:r>
    </w:p>
    <w:p>
      <w:pPr>
        <w:spacing w:after="0" w:line="203" w:lineRule="exact"/>
        <w:rPr>
          <w:sz w:val="20"/>
          <w:szCs w:val="20"/>
          <w:color w:val="auto"/>
        </w:rPr>
      </w:pPr>
    </w:p>
    <w:p>
      <w:pPr>
        <w:ind w:right="80" w:firstLine="8"/>
        <w:spacing w:after="0" w:line="216" w:lineRule="auto"/>
        <w:tabs>
          <w:tab w:leader="none" w:pos="108" w:val="left"/>
        </w:tabs>
        <w:numPr>
          <w:ilvl w:val="0"/>
          <w:numId w:val="8"/>
        </w:numPr>
        <w:rPr>
          <w:rFonts w:ascii="Arial" w:cs="Arial" w:eastAsia="Arial" w:hAnsi="Arial"/>
          <w:sz w:val="25"/>
          <w:szCs w:val="25"/>
          <w:color w:val="auto"/>
          <w:vertAlign w:val="superscript"/>
        </w:rPr>
      </w:pPr>
      <w:r>
        <w:rPr>
          <w:rFonts w:ascii="Arial" w:cs="Arial" w:eastAsia="Arial" w:hAnsi="Arial"/>
          <w:sz w:val="18"/>
          <w:szCs w:val="18"/>
          <w:i w:val="1"/>
          <w:iCs w:val="1"/>
          <w:color w:val="auto"/>
        </w:rPr>
        <w:t xml:space="preserve">See </w:t>
      </w:r>
      <w:r>
        <w:rPr>
          <w:rFonts w:ascii="Arial" w:cs="Arial" w:eastAsia="Arial" w:hAnsi="Arial"/>
          <w:sz w:val="18"/>
          <w:szCs w:val="18"/>
          <w:color w:val="auto"/>
        </w:rPr>
        <w:t>Applications and Public Interest Statement of Comcast Corp. and Time Warner Cable Inc., MB Docket No. 14-57 (Apr. 8, 2014), Exhibit 6, Declaration</w:t>
      </w:r>
      <w:r>
        <w:rPr>
          <w:rFonts w:ascii="Arial" w:cs="Arial" w:eastAsia="Arial" w:hAnsi="Arial"/>
          <w:sz w:val="18"/>
          <w:szCs w:val="18"/>
          <w:i w:val="1"/>
          <w:iCs w:val="1"/>
          <w:color w:val="auto"/>
        </w:rPr>
        <w:t xml:space="preserve"> </w:t>
      </w:r>
      <w:r>
        <w:rPr>
          <w:rFonts w:ascii="Arial" w:cs="Arial" w:eastAsia="Arial" w:hAnsi="Arial"/>
          <w:sz w:val="18"/>
          <w:szCs w:val="18"/>
          <w:color w:val="auto"/>
        </w:rPr>
        <w:t>of Dr. Mark A. Israel, Table 1 (“Israel Decl.”); June 24 Letter at 6.</w:t>
      </w:r>
    </w:p>
    <w:p>
      <w:pPr>
        <w:spacing w:after="0" w:line="203" w:lineRule="exact"/>
        <w:rPr>
          <w:sz w:val="20"/>
          <w:szCs w:val="20"/>
          <w:color w:val="auto"/>
        </w:rPr>
      </w:pPr>
    </w:p>
    <w:p>
      <w:pPr>
        <w:ind w:right="140" w:firstLine="8"/>
        <w:spacing w:after="0" w:line="232" w:lineRule="auto"/>
        <w:tabs>
          <w:tab w:leader="none" w:pos="108" w:val="left"/>
        </w:tabs>
        <w:numPr>
          <w:ilvl w:val="0"/>
          <w:numId w:val="9"/>
        </w:numPr>
        <w:rPr>
          <w:rFonts w:ascii="Arial" w:cs="Arial" w:eastAsia="Arial" w:hAnsi="Arial"/>
          <w:sz w:val="25"/>
          <w:szCs w:val="25"/>
          <w:color w:val="auto"/>
          <w:vertAlign w:val="superscript"/>
        </w:rPr>
      </w:pPr>
      <w:r>
        <w:rPr>
          <w:rFonts w:ascii="Arial" w:cs="Arial" w:eastAsia="Arial" w:hAnsi="Arial"/>
          <w:sz w:val="18"/>
          <w:szCs w:val="18"/>
          <w:color w:val="auto"/>
        </w:rPr>
        <w:t xml:space="preserve">This calculation (as of December 2012) is the calculation presented by Dr. Israel in his April 8, 2014 declaration. Israel Decl. at 32 &amp; Table 1. As noted therein, the assumed divestitures of three million TWC subscribers are reduced to below three million in proportion to the percentage of TWC subscribers at or above speeds of 3 Mbps/downstream and 768 Kbps/upstream across TWC’s footprint. </w:t>
      </w:r>
      <w:r>
        <w:rPr>
          <w:rFonts w:ascii="Arial" w:cs="Arial" w:eastAsia="Arial" w:hAnsi="Arial"/>
          <w:sz w:val="18"/>
          <w:szCs w:val="18"/>
          <w:i w:val="1"/>
          <w:iCs w:val="1"/>
          <w:color w:val="auto"/>
        </w:rPr>
        <w:t>See id</w:t>
      </w:r>
      <w:r>
        <w:rPr>
          <w:rFonts w:ascii="Arial" w:cs="Arial" w:eastAsia="Arial" w:hAnsi="Arial"/>
          <w:sz w:val="18"/>
          <w:szCs w:val="18"/>
          <w:color w:val="auto"/>
        </w:rPr>
        <w:t>., Table 1, Notes. This same methodology is applied to the calculation as of June 2013.</w:t>
      </w:r>
    </w:p>
    <w:p>
      <w:pPr>
        <w:spacing w:after="0" w:line="202" w:lineRule="exact"/>
        <w:rPr>
          <w:sz w:val="20"/>
          <w:szCs w:val="20"/>
          <w:color w:val="auto"/>
        </w:rPr>
      </w:pPr>
    </w:p>
    <w:p>
      <w:pPr>
        <w:ind w:right="100" w:firstLine="8"/>
        <w:spacing w:after="0" w:line="284" w:lineRule="auto"/>
        <w:tabs>
          <w:tab w:leader="none" w:pos="171" w:val="left"/>
        </w:tabs>
        <w:numPr>
          <w:ilvl w:val="0"/>
          <w:numId w:val="10"/>
        </w:numPr>
        <w:rPr>
          <w:rFonts w:ascii="Arial" w:cs="Arial" w:eastAsia="Arial" w:hAnsi="Arial"/>
          <w:sz w:val="21"/>
          <w:szCs w:val="21"/>
          <w:color w:val="auto"/>
          <w:vertAlign w:val="superscript"/>
        </w:rPr>
      </w:pPr>
      <w:r>
        <w:rPr>
          <w:rFonts w:ascii="Arial" w:cs="Arial" w:eastAsia="Arial" w:hAnsi="Arial"/>
          <w:sz w:val="15"/>
          <w:szCs w:val="15"/>
          <w:color w:val="auto"/>
        </w:rPr>
        <w:t xml:space="preserve">This calculation (as of December 2012) is the calculation presented in the parties’ June 24 Letter. </w:t>
      </w:r>
      <w:r>
        <w:rPr>
          <w:rFonts w:ascii="Arial" w:cs="Arial" w:eastAsia="Arial" w:hAnsi="Arial"/>
          <w:sz w:val="15"/>
          <w:szCs w:val="15"/>
          <w:i w:val="1"/>
          <w:iCs w:val="1"/>
          <w:color w:val="auto"/>
        </w:rPr>
        <w:t>See</w:t>
      </w:r>
      <w:r>
        <w:rPr>
          <w:rFonts w:ascii="Arial" w:cs="Arial" w:eastAsia="Arial" w:hAnsi="Arial"/>
          <w:sz w:val="15"/>
          <w:szCs w:val="15"/>
          <w:color w:val="auto"/>
        </w:rPr>
        <w:t xml:space="preserve"> June 24 Letter at 6. The 3.9 million net subscriber divestitures are reduced to below 3.9 million in proportion to the percentage of each applicable party’s subscribers at or above speeds of 3 Mbps/downstream and 768 Kbps/upstream in each relevant geographic area. This same methodology is applied to the calculation as of June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269875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5" w:right="239" w:bottom="1440" w:gutter="0" w:footer="0" w:header="0"/>
        </w:sectPr>
      </w:pPr>
    </w:p>
    <w:bookmarkStart w:id="5" w:name="page6"/>
    <w:bookmarkEnd w:id="5"/>
    <w:p>
      <w:pPr>
        <w:jc w:val="center"/>
        <w:ind w:right="-139"/>
        <w:spacing w:after="0"/>
        <w:rPr>
          <w:sz w:val="20"/>
          <w:szCs w:val="20"/>
          <w:color w:val="auto"/>
        </w:rPr>
      </w:pPr>
      <w:r>
        <w:rPr>
          <w:rFonts w:ascii="Arial" w:cs="Arial" w:eastAsia="Arial" w:hAnsi="Arial"/>
          <w:sz w:val="14"/>
          <w:szCs w:val="14"/>
          <w:b w:val="1"/>
          <w:bCs w:val="1"/>
          <w:color w:val="auto"/>
        </w:rPr>
        <w:t>REDACTED – FOR PUBLIC INSPECTION</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Ms. Marlene H. Dortch</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June 27, 2014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6</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Kindly direct any questions regarding this data to the undersigned.</w:t>
      </w:r>
      <w:r>
        <w:rPr>
          <w:rFonts w:ascii="Arial" w:cs="Arial" w:eastAsia="Arial" w:hAnsi="Arial"/>
          <w:sz w:val="25"/>
          <w:szCs w:val="25"/>
          <w:color w:val="auto"/>
          <w:vertAlign w:val="superscript"/>
        </w:rPr>
        <w:t>11</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Respectfully submitted,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340" w:type="dxa"/>
            <w:vAlign w:val="bottom"/>
            <w:gridSpan w:val="2"/>
          </w:tcPr>
          <w:p>
            <w:pPr>
              <w:spacing w:after="0"/>
              <w:rPr>
                <w:sz w:val="20"/>
                <w:szCs w:val="20"/>
                <w:color w:val="auto"/>
              </w:rPr>
            </w:pPr>
            <w:r>
              <w:rPr>
                <w:rFonts w:ascii="Arial" w:cs="Arial" w:eastAsia="Arial" w:hAnsi="Arial"/>
                <w:sz w:val="18"/>
                <w:szCs w:val="18"/>
                <w:color w:val="auto"/>
              </w:rPr>
              <w:t>/s/ Kathryn A. Zachem</w:t>
            </w:r>
          </w:p>
        </w:tc>
        <w:tc>
          <w:tcPr>
            <w:tcW w:w="3440" w:type="dxa"/>
            <w:vAlign w:val="bottom"/>
            <w:gridSpan w:val="3"/>
          </w:tcPr>
          <w:p>
            <w:pPr>
              <w:ind w:left="460"/>
              <w:spacing w:after="0"/>
              <w:rPr>
                <w:sz w:val="20"/>
                <w:szCs w:val="20"/>
                <w:color w:val="auto"/>
              </w:rPr>
            </w:pPr>
            <w:r>
              <w:rPr>
                <w:rFonts w:ascii="Arial" w:cs="Arial" w:eastAsia="Arial" w:hAnsi="Arial"/>
                <w:sz w:val="18"/>
                <w:szCs w:val="18"/>
                <w:color w:val="auto"/>
              </w:rPr>
              <w:t>/s/ Catherine Bohigian</w:t>
            </w:r>
          </w:p>
        </w:tc>
        <w:tc>
          <w:tcPr>
            <w:tcW w:w="2540" w:type="dxa"/>
            <w:vAlign w:val="bottom"/>
            <w:gridSpan w:val="3"/>
          </w:tcPr>
          <w:p>
            <w:pPr>
              <w:ind w:left="820"/>
              <w:spacing w:after="0"/>
              <w:rPr>
                <w:sz w:val="20"/>
                <w:szCs w:val="20"/>
                <w:color w:val="auto"/>
              </w:rPr>
            </w:pPr>
            <w:r>
              <w:rPr>
                <w:rFonts w:ascii="Arial" w:cs="Arial" w:eastAsia="Arial" w:hAnsi="Arial"/>
                <w:sz w:val="18"/>
                <w:szCs w:val="18"/>
                <w:color w:val="auto"/>
              </w:rPr>
              <w:t>/s/ Steven Teplitz</w:t>
            </w:r>
          </w:p>
        </w:tc>
      </w:tr>
      <w:tr>
        <w:trPr>
          <w:trHeight w:val="20"/>
        </w:trPr>
        <w:tc>
          <w:tcPr>
            <w:tcW w:w="168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22"/>
        </w:trPr>
        <w:tc>
          <w:tcPr>
            <w:tcW w:w="1680" w:type="dxa"/>
            <w:vAlign w:val="bottom"/>
          </w:tcPr>
          <w:p>
            <w:pPr>
              <w:spacing w:after="0"/>
              <w:rPr>
                <w:sz w:val="20"/>
                <w:szCs w:val="20"/>
                <w:color w:val="auto"/>
              </w:rPr>
            </w:pPr>
            <w:r>
              <w:rPr>
                <w:rFonts w:ascii="Arial" w:cs="Arial" w:eastAsia="Arial" w:hAnsi="Arial"/>
                <w:sz w:val="18"/>
                <w:szCs w:val="18"/>
                <w:color w:val="auto"/>
                <w:w w:val="93"/>
              </w:rPr>
              <w:t>Senior Vice President,</w:t>
            </w:r>
          </w:p>
        </w:tc>
        <w:tc>
          <w:tcPr>
            <w:tcW w:w="1660" w:type="dxa"/>
            <w:vAlign w:val="bottom"/>
          </w:tcPr>
          <w:p>
            <w:pPr>
              <w:spacing w:after="0"/>
              <w:rPr>
                <w:sz w:val="19"/>
                <w:szCs w:val="19"/>
                <w:color w:val="auto"/>
              </w:rPr>
            </w:pPr>
          </w:p>
        </w:tc>
        <w:tc>
          <w:tcPr>
            <w:tcW w:w="3440" w:type="dxa"/>
            <w:vAlign w:val="bottom"/>
            <w:gridSpan w:val="3"/>
          </w:tcPr>
          <w:p>
            <w:pPr>
              <w:ind w:left="460"/>
              <w:spacing w:after="0"/>
              <w:rPr>
                <w:sz w:val="20"/>
                <w:szCs w:val="20"/>
                <w:color w:val="auto"/>
              </w:rPr>
            </w:pPr>
            <w:r>
              <w:rPr>
                <w:rFonts w:ascii="Arial" w:cs="Arial" w:eastAsia="Arial" w:hAnsi="Arial"/>
                <w:sz w:val="18"/>
                <w:szCs w:val="18"/>
                <w:color w:val="auto"/>
              </w:rPr>
              <w:t>Executive Vice President,</w:t>
            </w:r>
          </w:p>
        </w:tc>
        <w:tc>
          <w:tcPr>
            <w:tcW w:w="2540" w:type="dxa"/>
            <w:vAlign w:val="bottom"/>
            <w:gridSpan w:val="3"/>
          </w:tcPr>
          <w:p>
            <w:pPr>
              <w:ind w:left="820"/>
              <w:spacing w:after="0"/>
              <w:rPr>
                <w:sz w:val="20"/>
                <w:szCs w:val="20"/>
                <w:color w:val="auto"/>
              </w:rPr>
            </w:pPr>
            <w:r>
              <w:rPr>
                <w:rFonts w:ascii="Arial" w:cs="Arial" w:eastAsia="Arial" w:hAnsi="Arial"/>
                <w:sz w:val="18"/>
                <w:szCs w:val="18"/>
                <w:color w:val="auto"/>
                <w:w w:val="95"/>
              </w:rPr>
              <w:t>Senior Vice President,</w:t>
            </w: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Regulatory and State Legislative Affairs</w:t>
            </w:r>
          </w:p>
        </w:tc>
        <w:tc>
          <w:tcPr>
            <w:tcW w:w="3440" w:type="dxa"/>
            <w:vAlign w:val="bottom"/>
            <w:gridSpan w:val="3"/>
          </w:tcPr>
          <w:p>
            <w:pPr>
              <w:ind w:left="460"/>
              <w:spacing w:after="0"/>
              <w:rPr>
                <w:sz w:val="20"/>
                <w:szCs w:val="20"/>
                <w:color w:val="auto"/>
              </w:rPr>
            </w:pPr>
            <w:r>
              <w:rPr>
                <w:rFonts w:ascii="Arial" w:cs="Arial" w:eastAsia="Arial" w:hAnsi="Arial"/>
                <w:sz w:val="18"/>
                <w:szCs w:val="18"/>
                <w:color w:val="auto"/>
              </w:rPr>
              <w:t>Government Affairs</w:t>
            </w:r>
          </w:p>
        </w:tc>
        <w:tc>
          <w:tcPr>
            <w:tcW w:w="2540" w:type="dxa"/>
            <w:vAlign w:val="bottom"/>
            <w:gridSpan w:val="3"/>
          </w:tcPr>
          <w:p>
            <w:pPr>
              <w:ind w:left="820"/>
              <w:spacing w:after="0"/>
              <w:rPr>
                <w:sz w:val="20"/>
                <w:szCs w:val="20"/>
                <w:color w:val="auto"/>
              </w:rPr>
            </w:pPr>
            <w:r>
              <w:rPr>
                <w:rFonts w:ascii="Arial" w:cs="Arial" w:eastAsia="Arial" w:hAnsi="Arial"/>
                <w:sz w:val="18"/>
                <w:szCs w:val="18"/>
                <w:color w:val="auto"/>
                <w:w w:val="94"/>
              </w:rPr>
              <w:t>Government Relations</w:t>
            </w:r>
          </w:p>
        </w:tc>
      </w:tr>
      <w:tr>
        <w:trPr>
          <w:trHeight w:val="230"/>
        </w:trPr>
        <w:tc>
          <w:tcPr>
            <w:tcW w:w="3340" w:type="dxa"/>
            <w:vAlign w:val="bottom"/>
            <w:gridSpan w:val="2"/>
          </w:tcPr>
          <w:p>
            <w:pPr>
              <w:spacing w:after="0"/>
              <w:rPr>
                <w:sz w:val="20"/>
                <w:szCs w:val="20"/>
                <w:color w:val="auto"/>
              </w:rPr>
            </w:pPr>
            <w:r>
              <w:rPr>
                <w:rFonts w:ascii="Arial" w:cs="Arial" w:eastAsia="Arial" w:hAnsi="Arial"/>
                <w:sz w:val="18"/>
                <w:szCs w:val="18"/>
                <w:color w:val="auto"/>
              </w:rPr>
              <w:t>Comcast Corporation</w:t>
            </w:r>
          </w:p>
        </w:tc>
        <w:tc>
          <w:tcPr>
            <w:tcW w:w="3440" w:type="dxa"/>
            <w:vAlign w:val="bottom"/>
            <w:gridSpan w:val="3"/>
          </w:tcPr>
          <w:p>
            <w:pPr>
              <w:ind w:left="460"/>
              <w:spacing w:after="0"/>
              <w:rPr>
                <w:sz w:val="20"/>
                <w:szCs w:val="20"/>
                <w:color w:val="auto"/>
              </w:rPr>
            </w:pPr>
            <w:r>
              <w:rPr>
                <w:rFonts w:ascii="Arial" w:cs="Arial" w:eastAsia="Arial" w:hAnsi="Arial"/>
                <w:sz w:val="18"/>
                <w:szCs w:val="18"/>
                <w:color w:val="auto"/>
              </w:rPr>
              <w:t>Charter Communications, Inc.</w:t>
            </w:r>
          </w:p>
        </w:tc>
        <w:tc>
          <w:tcPr>
            <w:tcW w:w="2540" w:type="dxa"/>
            <w:vAlign w:val="bottom"/>
            <w:gridSpan w:val="3"/>
          </w:tcPr>
          <w:p>
            <w:pPr>
              <w:ind w:left="820"/>
              <w:spacing w:after="0"/>
              <w:rPr>
                <w:sz w:val="20"/>
                <w:szCs w:val="20"/>
                <w:color w:val="auto"/>
              </w:rPr>
            </w:pPr>
            <w:r>
              <w:rPr>
                <w:rFonts w:ascii="Arial" w:cs="Arial" w:eastAsia="Arial" w:hAnsi="Arial"/>
                <w:sz w:val="18"/>
                <w:szCs w:val="18"/>
                <w:color w:val="auto"/>
                <w:w w:val="89"/>
              </w:rPr>
              <w:t>Time Warner Cable Inc.</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570230</wp:posOffset>
            </wp:positionV>
            <wp:extent cx="758825" cy="342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58825"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firstLine="8"/>
        <w:spacing w:after="0" w:line="285" w:lineRule="auto"/>
        <w:tabs>
          <w:tab w:leader="none" w:pos="166" w:val="left"/>
        </w:tabs>
        <w:numPr>
          <w:ilvl w:val="0"/>
          <w:numId w:val="11"/>
        </w:numPr>
        <w:rPr>
          <w:rFonts w:ascii="Arial" w:cs="Arial" w:eastAsia="Arial" w:hAnsi="Arial"/>
          <w:sz w:val="21"/>
          <w:szCs w:val="21"/>
          <w:color w:val="auto"/>
          <w:vertAlign w:val="superscript"/>
        </w:rPr>
      </w:pPr>
      <w:r>
        <w:rPr>
          <w:rFonts w:ascii="Arial" w:cs="Arial" w:eastAsia="Arial" w:hAnsi="Arial"/>
          <w:sz w:val="15"/>
          <w:szCs w:val="15"/>
          <w:color w:val="auto"/>
        </w:rPr>
        <w:t>As Applicants in the proceedings in the above-captioned docket, the parties are providing the data and information above in the form of this joint letter for the sake of efficiency. Data and information specific to a party is sourced from the relevant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569595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306" w:right="3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Important Information For Investors And Shareholders</w:t>
      </w:r>
    </w:p>
    <w:p>
      <w:pPr>
        <w:spacing w:after="0" w:line="30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This communication does not constitute an offer to sell or the solicitation of an offer to buy any securities or a solicitation of any vote or approval. In connection with the proposed transaction between Comcast Corporation (“Comcast”) and Charter Communications, Inc. (“Charter”), Charter will file with the Securities and Exchange Commission (“SEC”) a registration statement on Form S-4 that will include a proxy statement of Charter that also constitutes a prospectus of Charter, and a definitive proxy statement/prospectus will be mailed to shareholders of Charter. INVESTORS AND SECURITY HOLDERS OF COMCAST AND CHARTER ARE URGED TO READ THE PROXY STATEMENT/PROSPECTUS AND OTHER DOCUMENTS THAT WILL BE FILED WITH THE SEC CAREFULLY AND IN THEIR ENTIRETY BECAUSE THEY WILL CONTAIN IMPORTANT INFORMATION. Investors and security holders will be able to obtain free copies of the registration statement and the proxy statement/prospectus (when available) and other documents filed with the SEC by Comcast or Charter through the website maintained by the SEC at http://www.sec.gov. Copies of the documents filed with the SEC by Comcast are available free of charge on Comcast’s website at http://cmcsa.com or by contacting Comcast’s Investor Relations Department at 866-281-2100. Copies of the documents filed with the SEC by Charter will be available free of charge on Charter’s website at charter.com, in the “Investor and News Center” near the bottom of the page, or by contacting Charter’s Investor Relations Department at 203-905-7955.</w:t>
      </w:r>
    </w:p>
    <w:p>
      <w:pPr>
        <w:spacing w:after="0" w:line="265"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In addition, in connection with the proposed transaction between Comcast and Time Warner Cable Inc. (“Time Warner Cable”), on May 23, 2014, Comcast filed with the SEC an amendment to the registration statement on Form S-4 that was originally filed on March 20, 2014, containing a preliminary joint proxy statement of Comcast and Time Warner Cable that also constitutes a preliminary prospectus of Comcast. The registration statement has not yet become effective. After the registration statement is declared effective by the SEC, a definitive joint proxy statement/prospectus will be mailed to shareholders of Comcast and Time Warner Cable. INVESTORS AND SECURITY HOLDERS OF COMCAST AND TIME WARNER CABLE ARE URGED TO READ THE JOINT PROXY STATEMENT/PROSPECTUS AND OTHER DOCUMENTS FILED OR THAT WILL BE FILED WITH THE SEC CAREFULLY AND IN THEIR ENTIRETY BECAUSE THEY CONTAIN OR WILL CONTAIN IMPORTANT INFORMATION. Investors and security holders may obtain free copies of the registration statement and the joint proxy statement/prospectus and other documents filed with the SEC by Comcast or Time Warner Cable through the website maintained by the SEC at http://www.sec.gov. Copies of the documents filed with the SEC by Comcast are available free of charge on Comcast’s website at http://cmcsa.com or by contacting Comcast’s Investor Relations Department at 866-281-2100. Copies of the documents filed with the SEC by Time Warner Cable will be available free of charge on Time Warner Cable’s website at http://ir.timewarnercable.com or by contacting Time Warner Cable’s Investor Relations Department at 877-446-3689.</w:t>
      </w:r>
    </w:p>
    <w:p>
      <w:pPr>
        <w:spacing w:after="0" w:line="26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Shareholders of Comcast and Time Warner Cable are not being asked to vote on the proposed transaction between Comcast and Charter, and the proposed transaction between Comcast and Time Warner Cable is not contingent upon the proposed transaction between Comcast and Charter.</w:t>
      </w:r>
    </w:p>
    <w:p>
      <w:pPr>
        <w:spacing w:after="0" w:line="256"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Comcast, Time Warner Cable, Charter and their respective directors and certain of their respective executive officers may be considered participants in the solicitation of proxies in connection with the proposed transaction between Comcast and Time Warner Cable, and Comcast, Charter and their respective directors and certain of their respective executive officers may be considered participants in the solicitation of proxies in connection with the proposed transaction between Comcast and Charter. Information about the directors and executive officers of Time Warner Cable is set forth in its Annual Report on Form 10-K for the year ended December 31, 2013, which was filed with the SEC on February 18, 2014, its proxy statement for its 2014 annual meeting of stockholders, which was filed with the SEC on April 29, 2014, and its Current Report on Form 8-K, which was filed with the SEC on June 13, 2014. Information about the directors and executive officers of Comcast is set forth in its Annual Report on Form 10-K for the year ended December 31, 2013, which was filed with the SEC on February 12, 2014, and its proxy statement for its 2014 annual meeting of stockholders, which was filed with the SEC on April 11, 2014. Information about the directors and executive officers of Charter is set forth in its Annual Report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390525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630" w:right="259" w:bottom="1440" w:gutter="0" w:footer="0" w:header="0"/>
        </w:sectPr>
      </w:pPr>
    </w:p>
    <w:bookmarkStart w:id="7" w:name="page8"/>
    <w:bookmarkEnd w:id="7"/>
    <w:p>
      <w:pPr>
        <w:ind w:right="40"/>
        <w:spacing w:after="0" w:line="252" w:lineRule="auto"/>
        <w:rPr>
          <w:sz w:val="20"/>
          <w:szCs w:val="20"/>
          <w:color w:val="auto"/>
        </w:rPr>
      </w:pPr>
      <w:r>
        <w:rPr>
          <w:rFonts w:ascii="Arial" w:cs="Arial" w:eastAsia="Arial" w:hAnsi="Arial"/>
          <w:sz w:val="18"/>
          <w:szCs w:val="18"/>
          <w:color w:val="auto"/>
        </w:rPr>
        <w:t>Form 10-K for the year ended December 31, 2013, which was filed with the SEC on February 21, 2014, and its proxy statement for its 2014 annual meeting of stockholders, which was filed with the SEC on March 27, 2014, and its Current Report on Form 8-K, which was filed with the SEC on May 9, 2014. These documents can be obtained free of charge from the sources indicated above. Additional information regarding the participants in the proxy solicitations and a description of their direct and indirect interests, by security holdings or otherwise, are contained in the preliminary joint proxy statement/prospectus of Comcast and Time Warner Cable filed with the SEC and will be contained in the definitive joint proxy statement/prospectus of Comcast and Time Warner Cable and other relevant materials to be filed with the SEC when they become available, and will also be contained in the preliminary proxy statement/prospectus of Charter when it becomes available.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30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Certain statements in this communication regarding the proposed acquisition of Time Warner Cable by Comcast and the proposed transaction between Comcast and Charter, including any statements regarding the expected timetable for completing the transactions, benefits and synergies of the transactions, future opportunities for the respective companies and products, and any other statements regarding Comcast’s, Time Warner Cable’s and Charter’s future expectations, beliefs, plans, objectives, financial conditions, assumptions or future events or performance that are not historical facts are “forward-looking” statements made within the meaning of Section 27A of the Securities Act of 1933, as amended, and Section 21E of the Securities Exchange Act of 1934, as amended. These statements are often, but not always, made through the use of words or phrases such as “may”, “believe,” “anticipate,” “could”, “should,” “intend,” “plan,” “will,” “expect(s),” “estimate(s),” “project(s),” “forecast(s)”, “positioned,” “strategy,” “outlook” and similar expressions. All such forward-looking statements involve estimates and assumptions that are subject to risks, uncertainties and other factors that could cause actual results to differ materially from the results expressed in the statements. Among the key factors that could cause actual results to differ materially from those projected in the forward-looking statements are the following: the timing to consummate the proposed transactions; the risk that a condition to closing either of the proposed transactions may not be satisfied; the risk that a regulatory approval that may be required for either of the proposed transactions is not obtained or is obtained subject to conditions that are not anticipated; the parties’ ability to achieve the synergies and value creation contemplated by the proposed transactions; the parties’ ability to promptly, efficiently and effectively integrate acquired operations into their own operations; and the diversion of management time on transaction-related issues. Additional information concerning these and other factors can be found in Comcast’s, Time Warner Cable’s and Charter’s respective filings with the SEC, including Comcast’s, Time Warner Cable’s and Charter’s most recent Annual Reports on Form 10-K, Quarterly Reports on Form 10-Q and Current Reports on Form 8-K. Comcast, Time Warner Cable and Charter assume no obligation to update any forward-looking statements. Readers are cautioned not to place undue reliance on these forward-looking statements that speak only as of the date hereof.</w:t>
      </w:r>
    </w:p>
    <w:sectPr>
      <w:pgSz w:w="11900" w:h="16838" w:orient="portrait"/>
      <w:cols w:equalWidth="0" w:num="1">
        <w:col w:w="11420"/>
      </w:cols>
      <w:pgMar w:left="240" w:top="65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bullet"/>
      <w:start w:val="1"/>
    </w:lvl>
  </w:abstractNum>
  <w:abstractNum w:abstractNumId="1">
    <w:nsid w:val="2EB141F2"/>
    <w:multiLevelType w:val="hybridMultilevel"/>
    <w:lvl w:ilvl="0">
      <w:lvlJc w:val="left"/>
      <w:lvlText w:val="2"/>
      <w:numFmt w:val="bullet"/>
      <w:start w:val="1"/>
    </w:lvl>
  </w:abstractNum>
  <w:abstractNum w:abstractNumId="2">
    <w:nsid w:val="41B71EFB"/>
    <w:multiLevelType w:val="hybridMultilevel"/>
    <w:lvl w:ilvl="0">
      <w:lvlJc w:val="left"/>
      <w:lvlText w:val="3"/>
      <w:numFmt w:val="bullet"/>
      <w:start w:val="1"/>
    </w:lvl>
  </w:abstractNum>
  <w:abstractNum w:abstractNumId="3">
    <w:nsid w:val="79E2A9E3"/>
    <w:multiLevelType w:val="hybridMultilevel"/>
    <w:lvl w:ilvl="0">
      <w:lvlJc w:val="left"/>
      <w:lvlText w:val="4"/>
      <w:numFmt w:val="bullet"/>
      <w:start w:val="1"/>
    </w:lvl>
  </w:abstractNum>
  <w:abstractNum w:abstractNumId="4">
    <w:nsid w:val="7545E146"/>
    <w:multiLevelType w:val="hybridMultilevel"/>
    <w:lvl w:ilvl="0">
      <w:lvlJc w:val="left"/>
      <w:lvlText w:val="5"/>
      <w:numFmt w:val="bullet"/>
      <w:start w:val="1"/>
    </w:lvl>
  </w:abstractNum>
  <w:abstractNum w:abstractNumId="5">
    <w:nsid w:val="515F007C"/>
    <w:multiLevelType w:val="hybridMultilevel"/>
    <w:lvl w:ilvl="0">
      <w:lvlJc w:val="left"/>
      <w:lvlText w:val="6"/>
      <w:numFmt w:val="bullet"/>
      <w:start w:val="1"/>
    </w:lvl>
  </w:abstractNum>
  <w:abstractNum w:abstractNumId="6">
    <w:nsid w:val="5BD062C2"/>
    <w:multiLevelType w:val="hybridMultilevel"/>
    <w:lvl w:ilvl="0">
      <w:lvlJc w:val="left"/>
      <w:lvlText w:val="7"/>
      <w:numFmt w:val="bullet"/>
      <w:start w:val="1"/>
    </w:lvl>
  </w:abstractNum>
  <w:abstractNum w:abstractNumId="7">
    <w:nsid w:val="12200854"/>
    <w:multiLevelType w:val="hybridMultilevel"/>
    <w:lvl w:ilvl="0">
      <w:lvlJc w:val="left"/>
      <w:lvlText w:val="8"/>
      <w:numFmt w:val="bullet"/>
      <w:start w:val="1"/>
    </w:lvl>
  </w:abstractNum>
  <w:abstractNum w:abstractNumId="8">
    <w:nsid w:val="4DB127F8"/>
    <w:multiLevelType w:val="hybridMultilevel"/>
    <w:lvl w:ilvl="0">
      <w:lvlJc w:val="left"/>
      <w:lvlText w:val="9"/>
      <w:numFmt w:val="bullet"/>
      <w:start w:val="1"/>
    </w:lvl>
  </w:abstractNum>
  <w:abstractNum w:abstractNumId="9">
    <w:nsid w:val="216231B"/>
    <w:multiLevelType w:val="hybridMultilevel"/>
    <w:lvl w:ilvl="0">
      <w:lvlJc w:val="left"/>
      <w:lvlText w:val="%1"/>
      <w:numFmt w:val="decimal"/>
      <w:start w:val="10"/>
    </w:lvl>
  </w:abstractNum>
  <w:abstractNum w:abstractNumId="10">
    <w:nsid w:val="1F16E9E8"/>
    <w:multiLevelType w:val="hybridMultilevel"/>
    <w:lvl w:ilvl="0">
      <w:lvlJc w:val="left"/>
      <w:lvlText w:val="%1"/>
      <w:numFmt w:val="decimal"/>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2019-12-16T11:24:26Z</dcterms:created>
  <dcterms:modified xsi:type="dcterms:W3CDTF">2019-12-16T11:24:26Z</dcterms:modified>
</cp:coreProperties>
</file>