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219075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SCHEDULE 13G</w:t>
      </w:r>
    </w:p>
    <w:p>
      <w:pPr>
        <w:spacing w:after="0" w:line="4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(Rule 13d-102)</w:t>
      </w:r>
    </w:p>
    <w:p>
      <w:pPr>
        <w:spacing w:after="0" w:line="239" w:lineRule="exact"/>
        <w:rPr>
          <w:sz w:val="24"/>
          <w:szCs w:val="24"/>
          <w:color w:val="auto"/>
        </w:rPr>
      </w:pPr>
    </w:p>
    <w:p>
      <w:pPr>
        <w:jc w:val="center"/>
        <w:ind w:left="260" w:right="152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RULES 13d-1(b), (c) AND (d) AND AMENDMENTS THERETO FILED PURSUANT TO RULE 13d-2(b)</w:t>
      </w:r>
    </w:p>
    <w:p>
      <w:pPr>
        <w:spacing w:after="0" w:line="20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(Amendment No. 1)*</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Liberty Media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Series A 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530719103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93" w:lineRule="exact"/>
        <w:rPr>
          <w:sz w:val="24"/>
          <w:szCs w:val="24"/>
          <w:color w:val="auto"/>
        </w:rPr>
      </w:pPr>
    </w:p>
    <w:p>
      <w:pPr>
        <w:jc w:val="both"/>
        <w:ind w:left="740" w:right="9320" w:hanging="16"/>
        <w:spacing w:after="0" w:line="402" w:lineRule="auto"/>
        <w:tabs>
          <w:tab w:leader="none" w:pos="1094" w:val="left"/>
        </w:tabs>
        <w:numPr>
          <w:ilvl w:val="1"/>
          <w:numId w:val="1"/>
        </w:numPr>
        <w:rPr>
          <w:rFonts w:ascii="Arial" w:cs="Arial" w:eastAsia="Arial" w:hAnsi="Arial"/>
          <w:sz w:val="19"/>
          <w:szCs w:val="19"/>
          <w:color w:val="auto"/>
        </w:rPr>
      </w:pPr>
      <w:r>
        <w:rPr>
          <w:rFonts w:ascii="Arial" w:cs="Arial" w:eastAsia="Arial" w:hAnsi="Arial"/>
          <w:sz w:val="16"/>
          <w:szCs w:val="16"/>
          <w:color w:val="auto"/>
        </w:rPr>
        <w:t>Rule 13d-1(b) x Rule 13d-1(c)</w:t>
      </w:r>
    </w:p>
    <w:p>
      <w:pPr>
        <w:ind w:left="1080" w:hanging="356"/>
        <w:spacing w:after="0"/>
        <w:tabs>
          <w:tab w:leader="none" w:pos="1080" w:val="left"/>
        </w:tabs>
        <w:numPr>
          <w:ilvl w:val="1"/>
          <w:numId w:val="1"/>
        </w:numPr>
        <w:rPr>
          <w:rFonts w:ascii="Arial" w:cs="Arial" w:eastAsia="Arial" w:hAnsi="Arial"/>
          <w:sz w:val="22"/>
          <w:szCs w:val="22"/>
          <w:color w:val="auto"/>
        </w:rPr>
      </w:pPr>
      <w:r>
        <w:rPr>
          <w:rFonts w:ascii="Arial" w:cs="Arial" w:eastAsia="Arial" w:hAnsi="Arial"/>
          <w:sz w:val="18"/>
          <w:szCs w:val="18"/>
          <w:color w:val="auto"/>
        </w:rPr>
        <w:t>Rule 13d-1(d)</w:t>
      </w:r>
    </w:p>
    <w:p>
      <w:pPr>
        <w:spacing w:after="0" w:line="200" w:lineRule="exact"/>
        <w:rPr>
          <w:rFonts w:ascii="Arial" w:cs="Arial" w:eastAsia="Arial" w:hAnsi="Arial"/>
          <w:sz w:val="22"/>
          <w:szCs w:val="22"/>
          <w:color w:val="auto"/>
        </w:rPr>
      </w:pPr>
    </w:p>
    <w:p>
      <w:pPr>
        <w:spacing w:after="0" w:line="225" w:lineRule="exact"/>
        <w:rPr>
          <w:rFonts w:ascii="Arial" w:cs="Arial" w:eastAsia="Arial" w:hAnsi="Arial"/>
          <w:sz w:val="22"/>
          <w:szCs w:val="22"/>
          <w:color w:val="auto"/>
        </w:rPr>
      </w:pPr>
    </w:p>
    <w:p>
      <w:pPr>
        <w:ind w:right="180" w:firstLine="270"/>
        <w:spacing w:after="0" w:line="268" w:lineRule="auto"/>
        <w:rPr>
          <w:rFonts w:ascii="Arial" w:cs="Arial" w:eastAsia="Arial" w:hAnsi="Arial"/>
          <w:sz w:val="22"/>
          <w:szCs w:val="22"/>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3" w:lineRule="exact"/>
        <w:rPr>
          <w:sz w:val="24"/>
          <w:szCs w:val="24"/>
          <w:color w:val="auto"/>
        </w:rPr>
      </w:pPr>
    </w:p>
    <w:p>
      <w:pPr>
        <w:ind w:firstLine="270"/>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Page 1 of 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tbl>
      <w:tblPr>
        <w:tblLayout w:type="fixed"/>
        <w:tblInd w:w="590" w:type="dxa"/>
        <w:tblCellMar>
          <w:top w:w="0" w:type="dxa"/>
          <w:left w:w="0" w:type="dxa"/>
          <w:bottom w:w="0" w:type="dxa"/>
          <w:right w:w="0" w:type="dxa"/>
        </w:tblCellMar>
      </w:tblPr>
      <w:tr>
        <w:trPr>
          <w:trHeight w:val="391"/>
        </w:trPr>
        <w:tc>
          <w:tcPr>
            <w:tcW w:w="28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CUSIP No. 530719103</w:t>
            </w:r>
          </w:p>
        </w:tc>
        <w:tc>
          <w:tcPr>
            <w:tcW w:w="1920" w:type="dxa"/>
            <w:vAlign w:val="bottom"/>
          </w:tcPr>
          <w:p>
            <w:pPr>
              <w:ind w:left="1540"/>
              <w:spacing w:after="0"/>
              <w:rPr>
                <w:sz w:val="20"/>
                <w:szCs w:val="20"/>
                <w:color w:val="auto"/>
              </w:rPr>
            </w:pPr>
            <w:r>
              <w:rPr>
                <w:rFonts w:ascii="Arial" w:cs="Arial" w:eastAsia="Arial" w:hAnsi="Arial"/>
                <w:sz w:val="22"/>
                <w:szCs w:val="22"/>
                <w:b w:val="1"/>
                <w:bCs w:val="1"/>
                <w:color w:val="auto"/>
                <w:w w:val="86"/>
              </w:rPr>
              <w:t>13G</w:t>
            </w:r>
          </w:p>
        </w:tc>
      </w:tr>
      <w:tr>
        <w:trPr>
          <w:trHeight w:val="122"/>
        </w:trPr>
        <w:tc>
          <w:tcPr>
            <w:tcW w:w="2880" w:type="dxa"/>
            <w:vAlign w:val="bottom"/>
            <w:tcBorders>
              <w:left w:val="single" w:sz="8" w:color="auto"/>
              <w:bottom w:val="single" w:sz="8" w:color="auto"/>
              <w:right w:val="single" w:sz="8" w:color="auto"/>
            </w:tcBorders>
          </w:tcPr>
          <w:p>
            <w:pPr>
              <w:spacing w:after="0"/>
              <w:rPr>
                <w:sz w:val="10"/>
                <w:szCs w:val="10"/>
                <w:color w:val="auto"/>
              </w:rPr>
            </w:pPr>
          </w:p>
        </w:tc>
        <w:tc>
          <w:tcPr>
            <w:tcW w:w="192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372110</wp:posOffset>
            </wp:positionH>
            <wp:positionV relativeFrom="paragraph">
              <wp:posOffset>150495</wp:posOffset>
            </wp:positionV>
            <wp:extent cx="6521450" cy="2619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21450" cy="2619375"/>
                    </a:xfrm>
                    <a:prstGeom prst="rect">
                      <a:avLst/>
                    </a:prstGeom>
                    <a:noFill/>
                  </pic:spPr>
                </pic:pic>
              </a:graphicData>
            </a:graphic>
          </wp:anchor>
        </w:drawing>
      </w:r>
    </w:p>
    <w:p>
      <w:pPr>
        <w:spacing w:after="0" w:line="306" w:lineRule="exact"/>
        <w:rPr>
          <w:sz w:val="24"/>
          <w:szCs w:val="24"/>
          <w:color w:val="auto"/>
        </w:rPr>
      </w:pPr>
    </w:p>
    <w:p>
      <w:pPr>
        <w:ind w:left="2020" w:hanging="793"/>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9"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Comcast QVC, Inc.</w:t>
      </w:r>
    </w:p>
    <w:p>
      <w:pPr>
        <w:spacing w:after="0" w:line="171" w:lineRule="exact"/>
        <w:rPr>
          <w:sz w:val="24"/>
          <w:szCs w:val="24"/>
          <w:color w:val="auto"/>
        </w:rPr>
      </w:pPr>
    </w:p>
    <w:p>
      <w:pPr>
        <w:ind w:left="2020" w:hanging="793"/>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6" w:lineRule="exact"/>
        <w:rPr>
          <w:sz w:val="24"/>
          <w:szCs w:val="24"/>
          <w:color w:val="auto"/>
        </w:rPr>
      </w:pPr>
    </w:p>
    <w:p>
      <w:pPr>
        <w:ind w:left="10380"/>
        <w:spacing w:after="0"/>
        <w:rPr>
          <w:sz w:val="20"/>
          <w:szCs w:val="20"/>
          <w:color w:val="auto"/>
        </w:rPr>
      </w:pPr>
      <w:r>
        <w:rPr>
          <w:rFonts w:ascii="Arial" w:cs="Arial" w:eastAsia="Arial" w:hAnsi="Arial"/>
          <w:sz w:val="18"/>
          <w:szCs w:val="18"/>
          <w:color w:val="auto"/>
        </w:rPr>
        <w:t>(a) o</w:t>
      </w:r>
    </w:p>
    <w:p>
      <w:pPr>
        <w:spacing w:after="0" w:line="36" w:lineRule="exact"/>
        <w:rPr>
          <w:sz w:val="24"/>
          <w:szCs w:val="24"/>
          <w:color w:val="auto"/>
        </w:rPr>
      </w:pPr>
    </w:p>
    <w:p>
      <w:pPr>
        <w:ind w:left="10360"/>
        <w:spacing w:after="0"/>
        <w:rPr>
          <w:sz w:val="20"/>
          <w:szCs w:val="20"/>
          <w:color w:val="auto"/>
        </w:rPr>
      </w:pPr>
      <w:r>
        <w:rPr>
          <w:rFonts w:ascii="Arial" w:cs="Arial" w:eastAsia="Arial" w:hAnsi="Arial"/>
          <w:sz w:val="18"/>
          <w:szCs w:val="18"/>
          <w:color w:val="auto"/>
        </w:rPr>
        <w:t>(b) o</w:t>
      </w:r>
    </w:p>
    <w:p>
      <w:pPr>
        <w:spacing w:after="0" w:line="171" w:lineRule="exact"/>
        <w:rPr>
          <w:sz w:val="24"/>
          <w:szCs w:val="24"/>
          <w:color w:val="auto"/>
        </w:rPr>
      </w:pPr>
    </w:p>
    <w:p>
      <w:pPr>
        <w:ind w:left="2020" w:hanging="793"/>
        <w:spacing w:after="0"/>
        <w:tabs>
          <w:tab w:leader="none" w:pos="2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2020" w:hanging="793"/>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Delaware</w:t>
      </w:r>
    </w:p>
    <w:p>
      <w:pPr>
        <w:spacing w:after="0" w:line="171" w:lineRule="exact"/>
        <w:rPr>
          <w:sz w:val="24"/>
          <w:szCs w:val="24"/>
          <w:color w:val="auto"/>
        </w:rPr>
      </w:pPr>
    </w:p>
    <w:tbl>
      <w:tblPr>
        <w:tblLayout w:type="fixed"/>
        <w:tblInd w:w="1680" w:type="dxa"/>
        <w:tblCellMar>
          <w:top w:w="0" w:type="dxa"/>
          <w:left w:w="0" w:type="dxa"/>
          <w:bottom w:w="0" w:type="dxa"/>
          <w:right w:w="0" w:type="dxa"/>
        </w:tblCellMar>
      </w:tblP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NUMBER OF SHARES</w:t>
            </w:r>
          </w:p>
        </w:tc>
        <w:tc>
          <w:tcPr>
            <w:tcW w:w="2840" w:type="dxa"/>
            <w:vAlign w:val="bottom"/>
          </w:tcPr>
          <w:p>
            <w:pPr>
              <w:ind w:left="640"/>
              <w:spacing w:after="0"/>
              <w:rPr>
                <w:sz w:val="20"/>
                <w:szCs w:val="20"/>
                <w:color w:val="auto"/>
              </w:rPr>
            </w:pPr>
            <w:r>
              <w:rPr>
                <w:rFonts w:ascii="Arial" w:cs="Arial" w:eastAsia="Arial" w:hAnsi="Arial"/>
                <w:sz w:val="18"/>
                <w:szCs w:val="18"/>
                <w:color w:val="auto"/>
                <w:w w:val="99"/>
              </w:rPr>
              <w:t>5   SOLE VOTING POWER</w:t>
            </w:r>
          </w:p>
        </w:tc>
      </w:tr>
    </w:tbl>
    <w:p>
      <w:pPr>
        <w:ind w:left="1440"/>
        <w:spacing w:after="0"/>
        <w:rPr>
          <w:sz w:val="20"/>
          <w:szCs w:val="20"/>
          <w:color w:val="auto"/>
        </w:rPr>
      </w:pPr>
      <w:r>
        <w:rPr>
          <w:rFonts w:ascii="Arial" w:cs="Arial" w:eastAsia="Arial" w:hAnsi="Arial"/>
          <w:sz w:val="18"/>
          <w:szCs w:val="18"/>
          <w:color w:val="auto"/>
        </w:rPr>
        <w:t>BENEFICIALLY OWNED BY</w:t>
      </w:r>
    </w:p>
    <w:p>
      <w:pPr>
        <w:sectPr>
          <w:pgSz w:w="11900" w:h="16859" w:orient="portrait"/>
          <w:cols w:equalWidth="0" w:num="1">
            <w:col w:w="11400"/>
          </w:cols>
          <w:pgMar w:left="240" w:top="584" w:right="259" w:bottom="0" w:gutter="0" w:footer="0" w:header="0"/>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88900</wp:posOffset>
            </wp:positionV>
            <wp:extent cx="6521450" cy="3801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1450" cy="38011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8"/>
        </w:trPr>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EACH REPORTING PERSON</w:t>
            </w:r>
          </w:p>
        </w:tc>
        <w:tc>
          <w:tcPr>
            <w:tcW w:w="44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6"/>
        </w:trPr>
        <w:tc>
          <w:tcPr>
            <w:tcW w:w="3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440" w:type="dxa"/>
            <w:vAlign w:val="bottom"/>
            <w:tcBorders>
              <w:bottom w:val="single" w:sz="8" w:color="auto"/>
            </w:tcBorders>
          </w:tcPr>
          <w:p>
            <w:pPr>
              <w:spacing w:after="0"/>
              <w:rPr>
                <w:sz w:val="7"/>
                <w:szCs w:val="7"/>
                <w:color w:val="auto"/>
              </w:rPr>
            </w:pPr>
          </w:p>
        </w:tc>
        <w:tc>
          <w:tcPr>
            <w:tcW w:w="5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920" w:type="dxa"/>
            <w:vAlign w:val="bottom"/>
            <w:tcBorders>
              <w:right w:val="single" w:sz="8" w:color="auto"/>
            </w:tcBorders>
            <w:vMerge w:val="continue"/>
          </w:tcPr>
          <w:p>
            <w:pPr>
              <w:spacing w:after="0"/>
              <w:rPr>
                <w:sz w:val="10"/>
                <w:szCs w:val="10"/>
                <w:color w:val="auto"/>
              </w:rPr>
            </w:pPr>
          </w:p>
        </w:tc>
        <w:tc>
          <w:tcPr>
            <w:tcW w:w="440" w:type="dxa"/>
            <w:vAlign w:val="bottom"/>
            <w:vMerge w:val="restart"/>
          </w:tcPr>
          <w:p>
            <w:pPr>
              <w:jc w:val="right"/>
              <w:ind w:right="52"/>
              <w:spacing w:after="0"/>
              <w:rPr>
                <w:sz w:val="20"/>
                <w:szCs w:val="20"/>
                <w:color w:val="auto"/>
              </w:rPr>
            </w:pPr>
            <w:r>
              <w:rPr>
                <w:rFonts w:ascii="Arial" w:cs="Arial" w:eastAsia="Arial" w:hAnsi="Arial"/>
                <w:sz w:val="18"/>
                <w:szCs w:val="18"/>
                <w:color w:val="auto"/>
              </w:rPr>
              <w:t>6</w:t>
            </w:r>
          </w:p>
        </w:tc>
        <w:tc>
          <w:tcPr>
            <w:tcW w:w="592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62"/>
        </w:trPr>
        <w:tc>
          <w:tcPr>
            <w:tcW w:w="3920" w:type="dxa"/>
            <w:vAlign w:val="bottom"/>
            <w:tcBorders>
              <w:right w:val="single" w:sz="8" w:color="auto"/>
            </w:tcBorders>
          </w:tcPr>
          <w:p>
            <w:pPr>
              <w:spacing w:after="0"/>
              <w:rPr>
                <w:sz w:val="14"/>
                <w:szCs w:val="14"/>
                <w:color w:val="auto"/>
              </w:rPr>
            </w:pPr>
          </w:p>
        </w:tc>
        <w:tc>
          <w:tcPr>
            <w:tcW w:w="440" w:type="dxa"/>
            <w:vAlign w:val="bottom"/>
            <w:vMerge w:val="continue"/>
          </w:tcPr>
          <w:p>
            <w:pPr>
              <w:spacing w:after="0"/>
              <w:rPr>
                <w:sz w:val="14"/>
                <w:szCs w:val="14"/>
                <w:color w:val="auto"/>
              </w:rPr>
            </w:pPr>
          </w:p>
        </w:tc>
        <w:tc>
          <w:tcPr>
            <w:tcW w:w="5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39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-7,899,940-</w:t>
            </w:r>
          </w:p>
        </w:tc>
        <w:tc>
          <w:tcPr>
            <w:tcW w:w="0" w:type="dxa"/>
            <w:vAlign w:val="bottom"/>
          </w:tcPr>
          <w:p>
            <w:pPr>
              <w:spacing w:after="0"/>
              <w:rPr>
                <w:sz w:val="1"/>
                <w:szCs w:val="1"/>
                <w:color w:val="auto"/>
              </w:rPr>
            </w:pPr>
          </w:p>
        </w:tc>
      </w:tr>
      <w:tr>
        <w:trPr>
          <w:trHeight w:val="80"/>
        </w:trPr>
        <w:tc>
          <w:tcPr>
            <w:tcW w:w="3920" w:type="dxa"/>
            <w:vAlign w:val="bottom"/>
            <w:tcBorders>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920" w:type="dxa"/>
            <w:vAlign w:val="bottom"/>
            <w:tcBorders>
              <w:right w:val="single" w:sz="8" w:color="auto"/>
            </w:tcBorders>
          </w:tcPr>
          <w:p>
            <w:pPr>
              <w:spacing w:after="0"/>
              <w:rPr>
                <w:sz w:val="24"/>
                <w:szCs w:val="24"/>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592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32"/>
        </w:trPr>
        <w:tc>
          <w:tcPr>
            <w:tcW w:w="39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3920" w:type="dxa"/>
            <w:vAlign w:val="bottom"/>
            <w:tcBorders>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920" w:type="dxa"/>
            <w:vAlign w:val="bottom"/>
            <w:tcBorders>
              <w:right w:val="single" w:sz="8" w:color="auto"/>
            </w:tcBorders>
          </w:tcPr>
          <w:p>
            <w:pPr>
              <w:spacing w:after="0"/>
              <w:rPr>
                <w:sz w:val="24"/>
                <w:szCs w:val="24"/>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592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39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-7,899,940-</w:t>
            </w:r>
          </w:p>
        </w:tc>
        <w:tc>
          <w:tcPr>
            <w:tcW w:w="0" w:type="dxa"/>
            <w:vAlign w:val="bottom"/>
          </w:tcPr>
          <w:p>
            <w:pPr>
              <w:spacing w:after="0"/>
              <w:rPr>
                <w:sz w:val="1"/>
                <w:szCs w:val="1"/>
                <w:color w:val="auto"/>
              </w:rPr>
            </w:pPr>
          </w:p>
        </w:tc>
      </w:tr>
      <w:tr>
        <w:trPr>
          <w:trHeight w:val="80"/>
        </w:trPr>
        <w:tc>
          <w:tcPr>
            <w:tcW w:w="392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40" w:hanging="7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tbl>
      <w:tblPr>
        <w:tblLayout w:type="fixed"/>
        <w:tblInd w:w="60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-7,899,940-</w:t>
            </w:r>
          </w:p>
        </w:tc>
      </w:tr>
      <w:tr>
        <w:trPr>
          <w:trHeight w:val="378"/>
        </w:trPr>
        <w:tc>
          <w:tcPr>
            <w:tcW w:w="520" w:type="dxa"/>
            <w:vAlign w:val="bottom"/>
          </w:tcPr>
          <w:p>
            <w:pPr>
              <w:jc w:val="right"/>
              <w:ind w:right="252"/>
              <w:spacing w:after="0"/>
              <w:rPr>
                <w:sz w:val="20"/>
                <w:szCs w:val="20"/>
                <w:color w:val="auto"/>
              </w:rPr>
            </w:pPr>
            <w:r>
              <w:rPr>
                <w:rFonts w:ascii="Arial" w:cs="Arial" w:eastAsia="Arial" w:hAnsi="Arial"/>
                <w:sz w:val="18"/>
                <w:szCs w:val="18"/>
                <w:color w:val="auto"/>
                <w:w w:val="79"/>
              </w:rPr>
              <w:t>10</w:t>
            </w:r>
          </w:p>
        </w:tc>
        <w:tc>
          <w:tcPr>
            <w:tcW w:w="7220" w:type="dxa"/>
            <w:vAlign w:val="bottom"/>
          </w:tcPr>
          <w:p>
            <w:pPr>
              <w:ind w:left="320"/>
              <w:spacing w:after="0"/>
              <w:rPr>
                <w:sz w:val="20"/>
                <w:szCs w:val="20"/>
                <w:color w:val="auto"/>
              </w:rPr>
            </w:pPr>
            <w:r>
              <w:rPr>
                <w:rFonts w:ascii="Arial" w:cs="Arial" w:eastAsia="Arial" w:hAnsi="Arial"/>
                <w:sz w:val="18"/>
                <w:szCs w:val="18"/>
                <w:color w:val="auto"/>
                <w:w w:val="93"/>
              </w:rPr>
              <w:t>CHECK BOX IF THE AGGREGATE AMOUNT IN ROW (9) EXCLUDES CERTAIN SHARES</w:t>
            </w:r>
          </w:p>
        </w:tc>
      </w:tr>
    </w:tbl>
    <w:p>
      <w:pPr>
        <w:ind w:left="10040"/>
        <w:spacing w:after="0"/>
        <w:rPr>
          <w:sz w:val="20"/>
          <w:szCs w:val="20"/>
          <w:color w:val="auto"/>
        </w:rPr>
      </w:pPr>
      <w:r>
        <w:rPr>
          <w:rFonts w:ascii="Arial" w:cs="Arial" w:eastAsia="Arial" w:hAnsi="Arial"/>
          <w:sz w:val="18"/>
          <w:szCs w:val="18"/>
          <w:color w:val="auto"/>
        </w:rPr>
        <w:t>o</w:t>
      </w:r>
    </w:p>
    <w:p>
      <w:pPr>
        <w:spacing w:after="0" w:line="381" w:lineRule="exact"/>
        <w:rPr>
          <w:sz w:val="20"/>
          <w:szCs w:val="20"/>
          <w:color w:val="auto"/>
        </w:rPr>
      </w:pPr>
    </w:p>
    <w:p>
      <w:pPr>
        <w:ind w:left="1440" w:right="4020" w:hanging="834"/>
        <w:spacing w:after="0" w:line="469" w:lineRule="auto"/>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4.7%</w:t>
      </w:r>
    </w:p>
    <w:p>
      <w:pPr>
        <w:spacing w:after="0" w:line="1" w:lineRule="exact"/>
        <w:rPr>
          <w:rFonts w:ascii="Arial" w:cs="Arial" w:eastAsia="Arial" w:hAnsi="Arial"/>
          <w:sz w:val="18"/>
          <w:szCs w:val="18"/>
          <w:color w:val="auto"/>
        </w:rPr>
      </w:pPr>
    </w:p>
    <w:p>
      <w:pPr>
        <w:ind w:left="1440" w:hanging="837"/>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880" w:type="dxa"/>
            <w:vAlign w:val="bottom"/>
            <w:tcBorders>
              <w:top w:val="single" w:sz="8" w:color="auto"/>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530719103</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22"/>
                <w:szCs w:val="22"/>
                <w:b w:val="1"/>
                <w:bCs w:val="1"/>
                <w:color w:val="auto"/>
              </w:rPr>
              <w:t>13G</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Borders>
              <w:right w:val="single" w:sz="8" w:color="auto"/>
            </w:tcBorders>
          </w:tcPr>
          <w:p>
            <w:pPr>
              <w:spacing w:after="0"/>
              <w:rPr>
                <w:sz w:val="23"/>
                <w:szCs w:val="23"/>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auto"/>
                <w:w w:val="96"/>
              </w:rPr>
              <w:t>NAME OF REPORTING PERSON</w:t>
            </w:r>
          </w:p>
        </w:tc>
        <w:tc>
          <w:tcPr>
            <w:tcW w:w="32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8900" w:type="dxa"/>
            <w:vAlign w:val="bottom"/>
            <w:gridSpan w:val="5"/>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auto"/>
                <w:w w:val="89"/>
              </w:rPr>
              <w:t>Comcast Programming Holdings, Inc.</w:t>
            </w:r>
          </w:p>
        </w:tc>
        <w:tc>
          <w:tcPr>
            <w:tcW w:w="3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Borders>
              <w:right w:val="single" w:sz="8" w:color="auto"/>
            </w:tcBorders>
          </w:tcPr>
          <w:p>
            <w:pPr>
              <w:spacing w:after="0"/>
              <w:rPr>
                <w:sz w:val="24"/>
                <w:szCs w:val="24"/>
                <w:color w:val="auto"/>
              </w:rPr>
            </w:pPr>
          </w:p>
        </w:tc>
        <w:tc>
          <w:tcPr>
            <w:tcW w:w="890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40" w:type="dxa"/>
            <w:vAlign w:val="bottom"/>
          </w:tcPr>
          <w:p>
            <w:pPr>
              <w:ind w:left="536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40" w:type="dxa"/>
            <w:vAlign w:val="bottom"/>
          </w:tcPr>
          <w:p>
            <w:pPr>
              <w:ind w:left="534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580" w:type="dxa"/>
            <w:vAlign w:val="bottom"/>
            <w:tcBorders>
              <w:right w:val="single" w:sz="8" w:color="auto"/>
            </w:tcBorders>
          </w:tcPr>
          <w:p>
            <w:pPr>
              <w:spacing w:after="0"/>
              <w:rPr>
                <w:sz w:val="24"/>
                <w:szCs w:val="24"/>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580" w:type="dxa"/>
            <w:vAlign w:val="bottom"/>
            <w:tcBorders>
              <w:right w:val="single" w:sz="8" w:color="auto"/>
            </w:tcBorders>
          </w:tcPr>
          <w:p>
            <w:pPr>
              <w:spacing w:after="0"/>
              <w:rPr>
                <w:sz w:val="24"/>
                <w:szCs w:val="24"/>
                <w:color w:val="auto"/>
              </w:rPr>
            </w:pPr>
          </w:p>
        </w:tc>
        <w:tc>
          <w:tcPr>
            <w:tcW w:w="890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79"/>
              </w:rPr>
              <w:t>5</w:t>
            </w:r>
          </w:p>
        </w:tc>
        <w:tc>
          <w:tcPr>
            <w:tcW w:w="58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79"/>
              </w:rPr>
              <w:t>6</w:t>
            </w:r>
          </w:p>
        </w:tc>
        <w:tc>
          <w:tcPr>
            <w:tcW w:w="58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00" w:type="dxa"/>
            <w:vAlign w:val="bottom"/>
          </w:tcPr>
          <w:p>
            <w:pPr>
              <w:spacing w:after="0"/>
              <w:rPr>
                <w:sz w:val="24"/>
                <w:szCs w:val="24"/>
                <w:color w:val="auto"/>
              </w:rPr>
            </w:pPr>
          </w:p>
        </w:tc>
        <w:tc>
          <w:tcPr>
            <w:tcW w:w="3140" w:type="dxa"/>
            <w:vAlign w:val="bottom"/>
            <w:tcBorders>
              <w:right w:val="single" w:sz="8" w:color="auto"/>
            </w:tcBorders>
            <w:gridSpan w:val="3"/>
          </w:tcPr>
          <w:p>
            <w:pPr>
              <w:jc w:val="center"/>
              <w:ind w:right="800"/>
              <w:spacing w:after="0"/>
              <w:rPr>
                <w:sz w:val="20"/>
                <w:szCs w:val="20"/>
                <w:color w:val="auto"/>
              </w:rPr>
            </w:pPr>
            <w:r>
              <w:rPr>
                <w:rFonts w:ascii="Arial" w:cs="Arial" w:eastAsia="Arial" w:hAnsi="Arial"/>
                <w:sz w:val="18"/>
                <w:szCs w:val="18"/>
                <w:color w:val="auto"/>
                <w:w w:val="93"/>
              </w:rPr>
              <w:t>NUMBER OF SHARES</w:t>
            </w:r>
          </w:p>
        </w:tc>
        <w:tc>
          <w:tcPr>
            <w:tcW w:w="1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5840" w:type="dxa"/>
            <w:vAlign w:val="bottom"/>
            <w:vMerge w:val="restart"/>
          </w:tcPr>
          <w:p>
            <w:pPr>
              <w:ind w:left="60"/>
              <w:spacing w:after="0"/>
              <w:rPr>
                <w:sz w:val="20"/>
                <w:szCs w:val="20"/>
                <w:color w:val="auto"/>
              </w:rPr>
            </w:pPr>
            <w:r>
              <w:rPr>
                <w:rFonts w:ascii="Arial" w:cs="Arial" w:eastAsia="Arial" w:hAnsi="Arial"/>
                <w:sz w:val="18"/>
                <w:szCs w:val="18"/>
                <w:color w:val="auto"/>
              </w:rPr>
              <w:t>-7,899,940*-</w:t>
            </w: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140" w:type="dxa"/>
            <w:vAlign w:val="bottom"/>
            <w:tcBorders>
              <w:right w:val="single" w:sz="8" w:color="auto"/>
            </w:tcBorders>
            <w:gridSpan w:val="3"/>
            <w:vMerge w:val="restart"/>
          </w:tcPr>
          <w:p>
            <w:pPr>
              <w:jc w:val="center"/>
              <w:ind w:right="800"/>
              <w:spacing w:after="0"/>
              <w:rPr>
                <w:sz w:val="20"/>
                <w:szCs w:val="20"/>
                <w:color w:val="auto"/>
              </w:rPr>
            </w:pPr>
            <w:r>
              <w:rPr>
                <w:rFonts w:ascii="Arial" w:cs="Arial" w:eastAsia="Arial" w:hAnsi="Arial"/>
                <w:sz w:val="18"/>
                <w:szCs w:val="18"/>
                <w:color w:val="auto"/>
                <w:w w:val="96"/>
              </w:rPr>
              <w:t>BENEFICIALLY OWNED BY</w:t>
            </w:r>
          </w:p>
        </w:tc>
        <w:tc>
          <w:tcPr>
            <w:tcW w:w="1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5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3140" w:type="dxa"/>
            <w:vAlign w:val="bottom"/>
            <w:tcBorders>
              <w:right w:val="single" w:sz="8" w:color="auto"/>
            </w:tcBorders>
            <w:gridSpan w:val="3"/>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3140" w:type="dxa"/>
            <w:vAlign w:val="bottom"/>
            <w:tcBorders>
              <w:right w:val="single" w:sz="8" w:color="auto"/>
            </w:tcBorders>
            <w:gridSpan w:val="3"/>
          </w:tcPr>
          <w:p>
            <w:pPr>
              <w:jc w:val="center"/>
              <w:ind w:right="800"/>
              <w:spacing w:after="0" w:line="191" w:lineRule="exact"/>
              <w:rPr>
                <w:sz w:val="20"/>
                <w:szCs w:val="20"/>
                <w:color w:val="auto"/>
              </w:rPr>
            </w:pPr>
            <w:r>
              <w:rPr>
                <w:rFonts w:ascii="Arial" w:cs="Arial" w:eastAsia="Arial" w:hAnsi="Arial"/>
                <w:sz w:val="18"/>
                <w:szCs w:val="18"/>
                <w:color w:val="auto"/>
                <w:w w:val="91"/>
              </w:rPr>
              <w:t>EACH REPORTING PERSON</w:t>
            </w:r>
          </w:p>
        </w:tc>
        <w:tc>
          <w:tcPr>
            <w:tcW w:w="180" w:type="dxa"/>
            <w:vAlign w:val="bottom"/>
          </w:tcPr>
          <w:p>
            <w:pPr>
              <w:spacing w:after="0"/>
              <w:rPr>
                <w:sz w:val="16"/>
                <w:szCs w:val="16"/>
                <w:color w:val="auto"/>
              </w:rPr>
            </w:pPr>
          </w:p>
        </w:tc>
        <w:tc>
          <w:tcPr>
            <w:tcW w:w="32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79"/>
              </w:rPr>
              <w:t>7</w:t>
            </w:r>
          </w:p>
        </w:tc>
        <w:tc>
          <w:tcPr>
            <w:tcW w:w="58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80" w:type="dxa"/>
            <w:vAlign w:val="bottom"/>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5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5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79"/>
              </w:rPr>
              <w:t>8</w:t>
            </w:r>
          </w:p>
        </w:tc>
        <w:tc>
          <w:tcPr>
            <w:tcW w:w="58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-7,899,940*-</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-4342765</wp:posOffset>
            </wp:positionV>
            <wp:extent cx="6521450" cy="4968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21450" cy="4968875"/>
                    </a:xfrm>
                    <a:prstGeom prst="rect">
                      <a:avLst/>
                    </a:prstGeom>
                    <a:noFill/>
                  </pic:spPr>
                </pic:pic>
              </a:graphicData>
            </a:graphic>
          </wp:anchor>
        </w:drawing>
      </w:r>
    </w:p>
    <w:p>
      <w:pPr>
        <w:spacing w:after="0" w:line="36" w:lineRule="exact"/>
        <w:rPr>
          <w:sz w:val="20"/>
          <w:szCs w:val="20"/>
          <w:color w:val="auto"/>
        </w:rPr>
      </w:pPr>
    </w:p>
    <w:p>
      <w:pPr>
        <w:ind w:left="1440" w:right="2440" w:hanging="793"/>
        <w:spacing w:after="0" w:line="519" w:lineRule="auto"/>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-7,899,940*-</w:t>
      </w:r>
    </w:p>
    <w:p>
      <w:pPr>
        <w:sectPr>
          <w:pgSz w:w="11900" w:h="16866" w:orient="portrait"/>
          <w:cols w:equalWidth="0" w:num="1">
            <w:col w:w="10280"/>
          </w:cols>
          <w:pgMar w:left="820" w:top="140" w:right="799" w:bottom="0" w:gutter="0" w:footer="0" w:header="0"/>
        </w:sectPr>
      </w:pPr>
    </w:p>
    <w:bookmarkStart w:id="2" w:name="page3"/>
    <w:bookmarkEnd w:id="2"/>
    <w:tbl>
      <w:tblPr>
        <w:tblLayout w:type="fixed"/>
        <w:tblInd w:w="600" w:type="dxa"/>
        <w:tblCellMar>
          <w:top w:w="0" w:type="dxa"/>
          <w:left w:w="0" w:type="dxa"/>
          <w:bottom w:w="0" w:type="dxa"/>
          <w:right w:w="0" w:type="dxa"/>
        </w:tblCellMar>
      </w:tblPr>
      <w:tr>
        <w:trPr>
          <w:trHeight w:val="222"/>
        </w:trPr>
        <w:tc>
          <w:tcPr>
            <w:tcW w:w="520" w:type="dxa"/>
            <w:vAlign w:val="bottom"/>
          </w:tcPr>
          <w:p>
            <w:pPr>
              <w:jc w:val="right"/>
              <w:ind w:right="252"/>
              <w:spacing w:after="0"/>
              <w:rPr>
                <w:sz w:val="20"/>
                <w:szCs w:val="20"/>
                <w:color w:val="auto"/>
              </w:rPr>
            </w:pPr>
            <w:r>
              <w:rPr>
                <w:rFonts w:ascii="Arial" w:cs="Arial" w:eastAsia="Arial" w:hAnsi="Arial"/>
                <w:sz w:val="18"/>
                <w:szCs w:val="18"/>
                <w:color w:val="auto"/>
                <w:w w:val="79"/>
              </w:rPr>
              <w:t>10</w:t>
            </w:r>
          </w:p>
        </w:tc>
        <w:tc>
          <w:tcPr>
            <w:tcW w:w="7220" w:type="dxa"/>
            <w:vAlign w:val="bottom"/>
          </w:tcPr>
          <w:p>
            <w:pPr>
              <w:ind w:left="320"/>
              <w:spacing w:after="0"/>
              <w:rPr>
                <w:sz w:val="20"/>
                <w:szCs w:val="20"/>
                <w:color w:val="auto"/>
              </w:rPr>
            </w:pPr>
            <w:r>
              <w:rPr>
                <w:rFonts w:ascii="Arial" w:cs="Arial" w:eastAsia="Arial" w:hAnsi="Arial"/>
                <w:sz w:val="18"/>
                <w:szCs w:val="18"/>
                <w:color w:val="auto"/>
                <w:w w:val="93"/>
              </w:rPr>
              <w:t>CHECK BOX IF THE AGGREGATE AMOUNT IN ROW (9) EXCLUDES CERTAIN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6521450" cy="1503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21450" cy="1503045"/>
                    </a:xfrm>
                    <a:prstGeom prst="rect">
                      <a:avLst/>
                    </a:prstGeom>
                    <a:noFill/>
                  </pic:spPr>
                </pic:pic>
              </a:graphicData>
            </a:graphic>
          </wp:anchor>
        </w:drawing>
      </w:r>
    </w:p>
    <w:p>
      <w:pPr>
        <w:ind w:left="10040"/>
        <w:spacing w:after="0"/>
        <w:rPr>
          <w:sz w:val="20"/>
          <w:szCs w:val="20"/>
          <w:color w:val="auto"/>
        </w:rPr>
      </w:pPr>
      <w:r>
        <w:rPr>
          <w:rFonts w:ascii="Arial" w:cs="Arial" w:eastAsia="Arial" w:hAnsi="Arial"/>
          <w:sz w:val="18"/>
          <w:szCs w:val="18"/>
          <w:color w:val="auto"/>
        </w:rPr>
        <w:t>o</w:t>
      </w:r>
    </w:p>
    <w:p>
      <w:pPr>
        <w:spacing w:after="0" w:line="381" w:lineRule="exact"/>
        <w:rPr>
          <w:sz w:val="20"/>
          <w:szCs w:val="20"/>
          <w:color w:val="auto"/>
        </w:rPr>
      </w:pPr>
    </w:p>
    <w:p>
      <w:pPr>
        <w:ind w:left="1440" w:right="4560" w:hanging="834"/>
        <w:spacing w:after="0" w:line="469" w:lineRule="auto"/>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4.7%</w:t>
      </w:r>
    </w:p>
    <w:p>
      <w:pPr>
        <w:spacing w:after="0" w:line="1" w:lineRule="exact"/>
        <w:rPr>
          <w:rFonts w:ascii="Arial" w:cs="Arial" w:eastAsia="Arial" w:hAnsi="Arial"/>
          <w:sz w:val="18"/>
          <w:szCs w:val="18"/>
          <w:color w:val="auto"/>
        </w:rPr>
      </w:pPr>
    </w:p>
    <w:p>
      <w:pPr>
        <w:ind w:left="1440" w:hanging="837"/>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w:t>
      </w:r>
    </w:p>
    <w:p>
      <w:pPr>
        <w:spacing w:after="0" w:line="104" w:lineRule="exact"/>
        <w:rPr>
          <w:sz w:val="20"/>
          <w:szCs w:val="20"/>
          <w:color w:val="auto"/>
        </w:rPr>
      </w:pPr>
    </w:p>
    <w:p>
      <w:pPr>
        <w:ind w:left="580" w:hanging="332"/>
        <w:spacing w:after="0" w:line="268"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of the shares of Series A Common Stock, par value $.01 per share (“Series A Common Stock”), that are reported as beneficially owned by the Reporting Person are owned by Comcast QVC, Inc.</w:t>
      </w:r>
    </w:p>
    <w:p>
      <w:pPr>
        <w:spacing w:after="0" w:line="18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880" w:type="dxa"/>
            <w:vAlign w:val="bottom"/>
            <w:tcBorders>
              <w:top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530719103</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22"/>
                <w:szCs w:val="22"/>
                <w:b w:val="1"/>
                <w:bCs w:val="1"/>
                <w:color w:val="auto"/>
              </w:rPr>
              <w:t>13G</w:t>
            </w:r>
          </w:p>
        </w:tc>
        <w:tc>
          <w:tcPr>
            <w:tcW w:w="0" w:type="dxa"/>
            <w:vAlign w:val="bottom"/>
          </w:tcPr>
          <w:p>
            <w:pPr>
              <w:spacing w:after="0"/>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w w:val="93"/>
              </w:rPr>
              <w:t>NAME OF REPORTING PERSON</w:t>
            </w:r>
          </w:p>
        </w:tc>
        <w:tc>
          <w:tcPr>
            <w:tcW w:w="40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Comcast Holdings Corporation</w:t>
            </w: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-7,899,940*-</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00" w:type="dxa"/>
            <w:vAlign w:val="bottom"/>
          </w:tcPr>
          <w:p>
            <w:pPr>
              <w:spacing w:after="0"/>
              <w:rPr>
                <w:sz w:val="16"/>
                <w:szCs w:val="16"/>
                <w:color w:val="auto"/>
              </w:rPr>
            </w:pPr>
          </w:p>
        </w:tc>
        <w:tc>
          <w:tcPr>
            <w:tcW w:w="40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00" w:type="dxa"/>
            <w:vAlign w:val="bottom"/>
          </w:tcPr>
          <w:p>
            <w:pPr>
              <w:spacing w:after="0"/>
              <w:rPr>
                <w:sz w:val="7"/>
                <w:szCs w:val="7"/>
                <w:color w:val="auto"/>
              </w:rPr>
            </w:pPr>
          </w:p>
        </w:tc>
        <w:tc>
          <w:tcPr>
            <w:tcW w:w="40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-7,899,940*-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-7,899,940*-</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4.7%</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3"/>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w w:val="95"/>
              </w:rPr>
              <w:t>TYPE OF REPORTING PERSON</w:t>
            </w: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60" w:type="dxa"/>
            <w:vAlign w:val="bottom"/>
            <w:gridSpan w:val="3"/>
          </w:tcPr>
          <w:p>
            <w:pPr>
              <w:ind w:left="120"/>
              <w:spacing w:after="0"/>
              <w:rPr>
                <w:sz w:val="20"/>
                <w:szCs w:val="20"/>
                <w:color w:val="auto"/>
              </w:rPr>
            </w:pPr>
            <w:r>
              <w:rPr>
                <w:rFonts w:ascii="Arial" w:cs="Arial" w:eastAsia="Arial" w:hAnsi="Arial"/>
                <w:sz w:val="18"/>
                <w:szCs w:val="18"/>
                <w:color w:val="auto"/>
              </w:rPr>
              <w:t>CO</w:t>
            </w: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ind w:left="4700" w:right="100" w:hanging="4452"/>
        <w:spacing w:after="0" w:line="536"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of the shares of Series A Common Stock, that are reported as beneficially owned by the Reporting Person, are owned by Comcast QVC, Inc. 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-24765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820"/>
          </w:cols>
          <w:pgMar w:left="820" w:top="131" w:right="259" w:bottom="0" w:gutter="0" w:footer="0" w:header="0"/>
        </w:sectPr>
      </w:pPr>
    </w:p>
    <w:bookmarkStart w:id="3" w:name="page4"/>
    <w:bookmarkEnd w:id="3"/>
    <w:tbl>
      <w:tblPr>
        <w:tblLayout w:type="fixed"/>
        <w:tblInd w:w="590" w:type="dxa"/>
        <w:tblCellMar>
          <w:top w:w="0" w:type="dxa"/>
          <w:left w:w="0" w:type="dxa"/>
          <w:bottom w:w="0" w:type="dxa"/>
          <w:right w:w="0" w:type="dxa"/>
        </w:tblCellMar>
      </w:tblPr>
      <w:tr>
        <w:trPr>
          <w:trHeight w:val="391"/>
        </w:trPr>
        <w:tc>
          <w:tcPr>
            <w:tcW w:w="2880" w:type="dxa"/>
            <w:vAlign w:val="bottom"/>
            <w:tcBorders>
              <w:top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530719103</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22"/>
                <w:szCs w:val="22"/>
                <w:b w:val="1"/>
                <w:bCs w:val="1"/>
                <w:color w:val="auto"/>
              </w:rPr>
              <w:t>13G</w:t>
            </w:r>
          </w:p>
        </w:tc>
        <w:tc>
          <w:tcPr>
            <w:tcW w:w="0" w:type="dxa"/>
            <w:vAlign w:val="bottom"/>
          </w:tcPr>
          <w:p>
            <w:pPr>
              <w:spacing w:after="0"/>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w w:val="93"/>
              </w:rPr>
              <w:t>NAME OF REPORTING PERSON</w:t>
            </w:r>
          </w:p>
        </w:tc>
        <w:tc>
          <w:tcPr>
            <w:tcW w:w="40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26"/>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Comcast Corporation</w:t>
            </w: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27-0000798</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9"/>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60" w:type="dxa"/>
            <w:vAlign w:val="bottom"/>
            <w:gridSpan w:val="3"/>
          </w:tcPr>
          <w:p>
            <w:pPr>
              <w:jc w:val="center"/>
              <w:ind w:right="1480"/>
              <w:spacing w:after="0"/>
              <w:rPr>
                <w:sz w:val="20"/>
                <w:szCs w:val="20"/>
                <w:color w:val="auto"/>
              </w:rPr>
            </w:pPr>
            <w:r>
              <w:rPr>
                <w:rFonts w:ascii="Arial" w:cs="Arial" w:eastAsia="Arial" w:hAnsi="Arial"/>
                <w:sz w:val="18"/>
                <w:szCs w:val="18"/>
                <w:color w:val="auto"/>
                <w:w w:val="87"/>
              </w:rPr>
              <w:t>Pennsylvania</w:t>
            </w: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-7,899,940*-</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00" w:type="dxa"/>
            <w:vAlign w:val="bottom"/>
          </w:tcPr>
          <w:p>
            <w:pPr>
              <w:spacing w:after="0"/>
              <w:rPr>
                <w:sz w:val="16"/>
                <w:szCs w:val="16"/>
                <w:color w:val="auto"/>
              </w:rPr>
            </w:pPr>
          </w:p>
        </w:tc>
        <w:tc>
          <w:tcPr>
            <w:tcW w:w="40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00" w:type="dxa"/>
            <w:vAlign w:val="bottom"/>
          </w:tcPr>
          <w:p>
            <w:pPr>
              <w:spacing w:after="0"/>
              <w:rPr>
                <w:sz w:val="7"/>
                <w:szCs w:val="7"/>
                <w:color w:val="auto"/>
              </w:rPr>
            </w:pPr>
          </w:p>
        </w:tc>
        <w:tc>
          <w:tcPr>
            <w:tcW w:w="40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-7,899,940*-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-7,899,940*-</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4.7%</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3"/>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w w:val="95"/>
              </w:rPr>
              <w:t>TYPE OF REPORTING PERSON</w:t>
            </w: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60" w:type="dxa"/>
            <w:vAlign w:val="bottom"/>
            <w:gridSpan w:val="3"/>
          </w:tcPr>
          <w:p>
            <w:pPr>
              <w:ind w:left="120"/>
              <w:spacing w:after="0"/>
              <w:rPr>
                <w:sz w:val="20"/>
                <w:szCs w:val="20"/>
                <w:color w:val="auto"/>
              </w:rPr>
            </w:pPr>
            <w:r>
              <w:rPr>
                <w:rFonts w:ascii="Arial" w:cs="Arial" w:eastAsia="Arial" w:hAnsi="Arial"/>
                <w:sz w:val="18"/>
                <w:szCs w:val="18"/>
                <w:color w:val="auto"/>
              </w:rPr>
              <w:t>CO</w:t>
            </w: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ind w:left="5280" w:hanging="4452"/>
        <w:spacing w:after="0" w:line="536"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of the shares of Series A Common Stock, that are reported as beneficially owned by the Reporting Person, are owned by Comcast QVC, Inc. 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Liberty Media International,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12300 Liberty Boulevard</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Englewood, Colorado 80112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Names of Persons Filing:</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statement is filed on behalf of the persons identified below (the “Reporting Persons”).</w:t>
      </w:r>
    </w:p>
    <w:p>
      <w:pPr>
        <w:sectPr>
          <w:pgSz w:w="11900" w:h="16838" w:orient="portrait"/>
          <w:cols w:equalWidth="0" w:num="1">
            <w:col w:w="11300"/>
          </w:cols>
          <w:pgMar w:left="240" w:top="1089" w:right="359" w:bottom="0" w:gutter="0" w:footer="0" w:header="0"/>
        </w:sectPr>
      </w:pPr>
    </w:p>
    <w:bookmarkStart w:id="4" w:name="page5"/>
    <w:bookmarkEnd w:id="4"/>
    <w:p>
      <w:pPr>
        <w:ind w:left="280"/>
        <w:spacing w:after="0"/>
        <w:rPr>
          <w:sz w:val="20"/>
          <w:szCs w:val="20"/>
          <w:color w:val="auto"/>
        </w:rPr>
      </w:pPr>
      <w:r>
        <w:rPr>
          <w:rFonts w:ascii="Arial" w:cs="Arial" w:eastAsia="Arial" w:hAnsi="Arial"/>
          <w:sz w:val="18"/>
          <w:szCs w:val="18"/>
          <w:color w:val="auto"/>
        </w:rPr>
        <w:t>Comcast QVC, Inc.</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Programming Holdings, Inc.</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Holdings Corporation</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58"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The address of the principal business office of each of Comcast QVC, Inc. and Comcast Programming Holdings, Inc. is 1201 N. Market Street, Suite 1000, Wilmington, Delaware 19801.</w:t>
      </w:r>
    </w:p>
    <w:p>
      <w:pPr>
        <w:spacing w:after="0" w:line="213" w:lineRule="exact"/>
        <w:rPr>
          <w:sz w:val="20"/>
          <w:szCs w:val="20"/>
          <w:color w:val="auto"/>
        </w:rPr>
      </w:pPr>
    </w:p>
    <w:p>
      <w:pPr>
        <w:ind w:right="200" w:firstLine="270"/>
        <w:spacing w:after="0" w:line="268" w:lineRule="auto"/>
        <w:rPr>
          <w:sz w:val="20"/>
          <w:szCs w:val="20"/>
          <w:color w:val="auto"/>
        </w:rPr>
      </w:pPr>
      <w:r>
        <w:rPr>
          <w:rFonts w:ascii="Arial" w:cs="Arial" w:eastAsia="Arial" w:hAnsi="Arial"/>
          <w:sz w:val="18"/>
          <w:szCs w:val="18"/>
          <w:color w:val="auto"/>
        </w:rPr>
        <w:t>The address of the principal business office of each of Comcast Holdings Corporation and Comcast Corporation is 1500 Market Street, Philadelphia, PA 19102.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QVC, Inc. – Delaware</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Programming Holdings, Inc. – Delaware</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Holdings Corporation – Pennsylvania</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Corporation – Pennsylvania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Series A Common Stock, par value $.01 per share (“Series A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530718105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218"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5"/>
          <w:szCs w:val="15"/>
          <w:color w:val="auto"/>
        </w:rPr>
        <w:t>Broker or dealer registered under Section 15 of the Exchange Act;</w:t>
      </w:r>
    </w:p>
    <w:p>
      <w:pPr>
        <w:spacing w:after="0" w:line="233"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6"/>
          <w:szCs w:val="16"/>
          <w:color w:val="auto"/>
        </w:rPr>
        <w:t>Bank as defined in Section 3(a)(6) of the Exchange Act;</w:t>
      </w:r>
    </w:p>
    <w:p>
      <w:pPr>
        <w:spacing w:after="0" w:line="233"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5"/>
          <w:szCs w:val="15"/>
          <w:color w:val="auto"/>
        </w:rPr>
        <w:t>Insurance company as defined in Section 3(a)(19) of the Exchange Act;</w:t>
      </w:r>
    </w:p>
    <w:p>
      <w:pPr>
        <w:spacing w:after="0" w:line="233"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5"/>
          <w:szCs w:val="15"/>
          <w:color w:val="auto"/>
        </w:rPr>
        <w:t>Investment company registered under Section 8 of the Investment Company Act;</w:t>
      </w:r>
    </w:p>
    <w:p>
      <w:pPr>
        <w:spacing w:after="0" w:line="233"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6"/>
          <w:szCs w:val="16"/>
          <w:color w:val="auto"/>
        </w:rPr>
        <w:t>An investment adviser in accordance with Rule 13d-1(b)(1)(ii)(E);</w:t>
      </w:r>
    </w:p>
    <w:p>
      <w:pPr>
        <w:spacing w:after="0" w:line="200" w:lineRule="exact"/>
        <w:rPr>
          <w:sz w:val="20"/>
          <w:szCs w:val="20"/>
          <w:color w:val="auto"/>
        </w:rPr>
      </w:pP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00" w:hanging="538"/>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6"/>
          <w:szCs w:val="16"/>
          <w:color w:val="auto"/>
        </w:rPr>
        <w:t>An employee benefit plan or endowment fund in accordance with Rule 13d-1(b)(1)(ii)(F);</w:t>
      </w:r>
    </w:p>
    <w:p>
      <w:pPr>
        <w:spacing w:after="0" w:line="233" w:lineRule="exact"/>
        <w:rPr>
          <w:rFonts w:ascii="Arial" w:cs="Arial" w:eastAsia="Arial" w:hAnsi="Arial"/>
          <w:sz w:val="18"/>
          <w:szCs w:val="18"/>
          <w:color w:val="auto"/>
        </w:rPr>
      </w:pPr>
    </w:p>
    <w:p>
      <w:pPr>
        <w:ind w:left="1100" w:hanging="538"/>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6"/>
          <w:szCs w:val="16"/>
          <w:color w:val="auto"/>
        </w:rPr>
        <w:t>A parent holding company or control person in accordance with Rule 13d-1(b)(1)(ii)(G);</w:t>
      </w:r>
    </w:p>
    <w:p>
      <w:pPr>
        <w:spacing w:after="0" w:line="233" w:lineRule="exact"/>
        <w:rPr>
          <w:rFonts w:ascii="Arial" w:cs="Arial" w:eastAsia="Arial" w:hAnsi="Arial"/>
          <w:sz w:val="18"/>
          <w:szCs w:val="18"/>
          <w:color w:val="auto"/>
        </w:rPr>
      </w:pPr>
    </w:p>
    <w:p>
      <w:pPr>
        <w:ind w:left="1100" w:hanging="538"/>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5"/>
          <w:szCs w:val="15"/>
          <w:color w:val="auto"/>
        </w:rPr>
        <w:t>A savings association as defined in Section 3(b) of the Federal Deposit Insurance Act;</w:t>
      </w:r>
    </w:p>
    <w:p>
      <w:pPr>
        <w:sectPr>
          <w:pgSz w:w="11900" w:h="16838" w:orient="portrait"/>
          <w:cols w:equalWidth="0" w:num="1">
            <w:col w:w="11180"/>
          </w:cols>
          <w:pgMar w:left="240" w:top="131" w:right="479" w:bottom="0" w:gutter="0" w:footer="0" w:header="0"/>
        </w:sectPr>
      </w:pPr>
    </w:p>
    <w:p>
      <w:pPr>
        <w:spacing w:after="0" w:line="2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o</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 church plan that is excluded from the definition of an investment company under Section 3(c)(14) of the Investment Company Act;</w:t>
      </w:r>
    </w:p>
    <w:p>
      <w:pPr>
        <w:spacing w:after="0" w:line="200" w:lineRule="exact"/>
        <w:rPr>
          <w:sz w:val="20"/>
          <w:szCs w:val="20"/>
          <w:color w:val="auto"/>
        </w:rPr>
      </w:pPr>
    </w:p>
    <w:p>
      <w:pPr>
        <w:sectPr>
          <w:pgSz w:w="11900" w:h="16838" w:orient="portrait"/>
          <w:cols w:equalWidth="0" w:num="3">
            <w:col w:w="720" w:space="380"/>
            <w:col w:w="120" w:space="420"/>
            <w:col w:w="9540"/>
          </w:cols>
          <w:pgMar w:left="240" w:top="131" w:right="479" w:bottom="0" w:gutter="0" w:footer="0" w:header="0"/>
          <w:type w:val="continuous"/>
        </w:sectPr>
      </w:pPr>
    </w:p>
    <w:p>
      <w:pPr>
        <w:ind w:left="1100" w:hanging="538"/>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6"/>
          <w:szCs w:val="16"/>
          <w:color w:val="auto"/>
        </w:rPr>
        <w:t>Group, in accordance with Rule 13d-1(b)(1)(ii)(J).</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31" w:lineRule="exact"/>
        <w:rPr>
          <w:sz w:val="20"/>
          <w:szCs w:val="20"/>
          <w:color w:val="auto"/>
        </w:rPr>
      </w:pPr>
    </w:p>
    <w:p>
      <w:pPr>
        <w:ind w:left="1100" w:hanging="538"/>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 7,899,940</w:t>
      </w:r>
    </w:p>
    <w:p>
      <w:pPr>
        <w:spacing w:after="0" w:line="279" w:lineRule="exact"/>
        <w:rPr>
          <w:rFonts w:ascii="Arial" w:cs="Arial" w:eastAsia="Arial" w:hAnsi="Arial"/>
          <w:sz w:val="18"/>
          <w:szCs w:val="18"/>
          <w:color w:val="auto"/>
        </w:rPr>
      </w:pPr>
    </w:p>
    <w:p>
      <w:pPr>
        <w:ind w:left="1100" w:hanging="538"/>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4.7%</w:t>
      </w:r>
    </w:p>
    <w:p>
      <w:pPr>
        <w:spacing w:after="0" w:line="279" w:lineRule="exact"/>
        <w:rPr>
          <w:rFonts w:ascii="Arial" w:cs="Arial" w:eastAsia="Arial" w:hAnsi="Arial"/>
          <w:sz w:val="18"/>
          <w:szCs w:val="18"/>
          <w:color w:val="auto"/>
        </w:rPr>
      </w:pPr>
    </w:p>
    <w:p>
      <w:pPr>
        <w:ind w:left="1100" w:hanging="538"/>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ectPr>
          <w:pgSz w:w="11900" w:h="16838" w:orient="portrait"/>
          <w:cols w:equalWidth="0" w:num="1">
            <w:col w:w="11180"/>
          </w:cols>
          <w:pgMar w:left="240" w:top="131" w:right="479" w:bottom="0" w:gutter="0" w:footer="0" w:header="0"/>
          <w:type w:val="continuous"/>
        </w:sectPr>
      </w:pPr>
    </w:p>
    <w:bookmarkStart w:id="5" w:name="page6"/>
    <w:bookmarkEnd w:id="5"/>
    <w:p>
      <w:pPr>
        <w:ind w:left="1640" w:hanging="538"/>
        <w:spacing w:after="0"/>
        <w:tabs>
          <w:tab w:leader="none" w:pos="1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79" w:lineRule="exact"/>
        <w:rPr>
          <w:rFonts w:ascii="Arial" w:cs="Arial" w:eastAsia="Arial" w:hAnsi="Arial"/>
          <w:sz w:val="18"/>
          <w:szCs w:val="18"/>
          <w:color w:val="auto"/>
        </w:rPr>
      </w:pPr>
    </w:p>
    <w:p>
      <w:pPr>
        <w:ind w:left="1640" w:hanging="538"/>
        <w:spacing w:after="0"/>
        <w:tabs>
          <w:tab w:leader="none" w:pos="1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Shared power to vote or to direct the vote: 7,899,940</w:t>
      </w:r>
    </w:p>
    <w:p>
      <w:pPr>
        <w:spacing w:after="0" w:line="279" w:lineRule="exact"/>
        <w:rPr>
          <w:rFonts w:ascii="Arial" w:cs="Arial" w:eastAsia="Arial" w:hAnsi="Arial"/>
          <w:sz w:val="18"/>
          <w:szCs w:val="18"/>
          <w:color w:val="auto"/>
        </w:rPr>
      </w:pPr>
    </w:p>
    <w:p>
      <w:pPr>
        <w:ind w:left="1640" w:hanging="538"/>
        <w:spacing w:after="0"/>
        <w:tabs>
          <w:tab w:leader="none" w:pos="1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79" w:lineRule="exact"/>
        <w:rPr>
          <w:rFonts w:ascii="Arial" w:cs="Arial" w:eastAsia="Arial" w:hAnsi="Arial"/>
          <w:sz w:val="18"/>
          <w:szCs w:val="18"/>
          <w:color w:val="auto"/>
        </w:rPr>
      </w:pPr>
    </w:p>
    <w:p>
      <w:pPr>
        <w:ind w:left="1640" w:hanging="538"/>
        <w:spacing w:after="0"/>
        <w:tabs>
          <w:tab w:leader="none" w:pos="1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7,899,940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8" w:lineRule="exact"/>
        <w:rPr>
          <w:sz w:val="20"/>
          <w:szCs w:val="20"/>
          <w:color w:val="auto"/>
        </w:rPr>
      </w:pPr>
    </w:p>
    <w:p>
      <w:pPr>
        <w:ind w:right="120" w:firstLine="27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Subsidiaries Which Acquired the Security Being Reported on by the Parent Holding Company.</w:t>
      </w:r>
    </w:p>
    <w:p>
      <w:pPr>
        <w:spacing w:after="0" w:line="2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QVC, Inc. owns 7,899,940 shares of Series A Common Stock.</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QVC, Inc. is a direct, wholly owned subsidiary of Comcast Programming Holdings, Inc.</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Programming Holdings, Inc. is a direct, wholly owned subsidiary of Comcast Holdings Corporation.</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Holdings Corporation is a direct, wholly owned subsidiary of Comcast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58"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2005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QVC, INC.</w:t>
      </w:r>
    </w:p>
    <w:p>
      <w:pPr>
        <w:spacing w:after="0" w:line="225"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80010</wp:posOffset>
            </wp:positionV>
            <wp:extent cx="2032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1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James P. McCue</w:t>
      </w:r>
    </w:p>
    <w:p>
      <w:pPr>
        <w:spacing w:after="0" w:line="15"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Title:</w:t>
        <w:tab/>
        <w:t>President</w:t>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PROGRAMMING HOLDINGS, INC.</w:t>
      </w:r>
    </w:p>
    <w:p>
      <w:pPr>
        <w:spacing w:after="0" w:line="225"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80010</wp:posOffset>
            </wp:positionV>
            <wp:extent cx="20326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ectPr>
          <w:pgSz w:w="11900" w:h="16838" w:orient="portrait"/>
          <w:cols w:equalWidth="0" w:num="1">
            <w:col w:w="11400"/>
          </w:cols>
          <w:pgMar w:left="240" w:top="388" w:right="259" w:bottom="0" w:gutter="0" w:footer="0" w:header="0"/>
        </w:sectPr>
      </w:pPr>
    </w:p>
    <w:bookmarkStart w:id="6" w:name="page7"/>
    <w:bookmarkEnd w:id="6"/>
    <w:p>
      <w:pPr>
        <w:spacing w:after="0" w:line="1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James P. McCue</w:t>
      </w:r>
    </w:p>
    <w:p>
      <w:pPr>
        <w:spacing w:after="0" w:line="15"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Title:</w:t>
        <w:tab/>
        <w:t>President</w:t>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HOLDINGS CORPORATION</w:t>
      </w:r>
    </w:p>
    <w:p>
      <w:pPr>
        <w:spacing w:after="0" w:line="225"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80010</wp:posOffset>
            </wp:positionV>
            <wp:extent cx="20326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1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Title:</w:t>
        <w:tab/>
        <w:t>Senior Vice President</w:t>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80010</wp:posOffset>
            </wp:positionV>
            <wp:extent cx="20326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1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Title:</w:t>
        <w:tab/>
        <w:t>Senior Vice President</w:t>
      </w:r>
    </w:p>
    <w:p>
      <w:pPr>
        <w:spacing w:after="0" w:line="24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SCHEDULES</w:t>
      </w:r>
    </w:p>
    <w:p>
      <w:pPr>
        <w:spacing w:after="0" w:line="200" w:lineRule="exact"/>
        <w:rPr>
          <w:sz w:val="20"/>
          <w:szCs w:val="20"/>
          <w:color w:val="auto"/>
        </w:rPr>
      </w:pPr>
    </w:p>
    <w:p>
      <w:pPr>
        <w:spacing w:after="0" w:line="295" w:lineRule="exact"/>
        <w:rPr>
          <w:sz w:val="20"/>
          <w:szCs w:val="20"/>
          <w:color w:val="auto"/>
        </w:rPr>
      </w:pPr>
    </w:p>
    <w:p>
      <w:pPr>
        <w:ind w:left="1220" w:right="700" w:hanging="961"/>
        <w:spacing w:after="0" w:line="268" w:lineRule="auto"/>
        <w:tabs>
          <w:tab w:leader="none" w:pos="1200" w:val="left"/>
        </w:tabs>
        <w:rPr>
          <w:sz w:val="20"/>
          <w:szCs w:val="20"/>
          <w:color w:val="auto"/>
        </w:rPr>
      </w:pPr>
      <w:r>
        <w:rPr>
          <w:rFonts w:ascii="Arial" w:cs="Arial" w:eastAsia="Arial" w:hAnsi="Arial"/>
          <w:sz w:val="18"/>
          <w:szCs w:val="18"/>
          <w:color w:val="auto"/>
        </w:rPr>
        <w:t>Schedule I</w:t>
        <w:tab/>
        <w:t>Termination of Joint Filing Agreement dated July 29, 2004 among Comcast QVC Inc., Comcast Programming Holdings, Inc., Comcast Holdings Corporation and Comcast Corporation.</w:t>
      </w:r>
    </w:p>
    <w:p>
      <w:pPr>
        <w:spacing w:after="0" w:line="200" w:lineRule="exact"/>
        <w:rPr>
          <w:sz w:val="20"/>
          <w:szCs w:val="20"/>
          <w:color w:val="auto"/>
        </w:rPr>
      </w:pPr>
    </w:p>
    <w:p>
      <w:pPr>
        <w:spacing w:after="0" w:line="3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 OF JOINT FILING AGREEMENT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EXECUTED PURSUANT TO RULE 13d-1(k)(1)</w:t>
      </w:r>
    </w:p>
    <w:p>
      <w:pPr>
        <w:spacing w:after="0" w:line="246" w:lineRule="exact"/>
        <w:rPr>
          <w:sz w:val="20"/>
          <w:szCs w:val="20"/>
          <w:color w:val="auto"/>
        </w:rPr>
      </w:pPr>
    </w:p>
    <w:p>
      <w:pPr>
        <w:ind w:right="740" w:firstLine="270"/>
        <w:spacing w:after="0" w:line="268" w:lineRule="auto"/>
        <w:rPr>
          <w:sz w:val="20"/>
          <w:szCs w:val="20"/>
          <w:color w:val="auto"/>
        </w:rPr>
      </w:pPr>
      <w:r>
        <w:rPr>
          <w:rFonts w:ascii="Arial" w:cs="Arial" w:eastAsia="Arial" w:hAnsi="Arial"/>
          <w:sz w:val="18"/>
          <w:szCs w:val="18"/>
          <w:color w:val="auto"/>
        </w:rPr>
        <w:t>The undersigned hereby terminate the Joint Filing Agreement among them dated July 29, 2004. This termination may be executed in any number of counterparts and all of such counterparts taken together shall constitute one and the same instrument.</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Dated as of: January 27, 2005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QVC, INC.</w:t>
      </w:r>
    </w:p>
    <w:p>
      <w:pPr>
        <w:spacing w:after="0" w:line="225"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80010</wp:posOffset>
            </wp:positionV>
            <wp:extent cx="20326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1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James P. McCue</w:t>
      </w:r>
    </w:p>
    <w:p>
      <w:pPr>
        <w:spacing w:after="0" w:line="15"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Title:</w:t>
        <w:tab/>
        <w:t>President</w:t>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PROGRAMMING HOLDINGS, INC.</w:t>
      </w:r>
    </w:p>
    <w:p>
      <w:pPr>
        <w:spacing w:after="0" w:line="225"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80010</wp:posOffset>
            </wp:positionV>
            <wp:extent cx="20326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1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James P. McCue</w:t>
      </w:r>
    </w:p>
    <w:p>
      <w:pPr>
        <w:spacing w:after="0" w:line="15"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Title:</w:t>
        <w:tab/>
        <w:t>President</w:t>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HOLDINGS CORPORATION</w:t>
      </w:r>
    </w:p>
    <w:p>
      <w:pPr>
        <w:spacing w:after="0" w:line="225"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80010</wp:posOffset>
            </wp:positionV>
            <wp:extent cx="20326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1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Title:</w:t>
        <w:tab/>
        <w:t>Senior Vice President</w:t>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80010</wp:posOffset>
            </wp:positionV>
            <wp:extent cx="20326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1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Arthur R. Block</w:t>
      </w:r>
    </w:p>
    <w:p>
      <w:pPr>
        <w:sectPr>
          <w:pgSz w:w="11900" w:h="16853" w:orient="portrait"/>
          <w:cols w:equalWidth="0" w:num="1">
            <w:col w:w="11420"/>
          </w:cols>
          <w:pgMar w:left="240" w:top="131" w:right="239" w:bottom="0" w:gutter="0" w:footer="0" w:header="0"/>
        </w:sectPr>
      </w:pPr>
    </w:p>
    <w:bookmarkStart w:id="7" w:name="page8"/>
    <w:bookmarkEnd w:id="7"/>
    <w:p>
      <w:pPr>
        <w:jc w:val="both"/>
        <w:ind w:left="4920"/>
        <w:spacing w:after="0"/>
        <w:tabs>
          <w:tab w:leader="none" w:pos="5480" w:val="left"/>
        </w:tabs>
        <w:rPr>
          <w:sz w:val="20"/>
          <w:szCs w:val="20"/>
          <w:color w:val="auto"/>
        </w:rPr>
      </w:pPr>
      <w:r>
        <w:rPr>
          <w:rFonts w:ascii="Arial" w:cs="Arial" w:eastAsia="Arial" w:hAnsi="Arial"/>
          <w:sz w:val="18"/>
          <w:szCs w:val="18"/>
          <w:color w:val="auto"/>
        </w:rPr>
        <w:t>Title:</w:t>
        <w:tab/>
        <w:t>Senior Vice President</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Page 11 of 11</w:t>
      </w:r>
    </w:p>
    <w:sectPr>
      <w:pgSz w:w="11900" w:h="16838" w:orient="portrait"/>
      <w:cols w:equalWidth="0" w:num="1">
        <w:col w:w="9019"/>
      </w:cols>
      <w:pgMar w:left="14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o"/>
      <w:numFmt w:val="bullet"/>
      <w:start w:val="1"/>
    </w:lvl>
  </w:abstractNum>
  <w:abstractNum w:abstractNumId="1">
    <w:nsid w:val="12200854"/>
    <w:multiLevelType w:val="hybridMultilevel"/>
    <w:lvl w:ilvl="0">
      <w:lvlJc w:val="left"/>
      <w:lvlText w:val="1"/>
      <w:numFmt w:val="bullet"/>
      <w:start w:val="1"/>
    </w:lvl>
  </w:abstractNum>
  <w:abstractNum w:abstractNumId="2">
    <w:nsid w:val="4DB127F8"/>
    <w:multiLevelType w:val="hybridMultilevel"/>
    <w:lvl w:ilvl="0">
      <w:lvlJc w:val="left"/>
      <w:lvlText w:val="2"/>
      <w:numFmt w:val="bullet"/>
      <w:start w:val="1"/>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4"/>
      <w:numFmt w:val="bullet"/>
      <w:start w:val="1"/>
    </w:lvl>
  </w:abstractNum>
  <w:abstractNum w:abstractNumId="5">
    <w:nsid w:val="1190CDE7"/>
    <w:multiLevelType w:val="hybridMultilevel"/>
    <w:lvl w:ilvl="0">
      <w:lvlJc w:val="left"/>
      <w:lvlText w:val="9"/>
      <w:numFmt w:val="bullet"/>
      <w:start w:val="1"/>
    </w:lvl>
  </w:abstractNum>
  <w:abstractNum w:abstractNumId="6">
    <w:nsid w:val="66EF438D"/>
    <w:multiLevelType w:val="hybridMultilevel"/>
    <w:lvl w:ilvl="0">
      <w:lvlJc w:val="left"/>
      <w:lvlText w:val="%1"/>
      <w:numFmt w:val="decimal"/>
      <w:start w:val="11"/>
    </w:lvl>
  </w:abstractNum>
  <w:abstractNum w:abstractNumId="7">
    <w:nsid w:val="140E0F76"/>
    <w:multiLevelType w:val="hybridMultilevel"/>
    <w:lvl w:ilvl="0">
      <w:lvlJc w:val="left"/>
      <w:lvlText w:val="9"/>
      <w:numFmt w:val="bullet"/>
      <w:start w:val="1"/>
    </w:lvl>
  </w:abstractNum>
  <w:abstractNum w:abstractNumId="8">
    <w:nsid w:val="3352255A"/>
    <w:multiLevelType w:val="hybridMultilevel"/>
    <w:lvl w:ilvl="0">
      <w:lvlJc w:val="left"/>
      <w:lvlText w:val="%1"/>
      <w:numFmt w:val="decimal"/>
      <w:start w:val="1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6"/>
    </w:lvl>
  </w:abstractNum>
  <w:abstractNum w:abstractNumId="14">
    <w:nsid w:val="6B68079A"/>
    <w:multiLevelType w:val="hybridMultilevel"/>
    <w:lvl w:ilvl="0">
      <w:lvlJc w:val="left"/>
      <w:lvlText w:val="(%1)"/>
      <w:numFmt w:val="lowerLetter"/>
      <w:start w:val="10"/>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2019-12-12T04:35:01Z</dcterms:created>
  <dcterms:modified xsi:type="dcterms:W3CDTF">2019-12-12T04:35:01Z</dcterms:modified>
</cp:coreProperties>
</file>