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March 21,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500" w:type="dxa"/>
        <w:tblCellMar>
          <w:top w:w="0" w:type="dxa"/>
          <w:left w:w="0" w:type="dxa"/>
          <w:bottom w:w="0" w:type="dxa"/>
          <w:right w:w="0" w:type="dxa"/>
        </w:tblCellMar>
      </w:tblPr>
      <w:tr>
        <w:trPr>
          <w:trHeight w:val="218"/>
        </w:trPr>
        <w:tc>
          <w:tcPr>
            <w:tcW w:w="4480" w:type="dxa"/>
            <w:vAlign w:val="bottom"/>
          </w:tcPr>
          <w:p>
            <w:pPr>
              <w:jc w:val="center"/>
              <w:ind w:right="1682"/>
              <w:spacing w:after="0"/>
              <w:rPr>
                <w:sz w:val="20"/>
                <w:szCs w:val="20"/>
                <w:color w:val="auto"/>
              </w:rPr>
            </w:pPr>
            <w:r>
              <w:rPr>
                <w:rFonts w:ascii="Arial" w:cs="Arial" w:eastAsia="Arial" w:hAnsi="Arial"/>
                <w:sz w:val="18"/>
                <w:szCs w:val="18"/>
                <w:b w:val="1"/>
                <w:bCs w:val="1"/>
                <w:color w:val="auto"/>
                <w:w w:val="88"/>
              </w:rPr>
              <w:t>000-50093</w:t>
            </w:r>
          </w:p>
        </w:tc>
        <w:tc>
          <w:tcPr>
            <w:tcW w:w="3680" w:type="dxa"/>
            <w:vAlign w:val="bottom"/>
          </w:tcPr>
          <w:p>
            <w:pPr>
              <w:jc w:val="center"/>
              <w:ind w:left="164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480" w:type="dxa"/>
            <w:vAlign w:val="bottom"/>
          </w:tcPr>
          <w:p>
            <w:pPr>
              <w:jc w:val="center"/>
              <w:ind w:right="1682"/>
              <w:spacing w:after="0"/>
              <w:rPr>
                <w:sz w:val="20"/>
                <w:szCs w:val="20"/>
                <w:color w:val="auto"/>
              </w:rPr>
            </w:pPr>
            <w:r>
              <w:rPr>
                <w:rFonts w:ascii="Arial" w:cs="Arial" w:eastAsia="Arial" w:hAnsi="Arial"/>
                <w:sz w:val="14"/>
                <w:szCs w:val="14"/>
                <w:b w:val="1"/>
                <w:bCs w:val="1"/>
                <w:color w:val="auto"/>
                <w:w w:val="87"/>
              </w:rPr>
              <w:t>(Commission File Number)</w:t>
            </w:r>
          </w:p>
        </w:tc>
        <w:tc>
          <w:tcPr>
            <w:tcW w:w="3680" w:type="dxa"/>
            <w:vAlign w:val="bottom"/>
          </w:tcPr>
          <w:p>
            <w:pPr>
              <w:jc w:val="center"/>
              <w:ind w:left="16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4480" w:type="dxa"/>
            <w:vAlign w:val="bottom"/>
          </w:tcPr>
          <w:p>
            <w:pPr>
              <w:jc w:val="center"/>
              <w:ind w:right="1662"/>
              <w:spacing w:after="0"/>
              <w:rPr>
                <w:sz w:val="20"/>
                <w:szCs w:val="20"/>
                <w:color w:val="auto"/>
              </w:rPr>
            </w:pPr>
            <w:r>
              <w:rPr>
                <w:rFonts w:ascii="Arial" w:cs="Arial" w:eastAsia="Arial" w:hAnsi="Arial"/>
                <w:sz w:val="18"/>
                <w:szCs w:val="18"/>
                <w:b w:val="1"/>
                <w:bCs w:val="1"/>
                <w:color w:val="auto"/>
                <w:w w:val="89"/>
              </w:rPr>
              <w:t>1500 Market Street Philadelphia, PA</w:t>
            </w:r>
          </w:p>
        </w:tc>
        <w:tc>
          <w:tcPr>
            <w:tcW w:w="3680" w:type="dxa"/>
            <w:vAlign w:val="bottom"/>
          </w:tcPr>
          <w:p>
            <w:pPr>
              <w:jc w:val="center"/>
              <w:ind w:left="164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480" w:type="dxa"/>
            <w:vAlign w:val="bottom"/>
          </w:tcPr>
          <w:p>
            <w:pPr>
              <w:jc w:val="center"/>
              <w:ind w:right="16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80" w:type="dxa"/>
            <w:vAlign w:val="bottom"/>
          </w:tcPr>
          <w:p>
            <w:pPr>
              <w:jc w:val="center"/>
              <w:ind w:left="166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17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60"/>
          </w:cols>
          <w:pgMar w:left="240" w:top="355"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March 21, 2006, the Compensation Committee of the Board of Directors of Comcast Corporation (the “Company”) adopted the Comcast Corporation 2006 Cash Bonus Plan (the “2006 Plan”), subject to the approval of Company shareholders. The 2006 Plan provides for the payment of annual cash bonuses to management employees of the Company and its subsidiaries. Bonuses granted under the plan are expressed as a percentage of base salary and are determined based on the achievement of quantitative (such as income, expense and operating cash flow) or qualitative (such as customer service, management effectiveness and workforce diversity) performance goals established in advance by the Compensation Committee. The maximum amount payable to any employee under the 2006 Plan with respect to any calendar year cannot exceed $12 million.</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approved by shareholders, the 2006 Plan will replace the Company’s existing 2002 Executive Cash Bonus Plan and 2002 Supplemental Cash Bonus Plan (collectively, the “2002 Bonus Plans”), as well as the Company’s 2004 Management Achievement Plan, and bonuses to the Company’s executive officers named below with respect to 2006 will be paid under the 2006 Plan. The individual targets for each of Mr. Brian L. Roberts, Mr. Stephen B. Burke, Mr. Ralph J. Roberts, Mr. Lawrence S. Smith, Mr. David L. Cohen and Mr. John R. Alchin under the 2006 Plan are the same as the aggregate individual targets under the 2002 Bonus Plans disclosed in the Company’s Form 8-K filed on March 6, 2006. As is the case under the 2002 Bonus Plans, awards under the 2006 Plan for the executive officers named above will be determined using targets based on increases in the Company’s cash flow. Under the 2006 Plan, each executive officer named above will be eligible to receive a bonus equal to 33—110% of target, depending on cash flow achieved. The potential amounts to be earned by the executive officers named above under the 2006 Plan are substantially identical to those under the 2002 Bonus Plans.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2006 Plan is attached hereto as Exhibit 99.1 and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9(d) Exhibits.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-8255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93"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2006 Cash Bonus Plan</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8"/>
          <w:szCs w:val="18"/>
          <w:color w:val="auto"/>
        </w:rPr>
        <w:t>Date: March 27,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Senior Vice President, 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2006 CASH BONUS PLAN</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(Effective January 1,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Purpose</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Comcast Corporation, a Pennsylvania corporation, hereby adopts the Comcast Corporation 2006 Cash Bonus Plan (the “Plan”), effective as of January 1, 2006, as the successor to the Comcast Corporation 2002 Executive Cash Bonus Plan (the “Executive Plan”), the Comcast Corporation 2002 Supplemental Cash Bonus Plan (the “Supplemental Plan”) and the Comcast Corporation 2004 Management Achievement Plan (the “MAP”). The purpose of the Plan is to provide management employees of Comcast Corporation (the “Company”) and the Company’s Affiliates (as defined below) with an incentive to accomplish such business objectives as from time to time may be determined by the Committee.</w:t>
      </w:r>
    </w:p>
    <w:p>
      <w:pPr>
        <w:spacing w:after="0" w:line="19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right="120" w:firstLine="464"/>
        <w:spacing w:after="0" w:line="256" w:lineRule="auto"/>
        <w:tabs>
          <w:tab w:leader="none" w:pos="695"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firstLine="464"/>
        <w:spacing w:after="0" w:line="306" w:lineRule="auto"/>
        <w:tabs>
          <w:tab w:leader="none" w:pos="705"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 cash bonus award granted under the Plan.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98" w:lineRule="auto"/>
        <w:tabs>
          <w:tab w:leader="none" w:pos="705"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of the Board assigned by the Board to administer the Plan.</w:t>
      </w:r>
    </w:p>
    <w:p>
      <w:pPr>
        <w:spacing w:after="0" w:line="194" w:lineRule="exact"/>
        <w:rPr>
          <w:rFonts w:ascii="Arial" w:cs="Arial" w:eastAsia="Arial" w:hAnsi="Arial"/>
          <w:sz w:val="16"/>
          <w:szCs w:val="16"/>
          <w:color w:val="auto"/>
        </w:rPr>
      </w:pPr>
    </w:p>
    <w:p>
      <w:pPr>
        <w:ind w:right="320" w:firstLine="464"/>
        <w:spacing w:after="0" w:line="268" w:lineRule="auto"/>
        <w:tabs>
          <w:tab w:leader="none" w:pos="676"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2006 Cash Bonus Plan as set forth herein, and as amended from time to time.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rFonts w:ascii="Arial" w:cs="Arial" w:eastAsia="Arial" w:hAnsi="Arial"/>
          <w:sz w:val="18"/>
          <w:szCs w:val="18"/>
          <w:color w:val="auto"/>
        </w:rPr>
      </w:pPr>
    </w:p>
    <w:p>
      <w:pPr>
        <w:ind w:right="300" w:firstLine="464"/>
        <w:spacing w:after="0" w:line="306" w:lineRule="auto"/>
        <w:tabs>
          <w:tab w:leader="none" w:pos="754"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Qualitative Performance Standards</w:t>
      </w:r>
      <w:r>
        <w:rPr>
          <w:rFonts w:ascii="Arial" w:cs="Arial" w:eastAsia="Arial" w:hAnsi="Arial"/>
          <w:sz w:val="16"/>
          <w:szCs w:val="16"/>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106" w:lineRule="exact"/>
        <w:rPr>
          <w:rFonts w:ascii="Arial" w:cs="Arial" w:eastAsia="Arial" w:hAnsi="Arial"/>
          <w:sz w:val="16"/>
          <w:szCs w:val="16"/>
          <w:color w:val="auto"/>
        </w:rPr>
      </w:pPr>
    </w:p>
    <w:p>
      <w:pPr>
        <w:ind w:right="80" w:firstLine="464"/>
        <w:spacing w:after="0" w:line="306" w:lineRule="auto"/>
        <w:tabs>
          <w:tab w:leader="none" w:pos="705"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Quantitative Performance Standards</w:t>
      </w:r>
      <w:r>
        <w:rPr>
          <w:rFonts w:ascii="Arial" w:cs="Arial" w:eastAsia="Arial" w:hAnsi="Arial"/>
          <w:sz w:val="16"/>
          <w:szCs w:val="16"/>
          <w:color w:val="auto"/>
        </w:rPr>
        <w:t>” means performance standards such as income, expense, operating cash flow, capital spending,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106" w:lineRule="exact"/>
        <w:rPr>
          <w:rFonts w:ascii="Arial" w:cs="Arial" w:eastAsia="Arial" w:hAnsi="Arial"/>
          <w:sz w:val="16"/>
          <w:szCs w:val="16"/>
          <w:color w:val="auto"/>
        </w:rPr>
      </w:pPr>
    </w:p>
    <w:p>
      <w:pPr>
        <w:ind w:right="20" w:firstLine="464"/>
        <w:spacing w:after="0" w:line="259" w:lineRule="auto"/>
        <w:tabs>
          <w:tab w:leader="none" w:pos="705"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480" w:firstLine="464"/>
        <w:spacing w:after="0" w:line="268" w:lineRule="auto"/>
        <w:tabs>
          <w:tab w:leader="none" w:pos="705"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ectPr>
          <w:pgSz w:w="11900" w:h="16838" w:orient="portrait"/>
          <w:cols w:equalWidth="0" w:num="1">
            <w:col w:w="11420"/>
          </w:cols>
          <w:pgMar w:left="240" w:top="125" w:right="2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5" w:right="239" w:bottom="1440" w:gutter="0" w:footer="0" w:header="0"/>
          <w:type w:val="continuous"/>
        </w:sectPr>
      </w:pPr>
    </w:p>
    <w:bookmarkStart w:id="4" w:name="page5"/>
    <w:bookmarkEnd w:id="4"/>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Administration of the Plan</w:t>
      </w:r>
    </w:p>
    <w:p>
      <w:pPr>
        <w:spacing w:after="0" w:line="96" w:lineRule="exact"/>
        <w:rPr>
          <w:rFonts w:ascii="Arial" w:cs="Arial" w:eastAsia="Arial" w:hAnsi="Arial"/>
          <w:sz w:val="18"/>
          <w:szCs w:val="18"/>
          <w:b w:val="1"/>
          <w:bCs w:val="1"/>
          <w:color w:val="auto"/>
        </w:rPr>
      </w:pPr>
    </w:p>
    <w:p>
      <w:pPr>
        <w:ind w:right="660" w:firstLine="464"/>
        <w:spacing w:after="0" w:line="306" w:lineRule="auto"/>
        <w:tabs>
          <w:tab w:leader="none" w:pos="695"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08"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2"/>
          <w:numId w:val="3"/>
        </w:numPr>
        <w:rPr>
          <w:rFonts w:ascii="Arial" w:cs="Arial" w:eastAsia="Arial" w:hAnsi="Arial"/>
          <w:sz w:val="18"/>
          <w:szCs w:val="18"/>
          <w:color w:val="auto"/>
        </w:rPr>
      </w:pPr>
      <w:r>
        <w:rPr>
          <w:rFonts w:ascii="Arial" w:cs="Arial" w:eastAsia="Arial" w:hAnsi="Arial"/>
          <w:sz w:val="18"/>
          <w:szCs w:val="18"/>
          <w:color w:val="auto"/>
        </w:rPr>
        <w:t>construe the Plan, which construction, as long as made in good faith, shall be final and conclusive upon all parties hereto;</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2"/>
          <w:numId w:val="3"/>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3"/>
        </w:numPr>
        <w:rPr>
          <w:rFonts w:ascii="Arial" w:cs="Arial" w:eastAsia="Arial" w:hAnsi="Arial"/>
          <w:sz w:val="18"/>
          <w:szCs w:val="18"/>
          <w:color w:val="auto"/>
        </w:rPr>
      </w:pPr>
      <w:r>
        <w:rPr>
          <w:rFonts w:ascii="Arial" w:cs="Arial" w:eastAsia="Arial" w:hAnsi="Arial"/>
          <w:sz w:val="18"/>
          <w:szCs w:val="18"/>
          <w:color w:val="auto"/>
        </w:rPr>
        <w:t>determine whether the conditions to the payment of a cash bonus pursuant to an Award have been satisfied.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132" w:lineRule="exact"/>
        <w:rPr>
          <w:sz w:val="20"/>
          <w:szCs w:val="20"/>
          <w:color w:val="auto"/>
        </w:rPr>
      </w:pPr>
    </w:p>
    <w:p>
      <w:pPr>
        <w:ind w:right="60" w:firstLine="464"/>
        <w:spacing w:after="0" w:line="259" w:lineRule="auto"/>
        <w:tabs>
          <w:tab w:leader="none" w:pos="705"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xml:space="preserve">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p>
    <w:p>
      <w:pPr>
        <w:spacing w:after="0" w:line="90" w:lineRule="exact"/>
        <w:rPr>
          <w:rFonts w:ascii="Arial" w:cs="Arial" w:eastAsia="Arial" w:hAnsi="Arial"/>
          <w:sz w:val="18"/>
          <w:szCs w:val="18"/>
          <w:color w:val="auto"/>
        </w:rPr>
      </w:pPr>
    </w:p>
    <w:p>
      <w:pPr>
        <w:ind w:left="460" w:right="200" w:firstLine="443"/>
        <w:spacing w:after="0" w:line="256" w:lineRule="auto"/>
        <w:tabs>
          <w:tab w:leader="none" w:pos="1108"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xml:space="preserve"> All authority with respect to the grant, amendment, interpretation and administration of Awards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62" w:lineRule="exact"/>
        <w:rPr>
          <w:rFonts w:ascii="Arial" w:cs="Arial" w:eastAsia="Arial" w:hAnsi="Arial"/>
          <w:sz w:val="18"/>
          <w:szCs w:val="18"/>
          <w:color w:val="auto"/>
        </w:rPr>
      </w:pPr>
    </w:p>
    <w:p>
      <w:pPr>
        <w:ind w:left="460" w:right="20" w:firstLine="443"/>
        <w:spacing w:after="0" w:line="256" w:lineRule="auto"/>
        <w:tabs>
          <w:tab w:leader="none" w:pos="1156"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xml:space="preserve"> The Committee may delegate to a committee consisting of the Chairman of the Committee and one or more officers of the Company designated by the Committee, discretion under the Plan to grant, amend, interpret and administer Awards with respect to any Eligible Employee who (x) holds a position with Comcast Corporation of Senior Vice President or a position of higher rank than Senior Vice President or (y) has a base salary of $500,000 or more.</w:t>
      </w:r>
    </w:p>
    <w:p>
      <w:pPr>
        <w:spacing w:after="0" w:line="62" w:lineRule="exact"/>
        <w:rPr>
          <w:rFonts w:ascii="Arial" w:cs="Arial" w:eastAsia="Arial" w:hAnsi="Arial"/>
          <w:sz w:val="18"/>
          <w:szCs w:val="18"/>
          <w:color w:val="auto"/>
        </w:rPr>
      </w:pPr>
    </w:p>
    <w:p>
      <w:pPr>
        <w:ind w:left="460" w:firstLine="443"/>
        <w:spacing w:after="0" w:line="259" w:lineRule="auto"/>
        <w:tabs>
          <w:tab w:leader="none" w:pos="1205"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xml:space="preserve"> The Committee may delegate to an officer of the Company, or a committee of two or more officers of the Company, discretion under the Plan to grant, amend, interpret and administer Awards with respect to any Eligible Employee other than an Eligible Employee described in Paragraph 3(c)(i) or Paragraph 3(c)(ii).</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2"/>
          <w:numId w:val="4"/>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xml:space="preserve"> Delegation of authority as provided under this Paragraph 3(c) shall continue in effect until the earliest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3"/>
          <w:numId w:val="4"/>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920" w:right="100" w:firstLine="421"/>
        <w:spacing w:after="0" w:line="259" w:lineRule="auto"/>
        <w:tabs>
          <w:tab w:leader="none" w:pos="1588" w:val="left"/>
        </w:tabs>
        <w:numPr>
          <w:ilvl w:val="3"/>
          <w:numId w:val="4"/>
        </w:numPr>
        <w:rPr>
          <w:rFonts w:ascii="Arial" w:cs="Arial" w:eastAsia="Arial" w:hAnsi="Arial"/>
          <w:sz w:val="18"/>
          <w:szCs w:val="18"/>
          <w:color w:val="auto"/>
        </w:rPr>
      </w:pPr>
      <w:r>
        <w:rPr>
          <w:rFonts w:ascii="Arial" w:cs="Arial" w:eastAsia="Arial" w:hAnsi="Arial"/>
          <w:sz w:val="18"/>
          <w:szCs w:val="18"/>
          <w:color w:val="auto"/>
        </w:rPr>
        <w:t>in the case of delegation under Paragraph 5(c)(ii), the delegate shall cease to serve as Chairman of the Committee or serve as an employee of the Company for any reason, as the case may be and in the case of delegation under Paragraph 5(c)(iii), the delegate shall cease to serve as an employee of the Company for any reason; or</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3"/>
          <w:numId w:val="4"/>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71" w:lineRule="exact"/>
        <w:rPr>
          <w:rFonts w:ascii="Arial" w:cs="Arial" w:eastAsia="Arial" w:hAnsi="Arial"/>
          <w:sz w:val="18"/>
          <w:szCs w:val="18"/>
          <w:color w:val="auto"/>
        </w:rPr>
      </w:pPr>
    </w:p>
    <w:p>
      <w:pPr>
        <w:ind w:right="80" w:firstLine="464"/>
        <w:spacing w:after="0" w:line="306" w:lineRule="auto"/>
        <w:tabs>
          <w:tab w:leader="none" w:pos="705"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Grantee Information.</w:t>
      </w:r>
      <w:r>
        <w:rPr>
          <w:rFonts w:ascii="Arial" w:cs="Arial" w:eastAsia="Arial" w:hAnsi="Arial"/>
          <w:sz w:val="16"/>
          <w:szCs w:val="16"/>
          <w:color w:val="auto"/>
        </w:rPr>
        <w:t xml:space="preserve">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81" w:lineRule="exact"/>
        <w:rPr>
          <w:rFonts w:ascii="Arial" w:cs="Arial" w:eastAsia="Arial" w:hAnsi="Arial"/>
          <w:sz w:val="16"/>
          <w:szCs w:val="16"/>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may grant Awards in accordance with the Plan. The terms and conditions of Awards shall be as determined from time to time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consistent, however, with the following:</w:t>
      </w:r>
    </w:p>
    <w:p>
      <w:pPr>
        <w:spacing w:after="0" w:line="84" w:lineRule="exact"/>
        <w:rPr>
          <w:sz w:val="20"/>
          <w:szCs w:val="20"/>
          <w:color w:val="auto"/>
        </w:rPr>
      </w:pPr>
    </w:p>
    <w:p>
      <w:pPr>
        <w:ind w:right="220" w:firstLine="464"/>
        <w:spacing w:after="0" w:line="268"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xml:space="preserve"> Awards may be granted at any time from the date of adoption of the Plan by the Board until the Plan is terminated by the Board or the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ind w:left="700" w:hanging="2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Non-uniformity of Awards.</w:t>
      </w:r>
      <w:r>
        <w:rPr>
          <w:rFonts w:ascii="Arial" w:cs="Arial" w:eastAsia="Arial" w:hAnsi="Arial"/>
          <w:sz w:val="18"/>
          <w:szCs w:val="18"/>
          <w:color w:val="auto"/>
        </w:rPr>
        <w:t xml:space="preserve"> The provisions of Awards need not be the same with respect to each Grantee.</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Establishment of Targets and Conditions to Payment of Awards.</w:t>
      </w:r>
    </w:p>
    <w:p>
      <w:pPr>
        <w:spacing w:after="0" w:line="90" w:lineRule="exact"/>
        <w:rPr>
          <w:rFonts w:ascii="Arial" w:cs="Arial" w:eastAsia="Arial" w:hAnsi="Arial"/>
          <w:sz w:val="18"/>
          <w:szCs w:val="18"/>
          <w:color w:val="auto"/>
        </w:rPr>
      </w:pPr>
    </w:p>
    <w:p>
      <w:pPr>
        <w:ind w:left="1080" w:hanging="197"/>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Awards shall be expressed as a percentage of a Grantee’s base salary.</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Committee shall establish such conditions on the payment of a bonus pursuant to an Award as it may, in its sole discretion, deem appropriate.</w:t>
      </w:r>
    </w:p>
    <w:p>
      <w:pPr>
        <w:spacing w:after="0" w:line="124" w:lineRule="exact"/>
        <w:rPr>
          <w:rFonts w:ascii="Arial" w:cs="Arial" w:eastAsia="Arial" w:hAnsi="Arial"/>
          <w:sz w:val="15"/>
          <w:szCs w:val="15"/>
          <w:color w:val="auto"/>
        </w:rPr>
      </w:pPr>
    </w:p>
    <w:p>
      <w:pPr>
        <w:ind w:left="440" w:right="880" w:firstLine="443"/>
        <w:spacing w:after="0" w:line="332" w:lineRule="auto"/>
        <w:tabs>
          <w:tab w:leader="none" w:pos="1182"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4" w:lineRule="exact"/>
        <w:rPr>
          <w:rFonts w:ascii="Arial" w:cs="Arial" w:eastAsia="Arial" w:hAnsi="Arial"/>
          <w:sz w:val="16"/>
          <w:szCs w:val="16"/>
          <w:color w:val="auto"/>
        </w:rPr>
      </w:pPr>
    </w:p>
    <w:p>
      <w:pPr>
        <w:ind w:left="440" w:right="40" w:firstLine="443"/>
        <w:spacing w:after="0" w:line="243" w:lineRule="auto"/>
        <w:tabs>
          <w:tab w:leader="none" w:pos="1172"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Committee shall establish the Targets for each Plan Year no later than 90 days after the first day of the Plan Year, or, if sooner, within the first 25% of the Plan Year, provided, however, that the Committee must determine that, as of the date the Quantitative Performance Standards are established, it is substantially uncertain whether the Quantitative Performance Standards will be achieved. 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practicable with respect to each Plan Year, but not later than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following the close of such Plan Year.</w:t>
      </w:r>
    </w:p>
    <w:p>
      <w:pPr>
        <w:spacing w:after="0" w:line="73" w:lineRule="exact"/>
        <w:rPr>
          <w:rFonts w:ascii="Arial" w:cs="Arial" w:eastAsia="Arial" w:hAnsi="Arial"/>
          <w:sz w:val="18"/>
          <w:szCs w:val="18"/>
          <w:color w:val="auto"/>
        </w:rPr>
      </w:pPr>
    </w:p>
    <w:p>
      <w:pPr>
        <w:ind w:left="440" w:right="60" w:firstLine="443"/>
        <w:spacing w:after="0" w:line="287" w:lineRule="auto"/>
        <w:tabs>
          <w:tab w:leader="none" w:pos="1127" w:val="left"/>
        </w:tabs>
        <w:numPr>
          <w:ilvl w:val="1"/>
          <w:numId w:val="7"/>
        </w:numPr>
        <w:rPr>
          <w:rFonts w:ascii="Arial" w:cs="Arial" w:eastAsia="Arial" w:hAnsi="Arial"/>
          <w:sz w:val="16"/>
          <w:szCs w:val="16"/>
          <w:color w:val="auto"/>
        </w:rPr>
      </w:pPr>
      <w:r>
        <w:rPr>
          <w:rFonts w:ascii="Arial" w:cs="Arial" w:eastAsia="Arial" w:hAnsi="Arial"/>
          <w:sz w:val="16"/>
          <w:szCs w:val="16"/>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41" w:lineRule="exact"/>
        <w:rPr>
          <w:rFonts w:ascii="Arial" w:cs="Arial" w:eastAsia="Arial" w:hAnsi="Arial"/>
          <w:sz w:val="16"/>
          <w:szCs w:val="16"/>
          <w:color w:val="auto"/>
        </w:rPr>
      </w:pPr>
    </w:p>
    <w:p>
      <w:pPr>
        <w:ind w:left="440" w:firstLine="443"/>
        <w:spacing w:after="0" w:line="255" w:lineRule="auto"/>
        <w:tabs>
          <w:tab w:leader="none" w:pos="1176"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In addition, in the discretion of the Committee, based on the satisfaction of performance standards as it may determine, whether or not previously designated as a Target, such additional amounts as may be determined by the Committee may be included in an Award for a Plan Year.</w:t>
      </w:r>
    </w:p>
    <w:p>
      <w:pPr>
        <w:spacing w:after="0" w:line="143" w:lineRule="exact"/>
        <w:rPr>
          <w:sz w:val="20"/>
          <w:szCs w:val="20"/>
          <w:color w:val="auto"/>
        </w:rPr>
      </w:pPr>
    </w:p>
    <w:p>
      <w:pPr>
        <w:ind w:left="680" w:hanging="23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of Grantee’s Employment.</w:t>
      </w:r>
    </w:p>
    <w:p>
      <w:pPr>
        <w:spacing w:after="0" w:line="90" w:lineRule="exact"/>
        <w:rPr>
          <w:rFonts w:ascii="Arial" w:cs="Arial" w:eastAsia="Arial" w:hAnsi="Arial"/>
          <w:sz w:val="18"/>
          <w:szCs w:val="18"/>
          <w:color w:val="auto"/>
        </w:rPr>
      </w:pPr>
    </w:p>
    <w:p>
      <w:pPr>
        <w:ind w:left="440" w:right="40" w:firstLine="443"/>
        <w:spacing w:after="0" w:line="290" w:lineRule="auto"/>
        <w:tabs>
          <w:tab w:leader="none" w:pos="1117" w:val="left"/>
        </w:tabs>
        <w:numPr>
          <w:ilvl w:val="1"/>
          <w:numId w:val="8"/>
        </w:numPr>
        <w:rPr>
          <w:rFonts w:ascii="Arial" w:cs="Arial" w:eastAsia="Arial" w:hAnsi="Arial"/>
          <w:sz w:val="16"/>
          <w:szCs w:val="16"/>
          <w:color w:val="auto"/>
        </w:rPr>
      </w:pPr>
      <w:r>
        <w:rPr>
          <w:rFonts w:ascii="Arial" w:cs="Arial" w:eastAsia="Arial" w:hAnsi="Arial"/>
          <w:sz w:val="16"/>
          <w:szCs w:val="16"/>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37" w:lineRule="exact"/>
        <w:rPr>
          <w:rFonts w:ascii="Arial" w:cs="Arial" w:eastAsia="Arial" w:hAnsi="Arial"/>
          <w:sz w:val="16"/>
          <w:szCs w:val="16"/>
          <w:color w:val="auto"/>
        </w:rPr>
      </w:pPr>
    </w:p>
    <w:p>
      <w:pPr>
        <w:ind w:left="440" w:right="220" w:firstLine="443"/>
        <w:spacing w:after="0" w:line="268" w:lineRule="auto"/>
        <w:tabs>
          <w:tab w:leader="none" w:pos="1127"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the event that a Grantee terminates employment with the Company and its Affiliates, all Awards remaining subject to conditions to payment shall be forfeited by the Grantee and deemed canceled by the Company.</w:t>
      </w:r>
    </w:p>
    <w:p>
      <w:pPr>
        <w:spacing w:after="0" w:line="131" w:lineRule="exact"/>
        <w:rPr>
          <w:rFonts w:ascii="Arial" w:cs="Arial" w:eastAsia="Arial" w:hAnsi="Arial"/>
          <w:sz w:val="18"/>
          <w:szCs w:val="18"/>
          <w:color w:val="auto"/>
        </w:rPr>
      </w:pPr>
    </w:p>
    <w:p>
      <w:pPr>
        <w:ind w:left="660" w:hanging="21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Maximum Grant.</w:t>
      </w:r>
      <w:r>
        <w:rPr>
          <w:rFonts w:ascii="Arial" w:cs="Arial" w:eastAsia="Arial" w:hAnsi="Arial"/>
          <w:sz w:val="18"/>
          <w:szCs w:val="18"/>
          <w:color w:val="auto"/>
        </w:rPr>
        <w:t xml:space="preserve"> In no event shall the amount paid to any Grantee pursuant to an Award for any Plan Year exceed $12 million.</w:t>
      </w:r>
    </w:p>
    <w:p>
      <w:pPr>
        <w:spacing w:after="0" w:line="171" w:lineRule="exact"/>
        <w:rPr>
          <w:rFonts w:ascii="Arial" w:cs="Arial" w:eastAsia="Arial" w:hAnsi="Arial"/>
          <w:sz w:val="18"/>
          <w:szCs w:val="18"/>
          <w:color w:val="auto"/>
        </w:rPr>
      </w:pPr>
    </w:p>
    <w:p>
      <w:pPr>
        <w:ind w:left="-20" w:right="660" w:firstLine="464"/>
        <w:spacing w:after="0" w:line="370" w:lineRule="auto"/>
        <w:tabs>
          <w:tab w:leader="none" w:pos="685"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Shareholder Approval.</w:t>
      </w:r>
      <w:r>
        <w:rPr>
          <w:rFonts w:ascii="Arial" w:cs="Arial" w:eastAsia="Arial" w:hAnsi="Arial"/>
          <w:sz w:val="15"/>
          <w:szCs w:val="15"/>
          <w:color w:val="auto"/>
        </w:rPr>
        <w:t xml:space="preserve"> The effectiveness of the grants of Awards under the Plan relating to payments on the satisfaction of the Quantitative Performance Standards established by the Committee from time to time shall be conditioned on the approval of the Plan by the Company’s shareholders.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Terminating Events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Amendment and Termination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Awards shall be granted for any period commencing after December 31, 2015, provided that the effectiveness of the grants of Awards under the Plan after December 31, 2010 relating to payments on the satisfaction of the Quantitative Performance Standards established by the Committee from time to time shall be conditioned on the approval of the Plan by the Company’s shareholders. To the extent that awards are or have been made pursuant to the terms of the Executive Plan, the Supplemental Plan or the MAP, the Committee may, in its discretion, treat such awards as Awards under this Plan.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9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96" w:lineRule="exact"/>
        <w:rPr>
          <w:rFonts w:ascii="Arial" w:cs="Arial" w:eastAsia="Arial" w:hAnsi="Arial"/>
          <w:sz w:val="18"/>
          <w:szCs w:val="18"/>
          <w:b w:val="1"/>
          <w:bCs w:val="1"/>
          <w:color w:val="auto"/>
        </w:rPr>
      </w:pPr>
    </w:p>
    <w:p>
      <w:pPr>
        <w:ind w:right="40" w:firstLine="464"/>
        <w:spacing w:after="0" w:line="298" w:lineRule="auto"/>
        <w:tabs>
          <w:tab w:leader="none" w:pos="695"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Unsecured Creditor Status.</w:t>
      </w:r>
      <w:r>
        <w:rPr>
          <w:rFonts w:ascii="Arial" w:cs="Arial" w:eastAsia="Arial" w:hAnsi="Arial"/>
          <w:sz w:val="16"/>
          <w:szCs w:val="16"/>
          <w:color w:val="auto"/>
        </w:rPr>
        <w:t xml:space="preserve">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12" w:lineRule="exact"/>
        <w:rPr>
          <w:rFonts w:ascii="Arial" w:cs="Arial" w:eastAsia="Arial" w:hAnsi="Arial"/>
          <w:sz w:val="16"/>
          <w:szCs w:val="16"/>
          <w:color w:val="auto"/>
        </w:rPr>
      </w:pPr>
    </w:p>
    <w:p>
      <w:pPr>
        <w:ind w:firstLine="464"/>
        <w:spacing w:after="0" w:line="268" w:lineRule="auto"/>
        <w:tabs>
          <w:tab w:leader="none" w:pos="70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Non-Assignment of Awards.</w:t>
      </w:r>
      <w:r>
        <w:rPr>
          <w:rFonts w:ascii="Arial" w:cs="Arial" w:eastAsia="Arial" w:hAnsi="Arial"/>
          <w:sz w:val="18"/>
          <w:szCs w:val="18"/>
          <w:color w:val="auto"/>
        </w:rPr>
        <w:t xml:space="preserve"> The Grantee shall not be permitted to sell, transfer, pledge or assign any amount payable pursuant to the Plan or an Award, provided that the right to payment under an Award may pass by will or the laws of descent and distribution.</w:t>
      </w:r>
    </w:p>
    <w:p>
      <w:pPr>
        <w:spacing w:after="0" w:line="131" w:lineRule="exact"/>
        <w:rPr>
          <w:rFonts w:ascii="Arial" w:cs="Arial" w:eastAsia="Arial" w:hAnsi="Arial"/>
          <w:sz w:val="18"/>
          <w:szCs w:val="18"/>
          <w:color w:val="auto"/>
        </w:rPr>
      </w:pPr>
    </w:p>
    <w:p>
      <w:pPr>
        <w:ind w:right="120" w:firstLine="464"/>
        <w:spacing w:after="0" w:line="256" w:lineRule="auto"/>
        <w:tabs>
          <w:tab w:leader="none" w:pos="69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xml:space="preserve">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43" w:lineRule="exact"/>
        <w:rPr>
          <w:rFonts w:ascii="Arial" w:cs="Arial" w:eastAsia="Arial" w:hAnsi="Arial"/>
          <w:sz w:val="18"/>
          <w:szCs w:val="18"/>
          <w:color w:val="auto"/>
        </w:rPr>
      </w:pPr>
    </w:p>
    <w:p>
      <w:pPr>
        <w:ind w:right="220" w:firstLine="464"/>
        <w:spacing w:after="0" w:line="332" w:lineRule="auto"/>
        <w:tabs>
          <w:tab w:leader="none" w:pos="705"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Separability.</w:t>
      </w:r>
      <w:r>
        <w:rPr>
          <w:rFonts w:ascii="Arial" w:cs="Arial" w:eastAsia="Arial" w:hAnsi="Arial"/>
          <w:sz w:val="16"/>
          <w:szCs w:val="16"/>
          <w:color w:val="auto"/>
        </w:rPr>
        <w:t xml:space="preserve">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85" w:lineRule="exact"/>
        <w:rPr>
          <w:rFonts w:ascii="Arial" w:cs="Arial" w:eastAsia="Arial" w:hAnsi="Arial"/>
          <w:sz w:val="16"/>
          <w:szCs w:val="16"/>
          <w:color w:val="auto"/>
        </w:rPr>
      </w:pPr>
    </w:p>
    <w:p>
      <w:pPr>
        <w:ind w:firstLine="464"/>
        <w:spacing w:after="0" w:line="306" w:lineRule="auto"/>
        <w:tabs>
          <w:tab w:leader="none" w:pos="695"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xml:space="preserve">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106" w:lineRule="exact"/>
        <w:rPr>
          <w:rFonts w:ascii="Arial" w:cs="Arial" w:eastAsia="Arial" w:hAnsi="Arial"/>
          <w:sz w:val="16"/>
          <w:szCs w:val="16"/>
          <w:color w:val="auto"/>
        </w:rPr>
      </w:pPr>
    </w:p>
    <w:p>
      <w:pPr>
        <w:ind w:firstLine="464"/>
        <w:spacing w:after="0" w:line="306" w:lineRule="auto"/>
        <w:tabs>
          <w:tab w:leader="none" w:pos="676"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Incapacity.</w:t>
      </w:r>
      <w:r>
        <w:rPr>
          <w:rFonts w:ascii="Arial" w:cs="Arial" w:eastAsia="Arial" w:hAnsi="Arial"/>
          <w:sz w:val="16"/>
          <w:szCs w:val="16"/>
          <w:color w:val="auto"/>
        </w:rPr>
        <w:t xml:space="preserve">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106" w:lineRule="exact"/>
        <w:rPr>
          <w:rFonts w:ascii="Arial" w:cs="Arial" w:eastAsia="Arial" w:hAnsi="Arial"/>
          <w:sz w:val="16"/>
          <w:szCs w:val="16"/>
          <w:color w:val="auto"/>
        </w:rPr>
      </w:pPr>
    </w:p>
    <w:p>
      <w:pPr>
        <w:ind w:right="380" w:firstLine="464"/>
        <w:spacing w:after="0" w:line="268" w:lineRule="auto"/>
        <w:tabs>
          <w:tab w:leader="none" w:pos="70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Effective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date of the Plan is January 1,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21st day of March,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
    <w:nsid w:val="507ED7A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
    <w:nsid w:val="2EB141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24"/>
    </w:lvl>
  </w:abstractNum>
  <w:abstractNum w:abstractNumId="4">
    <w:nsid w:val="41B71E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lvl w:ilvl="1">
      <w:lvlJc w:val="left"/>
      <w:lvlText w:val="(%2)"/>
      <w:numFmt w:val="lowerRoman"/>
      <w:start w:val="1"/>
    </w:lvl>
  </w:abstractNum>
  <w:abstractNum w:abstractNumId="7">
    <w:nsid w:val="515F007C"/>
    <w:multiLevelType w:val="hybridMultilevel"/>
    <w:lvl w:ilvl="0">
      <w:lvlJc w:val="left"/>
      <w:lvlText w:val="(%1)"/>
      <w:numFmt w:val="lowerLetter"/>
      <w:start w:val="5"/>
    </w:lvl>
    <w:lvl w:ilvl="1">
      <w:lvlJc w:val="left"/>
      <w:lvlText w:val="(%2)"/>
      <w:numFmt w:val="decimal"/>
      <w:start w:val="1"/>
    </w:lvl>
  </w:abstractNum>
  <w:abstractNum w:abstractNumId="8">
    <w:nsid w:val="5BD062C2"/>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2019-12-15T06:07:45Z</dcterms:created>
  <dcterms:modified xsi:type="dcterms:W3CDTF">2019-12-15T06:07:45Z</dcterms:modified>
</cp:coreProperties>
</file>