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80"/>
        <w:spacing w:after="0"/>
        <w:rPr>
          <w:sz w:val="20"/>
          <w:szCs w:val="20"/>
          <w:color w:val="auto"/>
        </w:rPr>
      </w:pPr>
      <w:r>
        <w:rPr>
          <w:rFonts w:ascii="Arial" w:cs="Arial" w:eastAsia="Arial" w:hAnsi="Arial"/>
          <w:sz w:val="18"/>
          <w:szCs w:val="18"/>
          <w:color w:val="auto"/>
        </w:rPr>
        <w:t>Filed by Comcast Corporation pursuant to Rule</w:t>
      </w:r>
    </w:p>
    <w:p>
      <w:pPr>
        <w:spacing w:after="0" w:line="15"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425 under the Securities Act of 1933 and deemed</w:t>
      </w:r>
    </w:p>
    <w:p>
      <w:pPr>
        <w:spacing w:after="0" w:line="9"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filed pursuant to Rule 14a-12 and Rule 14d-2</w:t>
      </w:r>
    </w:p>
    <w:p>
      <w:pPr>
        <w:spacing w:after="0" w:line="9"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under the Securities Exchange Act of 1934</w:t>
      </w:r>
    </w:p>
    <w:p>
      <w:pPr>
        <w:spacing w:after="0" w:line="219"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Date: February 17, 2004</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The following press release was issued by Comcast Corporation:</w:t>
      </w:r>
    </w:p>
    <w:p>
      <w:pPr>
        <w:spacing w:after="0" w:line="219"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Comcast Statement Regarding The Walt Disney Company</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PHILADELPHIA, Feb. 16th Comcast Corporation issued the following statement today:</w:t>
      </w:r>
    </w:p>
    <w:p>
      <w:pPr>
        <w:spacing w:after="0" w:line="225" w:lineRule="exact"/>
        <w:rPr>
          <w:sz w:val="24"/>
          <w:szCs w:val="24"/>
          <w:color w:val="auto"/>
        </w:rPr>
      </w:pPr>
    </w:p>
    <w:p>
      <w:pPr>
        <w:jc w:val="both"/>
        <w:ind w:right="140"/>
        <w:spacing w:after="0" w:line="306" w:lineRule="auto"/>
        <w:rPr>
          <w:sz w:val="20"/>
          <w:szCs w:val="20"/>
          <w:color w:val="auto"/>
        </w:rPr>
      </w:pPr>
      <w:r>
        <w:rPr>
          <w:rFonts w:ascii="Arial" w:cs="Arial" w:eastAsia="Arial" w:hAnsi="Arial"/>
          <w:sz w:val="16"/>
          <w:szCs w:val="16"/>
          <w:color w:val="auto"/>
        </w:rPr>
        <w:t>Our proposal to acquire The Walt Disney Company reflects a full and generous valuation based upon Disney's prospects and performance over a long period of time, representing a significant premium over Disney's unaffected share price during any relevant measurement period over the last three years. We maintain the belief that our merger proposal represents a sound and compelling proposition for both sets of shareholders.</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231" w:lineRule="exact"/>
        <w:rPr>
          <w:sz w:val="24"/>
          <w:szCs w:val="24"/>
          <w:color w:val="auto"/>
        </w:rPr>
      </w:pPr>
    </w:p>
    <w:p>
      <w:pPr>
        <w:ind w:right="340"/>
        <w:spacing w:after="0" w:line="255" w:lineRule="auto"/>
        <w:rPr>
          <w:sz w:val="20"/>
          <w:szCs w:val="20"/>
          <w:color w:val="auto"/>
        </w:rPr>
      </w:pPr>
      <w:r>
        <w:rPr>
          <w:rFonts w:ascii="Arial" w:cs="Arial" w:eastAsia="Arial" w:hAnsi="Arial"/>
          <w:sz w:val="18"/>
          <w:szCs w:val="18"/>
          <w:color w:val="auto"/>
        </w:rPr>
        <w:t>Comcast Corporation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197" w:lineRule="exact"/>
        <w:rPr>
          <w:sz w:val="24"/>
          <w:szCs w:val="24"/>
          <w:color w:val="auto"/>
        </w:rPr>
      </w:pPr>
    </w:p>
    <w:p>
      <w:pPr>
        <w:jc w:val="both"/>
        <w:ind w:right="140"/>
        <w:spacing w:after="0" w:line="256" w:lineRule="auto"/>
        <w:rPr>
          <w:sz w:val="20"/>
          <w:szCs w:val="20"/>
          <w:color w:val="auto"/>
        </w:rPr>
      </w:pPr>
      <w:r>
        <w:rPr>
          <w:rFonts w:ascii="Arial" w:cs="Arial" w:eastAsia="Arial" w:hAnsi="Arial"/>
          <w:sz w:val="18"/>
          <w:szCs w:val="18"/>
          <w:color w:val="auto"/>
        </w:rPr>
        <w:t>“Safe Harbor” Statement under the Private Securities Litigation Reform Act of 1995: Statements in this press release regarding Comcast Corporation's business which are not historical facts are “forward-looking statements” that involve risks and uncertainties. For a discussion of such risks and uncertainties, which could cause actual results to differ from those contained in the forward-looking statements, see “Risk Factors” in the Company's Annual Report or Form 10-K for the most recently ended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4"/>
          <w:szCs w:val="24"/>
          <w:color w:val="auto"/>
        </w:rPr>
      </w:pPr>
    </w:p>
    <w:p>
      <w:pPr>
        <w:ind w:right="200" w:firstLine="263"/>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97" w:lineRule="exact"/>
        <w:rPr>
          <w:sz w:val="24"/>
          <w:szCs w:val="24"/>
          <w:color w:val="auto"/>
        </w:rPr>
      </w:pPr>
    </w:p>
    <w:p>
      <w:pPr>
        <w:ind w:firstLine="270"/>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2019-12-11T23:43:02Z</dcterms:created>
  <dcterms:modified xsi:type="dcterms:W3CDTF">2019-12-11T23:43:02Z</dcterms:modified>
</cp:coreProperties>
</file>