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44">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469"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10-Q</w:t>
      </w:r>
    </w:p>
    <w:p>
      <w:pPr>
        <w:spacing w:after="0" w:line="238"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380" w:right="180" w:hanging="778"/>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2005</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380" w:right="120" w:hanging="737"/>
        <w:spacing w:after="0" w:line="242"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 for the Transition Period</w:t>
      </w:r>
    </w:p>
    <w:p>
      <w:pPr>
        <w:ind w:left="1380"/>
        <w:spacing w:after="0"/>
        <w:rPr>
          <w:rFonts w:ascii="Arial" w:cs="Arial" w:eastAsia="Arial" w:hAnsi="Arial"/>
          <w:sz w:val="22"/>
          <w:szCs w:val="22"/>
          <w:color w:val="auto"/>
        </w:rPr>
      </w:pPr>
      <w:r>
        <w:rPr>
          <w:rFonts w:ascii="Arial" w:cs="Arial" w:eastAsia="Arial" w:hAnsi="Arial"/>
          <w:sz w:val="22"/>
          <w:szCs w:val="22"/>
          <w:b w:val="1"/>
          <w:bCs w:val="1"/>
          <w:color w:val="auto"/>
        </w:rPr>
        <w:t>fromto</w:t>
      </w:r>
      <w:r>
        <w:rPr>
          <w:rFonts w:ascii="Arial" w:cs="Arial" w:eastAsia="Arial" w:hAnsi="Arial"/>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1201420</wp:posOffset>
            </wp:positionH>
            <wp:positionV relativeFrom="paragraph">
              <wp:posOffset>-29210</wp:posOffset>
            </wp:positionV>
            <wp:extent cx="1006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7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000-50093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120"/>
        <w:spacing w:after="0"/>
        <w:tabs>
          <w:tab w:leader="none" w:pos="8240" w:val="left"/>
        </w:tabs>
        <w:rPr>
          <w:sz w:val="20"/>
          <w:szCs w:val="20"/>
          <w:color w:val="auto"/>
        </w:rPr>
      </w:pPr>
      <w:r>
        <w:rPr>
          <w:rFonts w:ascii="Arial" w:cs="Arial" w:eastAsia="Arial" w:hAnsi="Arial"/>
          <w:sz w:val="18"/>
          <w:szCs w:val="18"/>
          <w:b w:val="1"/>
          <w:bCs w:val="1"/>
          <w:color w:val="auto"/>
        </w:rPr>
        <w:t>PENNSYLVANIA</w:t>
      </w:r>
      <w:r>
        <w:rPr>
          <w:sz w:val="20"/>
          <w:szCs w:val="20"/>
          <w:color w:val="auto"/>
        </w:rPr>
        <w:tab/>
      </w:r>
      <w:r>
        <w:rPr>
          <w:rFonts w:ascii="Arial" w:cs="Arial" w:eastAsia="Arial" w:hAnsi="Arial"/>
          <w:sz w:val="18"/>
          <w:szCs w:val="18"/>
          <w:b w:val="1"/>
          <w:bCs w:val="1"/>
          <w:color w:val="auto"/>
        </w:rPr>
        <w:t>27-0000798</w:t>
      </w:r>
    </w:p>
    <w:p>
      <w:pPr>
        <w:spacing w:after="0" w:line="21" w:lineRule="exact"/>
        <w:rPr>
          <w:sz w:val="24"/>
          <w:szCs w:val="24"/>
          <w:color w:val="auto"/>
        </w:rPr>
      </w:pPr>
    </w:p>
    <w:p>
      <w:pPr>
        <w:ind w:left="1780"/>
        <w:spacing w:after="0"/>
        <w:tabs>
          <w:tab w:leader="none" w:pos="806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w:t>
      </w:r>
    </w:p>
    <w:p>
      <w:pPr>
        <w:spacing w:after="0" w:line="9" w:lineRule="exact"/>
        <w:rPr>
          <w:sz w:val="24"/>
          <w:szCs w:val="24"/>
          <w:color w:val="auto"/>
        </w:rPr>
      </w:pPr>
    </w:p>
    <w:p>
      <w:pPr>
        <w:ind w:left="1740"/>
        <w:spacing w:after="0"/>
        <w:tabs>
          <w:tab w:leader="none" w:pos="800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6"/>
          <w:szCs w:val="16"/>
          <w:color w:val="auto"/>
        </w:rPr>
        <w:t>Identification No.)</w:t>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(Zip Code)</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62"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167005</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60"/>
        <w:spacing w:after="0" w:line="207" w:lineRule="exact"/>
        <w:tabs>
          <w:tab w:leader="none" w:pos="8660" w:val="left"/>
          <w:tab w:leader="none" w:pos="93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4"/>
          <w:szCs w:val="24"/>
          <w:color w:val="auto"/>
        </w:rPr>
      </w:pPr>
    </w:p>
    <w:p>
      <w:pPr>
        <w:ind w:right="520" w:firstLine="341"/>
        <w:spacing w:after="0" w:line="268" w:lineRule="auto"/>
        <w:rPr>
          <w:sz w:val="20"/>
          <w:szCs w:val="20"/>
          <w:color w:val="auto"/>
        </w:rPr>
      </w:pPr>
      <w:r>
        <w:rPr>
          <w:rFonts w:ascii="Arial" w:cs="Arial" w:eastAsia="Arial" w:hAnsi="Arial"/>
          <w:sz w:val="18"/>
          <w:szCs w:val="18"/>
          <w:color w:val="auto"/>
        </w:rPr>
        <w:t>As of June 30, 2005, there were 1,361,953,722 shares of our Class A Common Stock, 824,577,206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69"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105"/>
        </w:trPr>
        <w:tc>
          <w:tcPr>
            <w:tcW w:w="7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800" w:type="dxa"/>
            <w:vAlign w:val="bottom"/>
            <w:gridSpan w:val="4"/>
            <w:vMerge w:val="restart"/>
          </w:tcPr>
          <w:p>
            <w:pPr>
              <w:ind w:left="60"/>
              <w:spacing w:after="0"/>
              <w:rPr>
                <w:sz w:val="20"/>
                <w:szCs w:val="20"/>
                <w:color w:val="auto"/>
              </w:rPr>
            </w:pPr>
            <w:r>
              <w:rPr>
                <w:rFonts w:ascii="Arial" w:cs="Arial" w:eastAsia="Arial" w:hAnsi="Arial"/>
                <w:sz w:val="18"/>
                <w:szCs w:val="18"/>
                <w:color w:val="auto"/>
              </w:rPr>
              <w:t>FINANCIAL INFORMATION</w:t>
            </w: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700" w:type="dxa"/>
            <w:vAlign w:val="bottom"/>
            <w:vMerge w:val="continue"/>
          </w:tcPr>
          <w:p>
            <w:pPr>
              <w:spacing w:after="0"/>
              <w:rPr>
                <w:sz w:val="24"/>
                <w:szCs w:val="24"/>
                <w:color w:val="auto"/>
              </w:rPr>
            </w:pPr>
          </w:p>
        </w:tc>
        <w:tc>
          <w:tcPr>
            <w:tcW w:w="9800" w:type="dxa"/>
            <w:vAlign w:val="bottom"/>
            <w:gridSpan w:val="4"/>
            <w:vMerge w:val="continue"/>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ITEM 1.</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Financial Statements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w w:val="96"/>
              </w:rPr>
              <w:t>Condensed Consolidated Balance Sheet as of June 30, 2005 and December 31, 2004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w w:val="93"/>
              </w:rPr>
              <w:t>Condensed Consolidated Statement of Operations for the Three and Six Months Ended June 30, 2005</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and 2004 (Unaudited)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w w:val="93"/>
              </w:rPr>
              <w:t>Condensed Consolidated Statement of Cash Flows for the Six Months Ended June 30, 2005 and 2004</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(Unaudited)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Notes to Condensed Consolidated Financial Statements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ITEM 2.</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ITEM 3.</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ITEM 4.</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Controls and Procedures</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9"/>
              </w:rPr>
              <w:t>PART II.</w:t>
            </w:r>
          </w:p>
        </w:tc>
        <w:tc>
          <w:tcPr>
            <w:tcW w:w="2060" w:type="dxa"/>
            <w:vAlign w:val="bottom"/>
          </w:tcPr>
          <w:p>
            <w:pPr>
              <w:ind w:left="120"/>
              <w:spacing w:after="0"/>
              <w:rPr>
                <w:sz w:val="20"/>
                <w:szCs w:val="20"/>
                <w:color w:val="auto"/>
              </w:rPr>
            </w:pPr>
            <w:r>
              <w:rPr>
                <w:rFonts w:ascii="Arial" w:cs="Arial" w:eastAsia="Arial" w:hAnsi="Arial"/>
                <w:sz w:val="18"/>
                <w:szCs w:val="18"/>
                <w:color w:val="auto"/>
                <w:w w:val="98"/>
              </w:rPr>
              <w:t>OTHER INFORMATION</w:t>
            </w:r>
          </w:p>
        </w:tc>
        <w:tc>
          <w:tcPr>
            <w:tcW w:w="2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ITEM 1.</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Legal Proceedings</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ITEM 2.</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ITEM 4.</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Submission of Matters to a Vote of Security 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ITEM 6.</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Exhibits</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SIGNATURES</w:t>
            </w:r>
          </w:p>
        </w:tc>
        <w:tc>
          <w:tcPr>
            <w:tcW w:w="2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-2501265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Quarterly Report on Form 10-Q is for the three and six months ended June 30, 2005.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198" w:lineRule="exact"/>
        <w:rPr>
          <w:sz w:val="20"/>
          <w:szCs w:val="20"/>
          <w:color w:val="auto"/>
        </w:rPr>
      </w:pPr>
    </w:p>
    <w:p>
      <w:pPr>
        <w:ind w:right="180" w:firstLine="345"/>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these words, and other comparable words. You should be aware that these statements are only our predictions. In evaluating these statements, you should specifically consider various factors, including the risks and uncertainties outlined below. Actual events or our actual results may differ materially from any of our forward-looking statements.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a more detailed explanation of the factors affecting our businesses, please refer to the Risk Factors section in Item 1 of our 2004 Form 10-K.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6"/>
              </w:rPr>
              <w:t>PART I.</w:t>
            </w:r>
          </w:p>
        </w:tc>
        <w:tc>
          <w:tcPr>
            <w:tcW w:w="7540" w:type="dxa"/>
            <w:vAlign w:val="bottom"/>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ITEM I.</w:t>
            </w:r>
          </w:p>
        </w:tc>
        <w:tc>
          <w:tcPr>
            <w:tcW w:w="754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40" w:type="dxa"/>
            <w:vAlign w:val="bottom"/>
          </w:tcPr>
          <w:p>
            <w:pPr>
              <w:ind w:left="3020"/>
              <w:spacing w:after="0"/>
              <w:rPr>
                <w:sz w:val="20"/>
                <w:szCs w:val="20"/>
                <w:color w:val="auto"/>
              </w:rPr>
            </w:pPr>
            <w:r>
              <w:rPr>
                <w:rFonts w:ascii="Arial" w:cs="Arial" w:eastAsia="Arial" w:hAnsi="Arial"/>
                <w:sz w:val="18"/>
                <w:szCs w:val="18"/>
                <w:b w:val="1"/>
                <w:bCs w:val="1"/>
                <w:color w:val="auto"/>
              </w:rPr>
              <w:t>CONDENSED CONSOLIDATED BALANCE SHEET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tcPr>
          <w:p>
            <w:pPr>
              <w:ind w:left="462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0"/>
                <w:szCs w:val="20"/>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65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doubtful accounts of $141 and $132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180" w:type="dxa"/>
            <w:vAlign w:val="bottom"/>
            <w:gridSpan w:val="3"/>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8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$10,981 and $9,416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FRANCHISE RIGHTS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OTHER INTANGIBLE ASSETS, net of accumulated amortization of $4,059 and $3,452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105,347</w:t>
            </w:r>
          </w:p>
        </w:tc>
        <w:tc>
          <w:tcPr>
            <w:tcW w:w="1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104,694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18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5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180" w:type="dxa"/>
            <w:vAlign w:val="bottom"/>
            <w:gridSpan w:val="3"/>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8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20,093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Preferred stock—authorized 20,000,000 shares; issued, zero</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common stock, $0.01 par value—authorized, 7,500,000,000 shares; issued,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1,605,594,222 and 1,603,320,864; outstanding, 1,361,953,722 and 1,359,680,364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Class A Special common stock, $0.01 par value—authorized, 7,500,000,000 shares;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issued 871,867,049 and 890,234,413; outstanding, 824,577,206 and 842,944,570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B common stock, $0.01 par value—authorized, 75,000,000 shares; issued and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outstanding, 9,444,375</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8"/>
              </w:rPr>
              <w:t>Treasury stock, 243,640,500 Class A common shares and 47,289,843 Class A Special common shares</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(7,517)</w:t>
            </w:r>
          </w:p>
        </w:tc>
        <w:tc>
          <w:tcPr>
            <w:tcW w:w="28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41,422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5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-7423785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-7423785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-7080885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-7080885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-7080885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-7080885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-6102985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-6102985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-6102985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-6102985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-5811520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-5811520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-5811520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-5811520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-4833620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-4833620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-4833620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-4833620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-3393440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-3393440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-3393440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-3393440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-3101340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-3101340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-3101340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-3101340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-614680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-614680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-614680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747"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747"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9"/>
              </w:rPr>
              <w:t>except per share data)</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gridSpan w:val="2"/>
          </w:tcPr>
          <w:p>
            <w:pPr>
              <w:jc w:val="right"/>
              <w:ind w:right="103"/>
              <w:spacing w:after="0"/>
              <w:rPr>
                <w:sz w:val="20"/>
                <w:szCs w:val="20"/>
                <w:color w:val="auto"/>
              </w:rPr>
            </w:pPr>
            <w:r>
              <w:rPr>
                <w:rFonts w:ascii="Arial" w:cs="Arial" w:eastAsia="Arial" w:hAnsi="Arial"/>
                <w:sz w:val="14"/>
                <w:szCs w:val="14"/>
                <w:b w:val="1"/>
                <w:bCs w:val="1"/>
                <w:color w:val="auto"/>
                <w:w w:val="82"/>
              </w:rPr>
              <w:t>June 30,</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right"/>
              <w:ind w:right="243"/>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ind w:right="253"/>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4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(excluding depreciation)</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4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1,048</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(911)</w:t>
            </w: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 net</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Equity in net losses of affiliates</w:t>
            </w:r>
          </w:p>
        </w:tc>
        <w:tc>
          <w:tcPr>
            <w:tcW w:w="200" w:type="dxa"/>
            <w:vAlign w:val="bottom"/>
          </w:tcPr>
          <w:p>
            <w:pPr>
              <w:spacing w:after="0"/>
              <w:rPr>
                <w:sz w:val="18"/>
                <w:szCs w:val="18"/>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(853)</w:t>
            </w:r>
          </w:p>
        </w:tc>
        <w:tc>
          <w:tcPr>
            <w:tcW w:w="3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4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4"/>
                <w:szCs w:val="24"/>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40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24"/>
                <w:szCs w:val="24"/>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4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400" w:type="dxa"/>
            <w:vAlign w:val="bottom"/>
            <w:gridSpan w:val="2"/>
          </w:tcPr>
          <w:p>
            <w:pPr>
              <w:spacing w:after="0"/>
              <w:rPr>
                <w:sz w:val="20"/>
                <w:szCs w:val="20"/>
                <w:color w:val="auto"/>
              </w:rPr>
            </w:pPr>
            <w:r>
              <w:rPr>
                <w:rFonts w:ascii="Arial" w:cs="Arial" w:eastAsia="Arial" w:hAnsi="Arial"/>
                <w:sz w:val="18"/>
                <w:szCs w:val="18"/>
                <w:color w:val="auto"/>
              </w:rPr>
              <w:t>BASIC EARNINGS FOR COMMON STOCKHOLDERS PER COMMON SHARE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4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FOR COMMON STOCKHOLDERS PER COMMON</w:t>
            </w: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-5751195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-5751195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-5408295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-5408295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-5408295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-5408295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-5160010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-5160010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-5160010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-5160010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-5160010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-5160010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-5160010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-5160010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-4044950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-4044950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-4044950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-4044950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-4044950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-4044950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-4044950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-4044950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-3753485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-3753485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-3753485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-3753485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-3753485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-3753485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-3753485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-3753485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-2638425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-2638425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-2638425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-2638425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-2638425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-2638425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-2638425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-2638425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-2346960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-2346960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-2346960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-2346960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-2346960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-2346960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-2346960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-2346960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-1781175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-1781175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-1781175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-1781175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-1781175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-1781175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-1781175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-1781175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-1214755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-1214755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-1214755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-1214755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-1214755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-1214755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-1214755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-1214755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(Dollars 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w w:val="88"/>
              </w:rPr>
              <w:t>Six Months Ended</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w w:val="85"/>
              </w:rPr>
              <w:t>June 30,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jc w:val="right"/>
              <w:ind w:right="373"/>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Non-cash interest expense,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Equity in net losses of affiliates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Losses (gains) on investments and other (income) expense, net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Non-cash contribution expense</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Change in accounts receivable, net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Change in other operating assets and liabilities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740" w:type="dxa"/>
            <w:vAlign w:val="bottom"/>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2,517</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Retirements and repayments of debt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18"/>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7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Proceeds from sales and restructuring of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Additions to intangible and other noncurrent assets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Purchases of short-term investments, net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settlement of contract of acquired company</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(2,332)</w:t>
            </w:r>
          </w:p>
        </w:tc>
        <w:tc>
          <w:tcPr>
            <w:tcW w:w="4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430"/>
        </w:trPr>
        <w:tc>
          <w:tcPr>
            <w:tcW w:w="87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7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-6797675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-6797675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-6454775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-6454775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-6205855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-6205855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-6205855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-6205855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-3993515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-3993515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-3993515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-3993515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-3702050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-3702050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-3702050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-3702050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-2724150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-2724150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-2724150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-2724150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-2432685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-2432685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-2432685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-2432685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-1180465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-1180465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-1180465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-1180465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-889000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-889000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-889000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-323215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CONDENSED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have prepared these unaudited condensed consolidated financial statements based upon Securities and Exchange Commission ("SEC") rules that permit reduced disclosure for interim periods.</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financial condition, results of operations and cash flows for the interim periods shown, including normal recurring accruals and other items. The results of operations for the interim periods presented are not necessarily indicative of results for the full year.</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a more complete discussion of our accounting policies and certain other information, refer to our annual financial statements for the preceding fiscal year as filed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 financial statements to conform to those classifications used in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123R</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 (revised 2004), "Share-Based Payment" ("SFAS No. 123R"), which replaces SFAS No. 123, "Accounting for Stock-Based Compensation" ("SFAS No. 123") and supersedes Accounting Principles Board ("APB") Opinion No. 25, "Accounting for Stock Issued to Employees" ("APB No. 25"). SFAS No. 123R requires all share-based payments to employees, including grants of employee stock options, to be recognized in the financial statements based on their fair values, beginning with the next fiscal year that begins after June 15, 2005, with early adoption encouraged. In addition, SFAS No. 123R will cause unrecognized expense (based on the amounts in our pro forma footnote disclosure) related to options vesting after the date of initial adoption to be recognized as a charge to results of operations over the remaining vesting period. We are required to adopt SFAS No. 123R beginning January 1, 2006. Under SFAS No. 123R, we must determine the appropriate fair value model to be used for valuing share-based payments, the amortization method for compensation cost and the transition method to be used at the date of adoption. The transition alternatives include prospective and retroactive adoption methods. Under the retroactive methods, prior periods may be retroactively adjusted either as of the beginning of the year of adoption or for all periods presented. The prospective method requires that compensation expense be recorded for all unvested stock options and share awards at the beginning of the first quarter of adoption of SFAS No. 123R, while the retroactive methods would record compensation expense for all unvested stock options and share awards beginning with the first period retroactively adjusted. We are evaluating the requirements of SFAS No. 123R, and we expect that the adoption of SFAS No. 123R will have a material impact on our consolidated results of operations and earnings per share. We have not determined the date or method of adoption or the effect of adopting SFAS No. 123R.</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 No. 47</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March 2005, the FASB issued FASB Interpretation ("FIN") No. 47 "Accounting for Conditional Asset Retirement Obligations—an Interpretation of FASB Statement No. 143" ("FIN No. 47"). FIN No. 47 clarifies the timing of liability recognition for legal obligations associated with the retirement of a tangible long-lived asset when the timing and/or method of settlement are conditional on a future event. FIN No. 47 is effective for us no later than December 31, 2005. We do not expect that the adoption of FIN No. 47 will have a material impact on our consolidated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153</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2004, the FASB issued SFAS No. 153, "Exchanges of Nonmonetary Assets—an amendment of APB Opinion No. 29" ("SFAS No. 153"). The guidance in APB Opinion No. 29, "Accounting for Nonmonetary Transactions" ("APB No. 29"), is based on the principle that exchanges of nonmonetary assets should be measured based on the fair value of the assets exchanged. The guidance in APB Opinion No. 29, however, included certain exceptions to that principle. SFAS No. 153 amends APB Opinion No. 29 to eliminate the exception for nonmonetary exchanges of similar productive assets and replaces it with a general exception for exchanges of nonmonetary assets that do not have commercial substance. SFAS No. 153 is effective for such exchange transactions occurring in fiscal periods beginning after June 15, 2005.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154</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Corrections—a replacement of APB Opinion No. 20 and FASB Statement No. 3" ("SFAS No. 154"). This Statement replaces APB Opinion No. 20, "Accounting Changes" and FASB Statement No. 3, "Reporting Accounting Changes in Interim Financial Statements," and changes the requirements for the accounting for and reporting of a change in accounting principle. SFAS No. 154 applies to all voluntary changes in an accounting principle. It also applies to changes required by an accounting pronouncement in the unusual instance that the pronouncement does not include specific transition provisions. When a pronouncement includes specific transition provisions, those provisions should be followed. SFAS No. 154 is effective for accounting changes and error corrections occurring in fiscal years beginning after December 15, 2005.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Basic earnings (loss) per common share ("Basic EPS") is computed by dividing net income (loss) for common stockholders by the weighted average number of common shares during the period.</w:t>
      </w:r>
    </w:p>
    <w:p>
      <w:pPr>
        <w:spacing w:after="0" w:line="18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stock options, restricted stock and Comcast exchangeable notes (see Note 7). Diluted earnings for common stockholders per common share ("Diluted EPS") considers the impact of potentially dilutive securities except in periods in which there is a loss because the inclusion of the potential common shares would have an antidilutive effect.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Diluted EPS excludes the impact of potential common shares related to our stock options in periods in which the option exercise price is greater than the average market price of our Class A common stock and our Class A Special common stock for the period. Diluted EPS excludes the impact of potential common shares related to our Class A Special common stock held in treasury because it is our intent to settle the related Comcast exchangeable notes using cash.</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Diluted EPS for the three and six months ended June 30, 2005, excludes approximately 90 million and 78 million potential common shares, respectively, and Diluted EPS for the three and six months ended June 30, 2004, excludes approximately 108 million and 93 million potential common shares, respectively, related to our stock plans because the option exercise price was greater than the average market price of our Class A common stock and our Class A Special common stock for the period.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numerator and denominator of the computations of Diluted EPS for common stockholders for the interim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8"/>
          </w:tcPr>
          <w:p>
            <w:pPr>
              <w:jc w:val="center"/>
              <w:ind w:left="452"/>
              <w:spacing w:after="0"/>
              <w:rPr>
                <w:sz w:val="20"/>
                <w:szCs w:val="20"/>
                <w:color w:val="auto"/>
              </w:rPr>
            </w:pPr>
            <w:r>
              <w:rPr>
                <w:rFonts w:ascii="Arial" w:cs="Arial" w:eastAsia="Arial" w:hAnsi="Arial"/>
                <w:sz w:val="14"/>
                <w:szCs w:val="14"/>
                <w:b w:val="1"/>
                <w:bCs w:val="1"/>
                <w:color w:val="auto"/>
                <w:w w:val="86"/>
              </w:rPr>
              <w:t>(Amounts in millions, except per share data)</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Three Months Ended June 30,</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Per Share</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Income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EPS for common stockholders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Assumed exercise or issuance of shares relating to stock plans</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4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8"/>
          </w:tcPr>
          <w:p>
            <w:pPr>
              <w:jc w:val="center"/>
              <w:ind w:left="452"/>
              <w:spacing w:after="0"/>
              <w:rPr>
                <w:sz w:val="20"/>
                <w:szCs w:val="20"/>
                <w:color w:val="auto"/>
              </w:rPr>
            </w:pPr>
            <w:r>
              <w:rPr>
                <w:rFonts w:ascii="Arial" w:cs="Arial" w:eastAsia="Arial" w:hAnsi="Arial"/>
                <w:sz w:val="14"/>
                <w:szCs w:val="14"/>
                <w:b w:val="1"/>
                <w:bCs w:val="1"/>
                <w:color w:val="auto"/>
                <w:w w:val="86"/>
              </w:rPr>
              <w:t>(Amounts in millions, except per share data)</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Six Months Ended June 30,</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Per Share</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Income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8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5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EPS for common stockholders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Assumed exercise or issuance of shares relating to stock plans</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4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2,268</w:t>
            </w: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-3290570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-3290570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-3041650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-3041650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-3041650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-3041650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-2698750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-2698750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-2698750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-2698750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-2698750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-2698750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-2698750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-2698750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-2698750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-2698750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-2698750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-2698750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-2132330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-2132330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-2132330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-2132330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-2132330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-2132330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-2132330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-2132330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-2132330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-2132330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-2132330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-2132330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-1480820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-1480820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-1231900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-1231900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-1231900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-889000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-889000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-889000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-889000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-889000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-889000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-889000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-889000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-889000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-889000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-323215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-323215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-323215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-323215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-323215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OTHER SIGNIFICANT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Motorola</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31, 2005, we entered into a strategic alliance with Motorola, Inc. whereby we will jointly develop next-generation conditional access software for cable networks and related products and market such products to other equipment manufacturers and cable companies through the creation of two ventures. Under the agreements, in addition to funding approximately 50% of the annual cost requirements of the ventures, we have paid, through the ventures, $20 million to Motorola and committed up to $80 million in cash, also to be paid through the ventures, over a four-year period to Motorola based on the achievement of certain milestones. Motorola contributed licenses to conditional access and related technology for their ownership in these entities.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These two ventures are both considered variable interest entities under FASB Interpretation No. 46, "Consolidation of Variable Interest Entities," and we have consolidated both of these ventures since we are the primary beneficiary. Accordingly, we have recorded approximately $190 million in intangible assets, of which we recorded a charge of approximately $20 million related to in-process research and development in the first quarter that has been included in amortization expense. These amounts are based on a preliminary valuation estimate of the intangibles contributed to the joint ventures, and these intangibles, including in-process research and development, are subject to further adjustment as final valuations are obtained.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w:t>
      </w:r>
    </w:p>
    <w:p>
      <w:pPr>
        <w:spacing w:after="0" w:line="225"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On April 8, 2005, we completed a transaction with a consortium of investors to acquire Metro-Goldwyn-Mayer Inc. We acquired our 20% interest for approximately $250 million in cash. We are accounting for this investment under the equity method of accounting.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Exit Activities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purchase price allocation of AT&amp;T Broadband in 2002 (the "Broadband acquisition"), we recorded approximately $1.5 billion of liabilities associated with exit activities and employee termination accruals. Remaining amounts under these accruals as of December 31, 2004, totaled $75 million. Payments under these liabilities are expected to continue over the next six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(Dollars in millions)</w:t>
            </w: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13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December 31, 2004</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Fair value method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Cablevision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Liberty Media Corporation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Liberty Global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Microsoft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Sprint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Warner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Vodafone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3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4,474</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3,672</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principally cable-related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w w:val="90"/>
              </w:rPr>
              <w:t>Cost method, principally Time Warner Cable at June 30, 2005, and Time Warner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Cable and Time Warner at December 31, 2004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6,814</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8,235</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Less, current investments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1,555</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34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investments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340" w:type="dxa"/>
            <w:vAlign w:val="bottom"/>
            <w:gridSpan w:val="2"/>
            <w:vMerge w:val="restart"/>
          </w:tcPr>
          <w:p>
            <w:pPr>
              <w:jc w:val="right"/>
              <w:ind w:right="1492"/>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3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-3342005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-3342005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-3342005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-3342005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-1952625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-1952625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-1952625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-1952625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-1249045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-1249045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-1249045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-820420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-820420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-820420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-820420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December 31, 2004, TWE Holdings II Trust (the "Trust"), a Delaware statutory trust whose beneficial interest is indirectly wholly held by Comcast, beneficially owned one share of Time Warner Inc. ("TW") Series A Mandatorily Convertible Preferred Stock (the "Preferred Stock"). We accounted for the Preferred Stock as a cost method investment with a carrying value of $1.5 billion as of December 31, 2004. On March 31, 2005, the Preferred Stock was converted into 83,835,883 shares of TW common stock (the "TW Stock Conversion"). We recorded the TW common stock received at its fair value of approximately $1.471 billion at the date of the TW Stock Conversion and recognized an investment loss of approximately $29 million, representing the difference between the fair value of the TW common stock on the date it was converted and the carrying amount of our investment in the Preferred Stock. We have designated our investment in the TW common stock as an available for sale security.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Method</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hold unrestricted equity investments, which we account for as available for sale or trading securities, in publicly traded companies. Our investments in Liberty Media Corporation, Liberty Global, Inc. (formerly known as Liberty Media International, Inc. ("Liberty Global"), Microsoft, Sprint and Vodafone, and approximately 44% of our investment in Cablevision, are accounted for as trading securities. The net unrealized pre-tax gains/(losses) on investments accounted for as available for sale securities as of June 30, 2005, and December 31, 2004, of $(23) million and $26 million, respectively, have been reported in our consolidated balance sheet as a component of accumulated other comprehensive loss, net of related deferred income taxes of $(8) million and $9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cost, fair value and unrealized gains and losses related to our available for sale securities are as follows (dollars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59"/>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51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Unrealized gains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34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4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1,565</w:t>
            </w:r>
          </w:p>
        </w:tc>
        <w:tc>
          <w:tcPr>
            <w:tcW w:w="16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-889000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-889000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-889000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February 2005, we entered into a 10 year prepaid forward sale of approximately 2.7 million shares of Liberty Global Series A common stock for proceeds of $99 million.</w:t>
      </w:r>
    </w:p>
    <w:p>
      <w:pPr>
        <w:spacing w:after="0" w:line="18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June 2005, we, through a majority owned partnership, entered into a seven year, seven month prepaid forward sale of approximately 5.1 million shares of Cablevision Class A Common Stock for proceeds of $114 million. We have designated the derivative component of the prepaid forward as a fair value hedge of the related Cablevision shares. Accordingly, the mark to market adjustment on the 56% of the Cablevision shares held by the partnership and classified as available for sale securities will be recorded to investment income, net over the term of the prepaid forward.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for the interim periods includes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Three Months Ended June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30,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Gains (losses) on sales and exchanges of investments, net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losses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Unrealized gains (losses) on trading securities and hedged items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4"/>
              </w:rPr>
              <w:t>Mark to market adjustments on derivatives related to trading securities and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hedged items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Mark to market adjustments on derivatives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 net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-1686560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-1686560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-1686560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-1686560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-1437640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-1437640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-1437640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-1437640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-1437640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-1437640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-1437640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-1437640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-323215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-323215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-323215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-323215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changes in the carrying amount of goodwill by business segment (see Note 11) for the period presented are as follows (dollars in millions):</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79"/>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Cable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Content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79"/>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Settlement or adjustments</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2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2"/>
          </w:tcPr>
          <w:p>
            <w:pPr>
              <w:spacing w:after="0"/>
              <w:rPr>
                <w:sz w:val="20"/>
                <w:szCs w:val="20"/>
                <w:color w:val="auto"/>
              </w:rPr>
            </w:pPr>
            <w:r>
              <w:rPr>
                <w:rFonts w:ascii="Arial" w:cs="Arial" w:eastAsia="Arial" w:hAnsi="Arial"/>
                <w:sz w:val="18"/>
                <w:szCs w:val="18"/>
                <w:color w:val="auto"/>
              </w:rPr>
              <w:t>Balance, June 30, 2005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12,962</w:t>
            </w:r>
          </w:p>
        </w:tc>
        <w:tc>
          <w:tcPr>
            <w:tcW w:w="12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-889000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-889000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-889000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-889000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-889000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-889000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-889000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-889000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-323215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-323215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-323215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27"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(Dollars in millions)</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w w:val="87"/>
              </w:rPr>
              <w:t>June 30, 2005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9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Notes exchangeable into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4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Bank and public debt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capital lease obligations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24,130</w:t>
            </w:r>
          </w:p>
        </w:tc>
        <w:tc>
          <w:tcPr>
            <w:tcW w:w="48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23,592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-889000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-889000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-889000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-889000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-323215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Cross-Guarantee Structure</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and a number of our wholly-owned subsidiaries that hold substantially all of our cable assets have unconditionally guaranteed each other's debt securities and indebtedness for borrowed money. As of June 30, 2005, $21.450 billion of our debt was included in the cross-guarantee structure.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Comcast Holdings is not a guarantor, and none of its debt is guaranteed under the cross-guarantee structure. As of June 30, 2005, $906 million of our debt was outstanding at Comcast Holdings.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Offering</w:t>
      </w:r>
    </w:p>
    <w:p>
      <w:pPr>
        <w:spacing w:after="0" w:line="22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June 2005, we issued $1.5 billion of notes consisting of $750 million of 4.95% notes due 2016 and $750 million of 5.65% notes due 2035. We used the net proceeds of this offering for working capital and general corporate purposes, including repayment of existing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2005, we gave notice to holders of our 9.5% Senior Notes due 2013 with an aggregate principal amount of $525 million that we will redeem the notes on August 1, 2005 at a premium of 4.75% over par. We have classified the notes as long-term in our consolidated balance sheet as of June 30, 2005, because we have both the ability and intent, if necessary, to finance the redemption with long-term borrowings.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and Letters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2005, we and certain of our subsidiaries had unused lines of credit of $3.951 billion under respective credit facilities.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of June 30, 2005, we and certain of our subsidiaries had unused irrevocable standby letters of credit totaling approximately $402 million to cover potential fundings under various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Exchangeable into Common Stock</w:t>
      </w:r>
    </w:p>
    <w:p>
      <w:pPr>
        <w:spacing w:after="0" w:line="225"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As of June 30, 2005, our Microsoft, Vodafone and Comcast exchangeable notes (the "Exchangeable Notes") are mandatorily redeemable at our option into shares of (a) Microsoft common stock or its cash equivalent; (b)(i) Vodafone ADRs, (ii) the cash equivalent, or (iii) a combination of cash and Vodafone ADRs; and</w:t>
      </w:r>
    </w:p>
    <w:p>
      <w:pPr>
        <w:ind w:right="140" w:firstLine="8"/>
        <w:spacing w:after="0" w:line="255" w:lineRule="auto"/>
        <w:tabs>
          <w:tab w:leader="none" w:pos="23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Class A Special common stock or its cash equivalent, respectively. The maturity value of the Exchangeable Notes varies based upon the fair market value of the security to which it is indexed. Our Exchangeable Notes are collateralized by our investments in Microsoft and Vodafone, respectively, and the Comcast Class A Special common stock held in treasury (see Note 5).</w:t>
      </w:r>
    </w:p>
    <w:p>
      <w:pPr>
        <w:spacing w:after="0" w:line="19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three and six months ended June 30, 2005, we settled an aggregate of $176 million face amount and $572 million face amount, respectively, of our obligations relating to our Cablevision and Vodafone exchangeable notes by delivering the underlying shares or ADRs to the counterparties upon maturity of the instruments, and the equity collar agreements related to the underlying securities were exercised. The Cablevision and Vodafone transactions represented non-cash investing and financing activities and had no effect on our statement of cash flows due to their non-cash nature.</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June 30, 2005, the securities we held collateralizing the Exchangeable Notes were sufficient to satisfy the debt obligations associated with the outstanding Exchangeable Notes (see Notes 5 and 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ZONES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ZONES of $1.807 billion or the market value of Sprint common stock. Prior to maturity, each ZONES is exchangeable at the holder's option for an amount of cash equal to 95% of the market value of Sprint common stock.</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separated the accounting for the Exchangeable Notes and the ZONES into derivative and debt components. We record the change in the fair value of the derivative component of the Exchangeable Notes and the ZONES (see Note 5) and the change in the carrying value of the debt component of the Exchangeable Notes and the ZONES as follows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4"/>
              </w:rPr>
              <w:t>Exchangeable Notes</w:t>
            </w:r>
          </w:p>
        </w:tc>
        <w:tc>
          <w:tcPr>
            <w:tcW w:w="160" w:type="dxa"/>
            <w:vAlign w:val="bottom"/>
          </w:tcPr>
          <w:p>
            <w:pPr>
              <w:spacing w:after="0"/>
              <w:rPr>
                <w:sz w:val="15"/>
                <w:szCs w:val="15"/>
                <w:color w:val="auto"/>
              </w:rPr>
            </w:pPr>
          </w:p>
        </w:tc>
        <w:tc>
          <w:tcPr>
            <w:tcW w:w="90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5"/>
              </w:rPr>
              <w:t>ZONES</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Six Months Ended</w:t>
            </w:r>
          </w:p>
        </w:tc>
        <w:tc>
          <w:tcPr>
            <w:tcW w:w="160" w:type="dxa"/>
            <w:vAlign w:val="bottom"/>
          </w:tcPr>
          <w:p>
            <w:pPr>
              <w:spacing w:after="0"/>
              <w:rPr>
                <w:sz w:val="20"/>
                <w:szCs w:val="20"/>
                <w:color w:val="auto"/>
              </w:rPr>
            </w:pPr>
          </w:p>
        </w:tc>
        <w:tc>
          <w:tcPr>
            <w:tcW w:w="16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center"/>
              <w:ind w:left="358"/>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center"/>
              <w:ind w:left="258"/>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ind w:right="118"/>
              <w:spacing w:after="0"/>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114"/>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Debt component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5,030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component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Decrease in debt component due to maturities and redemptions</w:t>
            </w: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Change in debt component to interest expense</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derivative component to investment income, net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31"/>
        </w:trPr>
        <w:tc>
          <w:tcPr>
            <w:tcW w:w="53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component</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Derivative component</w:t>
            </w: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-2870200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-2870200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-2870200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-2870200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-2527300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-2527300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-2527300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-2527300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-2278380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-2278380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-2278380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-2278380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-2278380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-2278380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-2278380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-2278380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-1712595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-1712595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-1712595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-1712595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-1712595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-1712595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-1712595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-1712595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-323215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-323215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-323215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-323215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-323215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We use derivative financial instruments to manage our exposure to fluctuations in interest rates and securities prices. We have entered into indexed debt instruments and prepaid forward sale agreements whose value, in part, is derived from the market value of certain publicly traded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Excluding the derivative component of the Exchangeable Notes and the ZONES whose changes in fair value are recorded to investment income, net, our effective weighted average interest rate on our total debt outstanding was 7.38% as of June 30, 2005, and December 31, 2004, respectively. As of June 30, 2005, and December 31, 2004, accrued interest was $456 million and $444 million,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Board-Authorized Repurchase Program</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three and six months ended June 30, 2005, we repurchased approximately 10.5 million shares and 19.9 million shares, respectively, of our Class A Special common stock for aggregate consideration of $334 million and $637 million (on a trade date basis), respectively, pursuant to our Board-authorized share repurchase program. On April 27, 2005, our Board of Directors authorized a $2 billion increase to our share repurchase program, increasing the maximum dollar value of shares that may yet be repurchased under the program to approximately $2.0 billion as of June 30, 2005.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account for stock-based compensation in accordance with APB No. 25 and related interpretations, as permitted by SFAS No. 123, as amended. Compensation expense for stock options is measured as the excess, if any, of the quoted market price of our stock at the date of the grant over the amount an optionee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our stock or other determinants of fair value.</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SFAS No. 123 to stock-based compensation. Total stock-based compensation expense was determined under the fair value-based method for all awards using the accelerated recognition method as permitted under SFAS No. 123 (dollars in millions,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8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gridSpan w:val="3"/>
          </w:tcPr>
          <w:p>
            <w:pPr>
              <w:jc w:val="right"/>
              <w:ind w:right="465"/>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262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3"/>
              </w:rPr>
              <w:t>Add: Stock-based compensation expense included in net income, as reported above, net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color w:val="auto"/>
              </w:rPr>
              <w:t>of related tax effects</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4"/>
              </w:rPr>
              <w:t>Deduct: Stock-based compensation expense determined under fair value-based method</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 all awards, net of related tax effects</w:t>
            </w:r>
          </w:p>
        </w:tc>
        <w:tc>
          <w:tcPr>
            <w:tcW w:w="6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18"/>
        </w:trPr>
        <w:tc>
          <w:tcPr>
            <w:tcW w:w="6640" w:type="dxa"/>
            <w:vAlign w:val="bottom"/>
            <w:gridSpan w:val="2"/>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4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405</w:t>
            </w:r>
          </w:p>
        </w:tc>
        <w:tc>
          <w:tcPr>
            <w:tcW w:w="340" w:type="dxa"/>
            <w:vAlign w:val="bottom"/>
          </w:tcPr>
          <w:p>
            <w:pPr>
              <w:spacing w:after="0"/>
              <w:rPr>
                <w:sz w:val="24"/>
                <w:szCs w:val="24"/>
                <w:color w:val="auto"/>
              </w:rPr>
            </w:pP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224</w:t>
            </w:r>
          </w:p>
        </w:tc>
        <w:tc>
          <w:tcPr>
            <w:tcW w:w="3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for common stockholders per common share: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0.19</w:t>
            </w:r>
          </w:p>
        </w:tc>
        <w:tc>
          <w:tcPr>
            <w:tcW w:w="340" w:type="dxa"/>
            <w:vAlign w:val="bottom"/>
          </w:tcPr>
          <w:p>
            <w:pPr>
              <w:spacing w:after="0"/>
              <w:rPr>
                <w:sz w:val="18"/>
                <w:szCs w:val="18"/>
                <w:color w:val="auto"/>
              </w:rPr>
            </w:pP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0.12</w:t>
            </w:r>
          </w:p>
        </w:tc>
        <w:tc>
          <w:tcPr>
            <w:tcW w:w="3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0.26</w:t>
            </w:r>
          </w:p>
        </w:tc>
        <w:tc>
          <w:tcPr>
            <w:tcW w:w="3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0.18</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0.10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Diluted earnings for common stockholders per common share: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reported</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0.19</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0.12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Pro forma</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0.18</w:t>
            </w:r>
          </w:p>
        </w:tc>
        <w:tc>
          <w:tcPr>
            <w:tcW w:w="340" w:type="dxa"/>
            <w:vAlign w:val="bottom"/>
          </w:tcPr>
          <w:p>
            <w:pPr>
              <w:spacing w:after="0"/>
              <w:rPr>
                <w:sz w:val="19"/>
                <w:szCs w:val="19"/>
                <w:color w:val="auto"/>
              </w:rPr>
            </w:pP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0.10</w:t>
            </w:r>
          </w:p>
        </w:tc>
        <w:tc>
          <w:tcPr>
            <w:tcW w:w="3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-2306320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-2306320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-2306320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-2306320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-2057400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-2057400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-2057400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-2057400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-2057400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-2057400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-2057400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-2057400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-1216660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-1216660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-1216660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-1216660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-1216660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-1216660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-1216660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-1216660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The pro forma effect on net income and earnings per share for the interim periods by applying SFAS No. 123 may not be indicative of the effect on net income or loss in future years since SFAS No. 123 does not take into consideration additional awards that may be granted in future years on a much larger employee base.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ind w:right="-55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of the Comcast option plans during the six months ended June 30, 2005 (options in thousands):</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ind w:left="240"/>
              <w:spacing w:after="0"/>
              <w:rPr>
                <w:sz w:val="20"/>
                <w:szCs w:val="20"/>
                <w:color w:val="auto"/>
              </w:rPr>
            </w:pPr>
            <w:r>
              <w:rPr>
                <w:rFonts w:ascii="Arial" w:cs="Arial" w:eastAsia="Arial" w:hAnsi="Arial"/>
                <w:sz w:val="14"/>
                <w:szCs w:val="14"/>
                <w:b w:val="1"/>
                <w:bCs w:val="1"/>
                <w:color w:val="auto"/>
              </w:rPr>
              <w:t>Class A</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527"/>
              <w:spacing w:after="0"/>
              <w:rPr>
                <w:sz w:val="20"/>
                <w:szCs w:val="20"/>
                <w:color w:val="auto"/>
              </w:rPr>
            </w:pPr>
            <w:r>
              <w:rPr>
                <w:rFonts w:ascii="Arial" w:cs="Arial" w:eastAsia="Arial" w:hAnsi="Arial"/>
                <w:sz w:val="14"/>
                <w:szCs w:val="14"/>
                <w:b w:val="1"/>
                <w:bCs w:val="1"/>
                <w:color w:val="auto"/>
                <w:w w:val="86"/>
              </w:rPr>
              <w:t>Class A Special</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527"/>
              <w:spacing w:after="0"/>
              <w:rPr>
                <w:sz w:val="20"/>
                <w:szCs w:val="20"/>
                <w:color w:val="auto"/>
              </w:rPr>
            </w:pPr>
            <w:r>
              <w:rPr>
                <w:rFonts w:ascii="Arial" w:cs="Arial" w:eastAsia="Arial" w:hAnsi="Arial"/>
                <w:sz w:val="14"/>
                <w:szCs w:val="14"/>
                <w:b w:val="1"/>
                <w:bCs w:val="1"/>
                <w:color w:val="auto"/>
                <w:w w:val="87"/>
              </w:rPr>
              <w:t>Common Stock</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center"/>
              <w:ind w:left="340"/>
              <w:spacing w:after="0"/>
              <w:rPr>
                <w:sz w:val="20"/>
                <w:szCs w:val="20"/>
                <w:color w:val="auto"/>
              </w:rPr>
            </w:pPr>
            <w:r>
              <w:rPr>
                <w:rFonts w:ascii="Arial" w:cs="Arial" w:eastAsia="Arial" w:hAnsi="Arial"/>
                <w:sz w:val="14"/>
                <w:szCs w:val="14"/>
                <w:b w:val="1"/>
                <w:bCs w:val="1"/>
                <w:color w:val="auto"/>
                <w:w w:val="86"/>
              </w:rPr>
              <w:t>Weighted-Average</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Weighted-Average</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480" w:type="dxa"/>
            <w:vAlign w:val="bottom"/>
          </w:tcPr>
          <w:p>
            <w:pPr>
              <w:jc w:val="center"/>
              <w:ind w:left="340"/>
              <w:spacing w:after="0"/>
              <w:rPr>
                <w:sz w:val="20"/>
                <w:szCs w:val="20"/>
                <w:color w:val="auto"/>
              </w:rPr>
            </w:pPr>
            <w:r>
              <w:rPr>
                <w:rFonts w:ascii="Arial" w:cs="Arial" w:eastAsia="Arial" w:hAnsi="Arial"/>
                <w:sz w:val="14"/>
                <w:szCs w:val="14"/>
                <w:b w:val="1"/>
                <w:bCs w:val="1"/>
                <w:color w:val="auto"/>
                <w:w w:val="85"/>
              </w:rPr>
              <w:t>Exercise Price</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520" w:type="dxa"/>
            <w:vAlign w:val="bottom"/>
          </w:tcPr>
          <w:p>
            <w:pPr>
              <w:jc w:val="right"/>
              <w:ind w:right="67"/>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82,344</w:t>
            </w:r>
          </w:p>
        </w:tc>
        <w:tc>
          <w:tcPr>
            <w:tcW w:w="200" w:type="dxa"/>
            <w:vAlign w:val="bottom"/>
            <w:tcBorders>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55,238</w:t>
            </w:r>
          </w:p>
        </w:tc>
        <w:tc>
          <w:tcPr>
            <w:tcW w:w="200" w:type="dxa"/>
            <w:vAlign w:val="bottom"/>
            <w:tcBorders>
              <w:right w:val="single" w:sz="8" w:color="CCEEFF"/>
            </w:tcBorders>
            <w:shd w:val="clear" w:color="auto" w:fill="CCEEFF"/>
          </w:tcPr>
          <w:p>
            <w:pPr>
              <w:spacing w:after="0"/>
              <w:rPr>
                <w:sz w:val="18"/>
                <w:szCs w:val="18"/>
                <w:color w:val="auto"/>
              </w:rPr>
            </w:pP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9,391</w:t>
            </w:r>
          </w:p>
        </w:tc>
        <w:tc>
          <w:tcPr>
            <w:tcW w:w="2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33.59</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25.71</w:t>
            </w:r>
          </w:p>
        </w:tc>
        <w:tc>
          <w:tcPr>
            <w:tcW w:w="11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(1,478)</w:t>
            </w: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Forfeited, expired or cancelled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(3,207)</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38.76</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(598)</w:t>
            </w:r>
          </w:p>
        </w:tc>
        <w:tc>
          <w:tcPr>
            <w:tcW w:w="1520" w:type="dxa"/>
            <w:vAlign w:val="bottom"/>
          </w:tcPr>
          <w:p>
            <w:pPr>
              <w:jc w:val="right"/>
              <w:ind w:right="13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87,264</w:t>
            </w:r>
          </w:p>
        </w:tc>
        <w:tc>
          <w:tcPr>
            <w:tcW w:w="200" w:type="dxa"/>
            <w:vAlign w:val="bottom"/>
            <w:tcBorders>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53,162</w:t>
            </w:r>
          </w:p>
        </w:tc>
        <w:tc>
          <w:tcPr>
            <w:tcW w:w="200" w:type="dxa"/>
            <w:vAlign w:val="bottom"/>
            <w:tcBorders>
              <w:right w:val="single" w:sz="8" w:color="CCEEFF"/>
            </w:tcBorders>
            <w:shd w:val="clear" w:color="auto" w:fill="CCEEFF"/>
          </w:tcPr>
          <w:p>
            <w:pPr>
              <w:spacing w:after="0"/>
              <w:rPr>
                <w:sz w:val="18"/>
                <w:szCs w:val="18"/>
                <w:color w:val="auto"/>
              </w:rPr>
            </w:pP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90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gridSpan w:val="2"/>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44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900" w:type="dxa"/>
            <w:vAlign w:val="bottom"/>
            <w:gridSpan w:val="2"/>
          </w:tcPr>
          <w:p>
            <w:pPr>
              <w:spacing w:after="0"/>
              <w:rPr>
                <w:sz w:val="20"/>
                <w:szCs w:val="20"/>
                <w:color w:val="auto"/>
              </w:rPr>
            </w:pPr>
            <w:r>
              <w:rPr>
                <w:rFonts w:ascii="Arial" w:cs="Arial" w:eastAsia="Arial" w:hAnsi="Arial"/>
                <w:sz w:val="18"/>
                <w:szCs w:val="18"/>
                <w:color w:val="auto"/>
              </w:rPr>
              <w:t>Exercisable at end of period</w:t>
            </w:r>
          </w:p>
        </w:tc>
        <w:tc>
          <w:tcPr>
            <w:tcW w:w="800" w:type="dxa"/>
            <w:vAlign w:val="bottom"/>
          </w:tcPr>
          <w:p>
            <w:pPr>
              <w:jc w:val="right"/>
              <w:spacing w:after="0"/>
              <w:rPr>
                <w:sz w:val="20"/>
                <w:szCs w:val="20"/>
                <w:color w:val="auto"/>
              </w:rPr>
            </w:pPr>
            <w:r>
              <w:rPr>
                <w:rFonts w:ascii="Arial" w:cs="Arial" w:eastAsia="Arial" w:hAnsi="Arial"/>
                <w:sz w:val="18"/>
                <w:szCs w:val="18"/>
                <w:color w:val="auto"/>
              </w:rPr>
              <w:t>50,778</w:t>
            </w:r>
          </w:p>
        </w:tc>
        <w:tc>
          <w:tcPr>
            <w:tcW w:w="20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48,379</w:t>
            </w:r>
          </w:p>
        </w:tc>
        <w:tc>
          <w:tcPr>
            <w:tcW w:w="200" w:type="dxa"/>
            <w:vAlign w:val="bottom"/>
          </w:tcPr>
          <w:p>
            <w:pPr>
              <w:spacing w:after="0"/>
              <w:rPr>
                <w:sz w:val="24"/>
                <w:szCs w:val="24"/>
                <w:color w:val="auto"/>
              </w:rPr>
            </w:pPr>
          </w:p>
        </w:tc>
        <w:tc>
          <w:tcPr>
            <w:tcW w:w="1520" w:type="dxa"/>
            <w:vAlign w:val="bottom"/>
          </w:tcPr>
          <w:p>
            <w:pPr>
              <w:jc w:val="right"/>
              <w:ind w:right="1367"/>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31.72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-1678305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-1678305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-1678305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-1678305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-1334770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-1334770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-1334770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-1334770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-1334770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-1334770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-1334770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-1334770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-631825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-631825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-631825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-631825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-631825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-631825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-631825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-631825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of our restricted stock plan during the six months ended June 30, 2005 (shares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20" w:type="dxa"/>
            <w:vAlign w:val="bottom"/>
          </w:tcPr>
          <w:p>
            <w:pPr>
              <w:jc w:val="center"/>
              <w:ind w:left="332"/>
              <w:spacing w:after="0"/>
              <w:rPr>
                <w:sz w:val="20"/>
                <w:szCs w:val="20"/>
                <w:color w:val="auto"/>
              </w:rPr>
            </w:pPr>
            <w:r>
              <w:rPr>
                <w:rFonts w:ascii="Arial" w:cs="Arial" w:eastAsia="Arial" w:hAnsi="Arial"/>
                <w:sz w:val="14"/>
                <w:szCs w:val="14"/>
                <w:b w:val="1"/>
                <w:bCs w:val="1"/>
                <w:color w:val="auto"/>
                <w:w w:val="85"/>
              </w:rPr>
              <w:t>Class A</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Class A Special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320" w:type="dxa"/>
            <w:vAlign w:val="bottom"/>
          </w:tcPr>
          <w:p>
            <w:pPr>
              <w:jc w:val="center"/>
              <w:ind w:left="332"/>
              <w:spacing w:after="0"/>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Awards outstanding at beginning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2,536</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3,686</w:t>
            </w:r>
          </w:p>
        </w:tc>
        <w:tc>
          <w:tcPr>
            <w:tcW w:w="20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Awards vested and shares issued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Forfeited or cancelled</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Awards outstanding at end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5,700</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-1026160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-1026160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-1026160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-1026160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-323215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share price of each Class A Common restricted stock grant during the six months ended June 30, 2005 was $33.63.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for the interim periods was as follows (dollars in millions):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Unrealized losses on marketable securities</w:t>
            </w:r>
          </w:p>
        </w:tc>
        <w:tc>
          <w:tcPr>
            <w:tcW w:w="6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(42)</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 adjustments included in net income</w:t>
            </w:r>
          </w:p>
        </w:tc>
        <w:tc>
          <w:tcPr>
            <w:tcW w:w="6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620" w:type="dxa"/>
            <w:vAlign w:val="bottom"/>
          </w:tcPr>
          <w:p>
            <w:pPr>
              <w:jc w:val="right"/>
              <w:ind w:right="468"/>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382</w:t>
            </w:r>
          </w:p>
        </w:tc>
        <w:tc>
          <w:tcPr>
            <w:tcW w:w="160" w:type="dxa"/>
            <w:vAlign w:val="bottom"/>
          </w:tcPr>
          <w:p>
            <w:pPr>
              <w:spacing w:after="0"/>
              <w:rPr>
                <w:sz w:val="24"/>
                <w:szCs w:val="24"/>
                <w:color w:val="auto"/>
              </w:rPr>
            </w:pP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262</w:t>
            </w:r>
          </w:p>
        </w:tc>
        <w:tc>
          <w:tcPr>
            <w:tcW w:w="16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-1137920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-1137920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-1137920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-1137920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-889000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-889000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-889000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-889000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-889000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-889000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-889000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-889000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-323215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-323215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-323215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STATEMENT OF CASH FLOWS—SUPPLEMENTAL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made cash payments for interest and income taxes during the interim periods as follows (dollars in millions):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341</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376</w:t>
            </w:r>
          </w:p>
        </w:tc>
        <w:tc>
          <w:tcPr>
            <w:tcW w:w="9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879</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taxes</w:t>
            </w:r>
          </w:p>
        </w:tc>
        <w:tc>
          <w:tcPr>
            <w:tcW w:w="31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415</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c>
          <w:tcPr>
            <w:tcW w:w="92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427</w:t>
            </w:r>
          </w:p>
        </w:tc>
        <w:tc>
          <w:tcPr>
            <w:tcW w:w="2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-607695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-607695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-607695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-607695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-359410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-359410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-359410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-359410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-359410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-359410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-359410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-359410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60"/>
          </w:cols>
          <w:pgMar w:left="240" w:top="125" w:right="799" w:bottom="1440" w:gutter="0" w:footer="0" w:header="0"/>
        </w:sect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25" w:right="79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2005, we:</w:t>
      </w:r>
    </w:p>
    <w:p>
      <w:pPr>
        <w:spacing w:after="0" w:line="239" w:lineRule="exact"/>
        <w:rPr>
          <w:sz w:val="20"/>
          <w:szCs w:val="20"/>
          <w:color w:val="auto"/>
        </w:rPr>
      </w:pPr>
    </w:p>
    <w:p>
      <w:pPr>
        <w:ind w:left="1080" w:right="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recorded $170 million of intangible assets in connection with the formation of the ventures in the Motorola transaction, which is considered a non-cash investing and financing activity, and</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recorded $40 million of investments in connection with our commitment to fund an equity method investment, which is considered a non-cash investing and financing activity.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2004, we:</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acquired cable systems through the assumption of $68 million of debt which is considered a non-cash financing and investing activity.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shares of G4 with a value of approximately $70 million, which is considered a non-cash financing and investing activity.</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six months ended June 30, 2005 and 2004, we entered into non-cash financing and investing activities related to certain of our Exchangeable Notes (see Note 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Certain of our subsidiaries support debt compliance with respect to obligations of certain cable television partnerships and investments in which we hold an ownership interest (see Note 5). The obligations expire between March 2007 and September 2010. Although there can be no assurance, we believe that we will not be required to meet our obligations under such commitments. The total notional amount of our commitments was $1.021 billion as of June 30, 2005, at which time there were no quoted market prices for similar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Home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Chairman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us, AT&amp;T and others in the United States District Court for the Southern District of New York, alleging securities law violations and common law fraud in connection with disclosures made by At Home in 2001;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as amended ("the 1934 Act"), purported to have arisen in connection with certain transactions relating to At Home stock, effected pursuant to the March 2000 agreements; and (iv) a lawsuit brought in the United States Bankruptcy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Court for the Northern District of California by certain At Home bondholders against us, AT&amp;T, AT&amp;T Credit Holdings, Inc. and AT&amp;T Wireless Services, Inc., seeking to avoid and recover certain alleged "preference" payments in excess of $89 million, allegedly made to the defendants prior to the At Home bankruptcy filing.</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an appeal to the Court of Appeals for the Ninth Circuit is pending.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On March 10, 2005, the court certified a class of all purchasers of publicly traded At Home stock between March 28, 2000, and September 28, 2001. Plaintiffs have moved to amend the complaint so as to move the commencement of the class period back to November 9, 1999. We are opposing this amendment.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and have indicated that they intend to recommence the breach of fiduciary duty claim. In the meantime, we have entered into an agreement with plaintiffs tolling the statute of limitations for the breach of fiduciary duty claim. In the action in the United States Bankruptcy Court for the Northern District of California (item (iv) above), the parties filed a stipulation in January 2004, staying the case until such time as either party elects to resume the case. Pursuant to the settlement between At Home's bondholders and AT&amp;T described below, this action will be dismissed upon approval of the settlement by the Bankruptcy Court.</w:t>
      </w:r>
    </w:p>
    <w:p>
      <w:pPr>
        <w:spacing w:after="0" w:line="1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the terms of the Broadband acquisition, we are contractually liable for 50% of any liabilities of AT&amp;T relating to certain At Home litigation. For litigation in which we are contractually liable for 50% of any liabilities, AT&amp;T will be liable for the other 50%. In addition to the actions against AT&amp;T described in items (i), (ii) and (iv) above, (in which we are also a defendant), such litigation matters included two additional actions brought by At Home's bondholders' liquidating trust against AT&amp;T (and not naming us): (i) a lawsuit filed against AT&amp;T and certain of its senior officers in Santa Clara, California, state court alleging various breaches of fiduciary duties, misappropriation of trade secrets and other causes of action in connection with the transactions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May 2005, At Home bondholders' liquidating trust and AT&amp;T agreed to settle these two actions. Pursuant to the settlement, AT&amp;T agreed to pay $340 million to the bondholders' liquidating trust. The settlement is subject to the approval of the Bankruptcy Court. Upon approval, these two actions, as well as the action described in item (iv) above, will be dismissed. As a result of the settlement by AT&amp;T, we recorded a $170 million charge to other income (expense), reflecting our portion of the settlement amount, in our first quarter financial results. In May 2005, we paid $170 million representing</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7" w:name="page18"/>
    <w:bookmarkEnd w:id="17"/>
    <w:p>
      <w:pPr>
        <w:jc w:val="center"/>
        <w:ind w:right="-1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our share of the settlement amount, and we have classified such payment as an operating activity in our statement of cash flows.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AT&amp;T—Wireless and Common Stock Cases</w:t>
      </w:r>
    </w:p>
    <w:p>
      <w:pPr>
        <w:spacing w:after="0" w:line="225"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Under the terms of the Broadband acquisition, we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and Section 12(a)(2) of the Securities Act of 1933, as amended, and Section 10(b) of the 1934 Act.</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moved for summary judgment in the Wireless Case. The New Jersey District Court denied the motions, and the Judicial Panel on Multidistrict Litigation remanded the cases for trial to the United States District Court for the Southern District of New York, where they had originally been brought. No trial date has been set. We and AT&amp;T believe that AT&amp;T has meritorious defenses in the Wireless Case, and it is being vigorously defended.</w:t>
      </w:r>
    </w:p>
    <w:p>
      <w:pPr>
        <w:spacing w:after="0" w:line="17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second lawsuit, for which our portion of any loss is 50%, alleges, among other things, that AT&amp;T knowingly provided false projections relating to AT&amp;T common stock ("Common Stock Case"). In October 2004, the plaintiffs, and AT&amp;T and the other defendants, agreed to settle the Common Stock Case for $100 million. In April 2005, the court entered an order approving the proposed settlement. In May 2005, we paid $50 million representing our share of the settlement amount and we have classified such payment as an operating activity in our statement of cash flows.</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November 2004, AT&amp;T brought suit against the D&amp;O insurers in Delaware Superior Court, seeking a declaration of coverage and damages in the At Home cases, the Wireless Case and the Common Stock Case. This litigation is in its very early stages.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AT&amp;T—TCI</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we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July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Fact discovery in this matter is now closed. In February 2005, the former TCI director defendants filed a motion for summary judgment. In April 2005, plaintiffs filed their brief in opposition.</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Acacia</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June 2004, Acacia Media Technologies Corporation ("Acacia") filed a lawsuit against us and others in the United States District Court for the Northern District of California. The complaint alleges infringement of certain United States patents that allegedly relate to systems and methods for transmitting and/or receiving digital audio and video content. The complaint seeks injunctive relief and damages in an unspecified amount. In the event that a Court ultimately determines that we infringe on any of the patents, we may be subject to substantial damages, which may include treble damages and/or an injunction that could require us to materially modify certain products and services that we currently offer to subscribers. We believe that the claims are without merit and intend to defend the action vigorously.</w:t>
      </w:r>
    </w:p>
    <w:p>
      <w:pPr>
        <w:spacing w:after="0" w:line="19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final disposition of this claim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DATA BY BUSINESS SEGMENT</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reportable segments consist of our Cable and Content businesses. Our content segment consists of our national networks E! Entertainment and Style Network, The Golf Channel, Outdoor Life Network, G4 and AZN Television (formerly known as International Channel). In evaluating the profitability of our segments, the components of net income (loss) below operating income (loss) before depreciation and amortization are not separately evaluated by our management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Cable(1)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Content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Other(2)</w:t>
            </w:r>
          </w:p>
        </w:tc>
        <w:tc>
          <w:tcPr>
            <w:tcW w:w="220" w:type="dxa"/>
            <w:vAlign w:val="bottom"/>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Eliminations(3)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Revenues(4)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5,328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amortization(5)</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2004</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Revenues(4)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4,838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amortization(5)</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2005</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Revenues(4)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10,431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amortization(5)</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2004</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Revenues(4)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9,485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amortization(5)</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1,707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 of June 30, 2005</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105,042</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2,530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(2,740)</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105,347</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 of December 31, 2004</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103,727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2,533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(2,678)</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104,694</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-5331460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-5331460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-5331460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-5331460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-5331460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-5331460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-5331460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-5331460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-5331460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-5331460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36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regional sports and news networks Comcast SportsNet, Comcast SportsNet Mid-Atlantic, Comcast SportsNet Chicago, Comcast SportsNet West, Cable Sports Southeast and CN8-The Comcast Network are included in our cable segment.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center"/>
        <w:ind w:right="-11"/>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45" w:lineRule="exact"/>
        <w:rPr>
          <w:sz w:val="20"/>
          <w:szCs w:val="20"/>
          <w:color w:val="auto"/>
        </w:rPr>
      </w:pPr>
    </w:p>
    <w:p>
      <w:pPr>
        <w:ind w:left="532" w:right="440" w:hanging="532"/>
        <w:spacing w:after="0" w:line="268" w:lineRule="auto"/>
        <w:tabs>
          <w:tab w:leader="none" w:pos="53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and other includes Comcast-Spectacor, corporate activities and all other businesses not presented in our cable or content segments. Assets included in this caption consist primarily of our investments (see Note 5).</w:t>
      </w:r>
    </w:p>
    <w:p>
      <w:pPr>
        <w:spacing w:after="0" w:line="212" w:lineRule="exact"/>
        <w:rPr>
          <w:rFonts w:ascii="Arial" w:cs="Arial" w:eastAsia="Arial" w:hAnsi="Arial"/>
          <w:sz w:val="18"/>
          <w:szCs w:val="18"/>
          <w:color w:val="auto"/>
        </w:rPr>
      </w:pPr>
    </w:p>
    <w:p>
      <w:pPr>
        <w:ind w:left="532" w:right="120" w:hanging="532"/>
        <w:spacing w:after="0" w:line="268" w:lineRule="auto"/>
        <w:tabs>
          <w:tab w:leader="none" w:pos="5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the Eliminations column are intersegment transactions that our segments enter into with one another. The most common types of transactions are the following: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12" w:right="20" w:hanging="532"/>
        <w:spacing w:after="0" w:line="268" w:lineRule="auto"/>
        <w:tabs>
          <w:tab w:leader="none" w:pos="16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content segment generates affiliate revenue by selling cable network programming to our cable segment, which represents a substantial majority of the revenue elimination amount</w:t>
      </w:r>
    </w:p>
    <w:p>
      <w:pPr>
        <w:spacing w:after="0" w:line="199" w:lineRule="exact"/>
        <w:rPr>
          <w:rFonts w:ascii="Arial" w:cs="Arial" w:eastAsia="Arial" w:hAnsi="Arial"/>
          <w:sz w:val="18"/>
          <w:szCs w:val="18"/>
          <w:color w:val="auto"/>
        </w:rPr>
      </w:pPr>
    </w:p>
    <w:p>
      <w:pPr>
        <w:ind w:left="1612" w:right="440" w:hanging="532"/>
        <w:spacing w:after="0" w:line="268" w:lineRule="auto"/>
        <w:tabs>
          <w:tab w:leader="none" w:pos="16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content segment when negotiating programming contracts that are recorded as a reduction of programming costs</w:t>
      </w:r>
    </w:p>
    <w:p>
      <w:pPr>
        <w:spacing w:after="0" w:line="212" w:lineRule="exact"/>
        <w:rPr>
          <w:rFonts w:ascii="Arial" w:cs="Arial" w:eastAsia="Arial" w:hAnsi="Arial"/>
          <w:sz w:val="18"/>
          <w:szCs w:val="18"/>
          <w:color w:val="auto"/>
        </w:rPr>
      </w:pPr>
    </w:p>
    <w:p>
      <w:pPr>
        <w:ind w:left="1612" w:hanging="532"/>
        <w:spacing w:after="0"/>
        <w:tabs>
          <w:tab w:leader="none" w:pos="16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content segment</w:t>
      </w:r>
    </w:p>
    <w:p>
      <w:pPr>
        <w:spacing w:after="0" w:line="238" w:lineRule="exact"/>
        <w:rPr>
          <w:rFonts w:ascii="Arial" w:cs="Arial" w:eastAsia="Arial" w:hAnsi="Arial"/>
          <w:sz w:val="18"/>
          <w:szCs w:val="18"/>
          <w:color w:val="auto"/>
        </w:rPr>
      </w:pPr>
    </w:p>
    <w:p>
      <w:pPr>
        <w:ind w:left="1612" w:hanging="532"/>
        <w:spacing w:after="0" w:line="256" w:lineRule="auto"/>
        <w:tabs>
          <w:tab w:leader="none" w:pos="16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its fiber-optic lines and site conditioning to our corporate and other segment. Our corporate and other segment pays our cable segment a lump sum and holds the property and the related depreciation expense and accumulated depreciation. Our cable segment's revenue is generated through the amortization of the deferred revenue recorded for the lump sum payment</w:t>
      </w:r>
    </w:p>
    <w:p>
      <w:pPr>
        <w:spacing w:after="0" w:line="210" w:lineRule="exact"/>
        <w:rPr>
          <w:rFonts w:ascii="Arial" w:cs="Arial" w:eastAsia="Arial" w:hAnsi="Arial"/>
          <w:sz w:val="18"/>
          <w:szCs w:val="18"/>
          <w:color w:val="auto"/>
        </w:rPr>
      </w:pPr>
    </w:p>
    <w:p>
      <w:pPr>
        <w:ind w:left="1612" w:hanging="532"/>
        <w:spacing w:after="0"/>
        <w:tabs>
          <w:tab w:leader="none" w:pos="16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corporate and other segment generates revenue by selling long-distance services to our cable segment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32" w:hanging="532"/>
        <w:spacing w:after="0"/>
        <w:tabs>
          <w:tab w:leader="none" w:pos="532"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Non-U.S. revenues were not significant in any period. No single customer accounted for a significant amount of our revenue in any period.</w:t>
      </w:r>
    </w:p>
    <w:p>
      <w:pPr>
        <w:spacing w:after="0" w:line="261" w:lineRule="exact"/>
        <w:rPr>
          <w:rFonts w:ascii="Arial" w:cs="Arial" w:eastAsia="Arial" w:hAnsi="Arial"/>
          <w:sz w:val="16"/>
          <w:szCs w:val="16"/>
          <w:color w:val="auto"/>
        </w:rPr>
      </w:pPr>
    </w:p>
    <w:p>
      <w:pPr>
        <w:ind w:left="532" w:right="180" w:hanging="532"/>
        <w:spacing w:after="0" w:line="287" w:lineRule="auto"/>
        <w:tabs>
          <w:tab w:leader="none" w:pos="532" w:val="left"/>
        </w:tabs>
        <w:numPr>
          <w:ilvl w:val="0"/>
          <w:numId w:val="8"/>
        </w:numPr>
        <w:rPr>
          <w:rFonts w:ascii="Arial" w:cs="Arial" w:eastAsia="Arial" w:hAnsi="Arial"/>
          <w:sz w:val="16"/>
          <w:szCs w:val="16"/>
          <w:color w:val="auto"/>
        </w:rPr>
      </w:pPr>
      <w:r>
        <w:rPr>
          <w:rFonts w:ascii="Arial" w:cs="Arial" w:eastAsia="Arial" w:hAnsi="Arial"/>
          <w:sz w:val="16"/>
          <w:szCs w:val="16"/>
          <w:color w:val="auto"/>
        </w:rPr>
        <w:t>Operating income (loss) before depreciation and amortization is defined as operating income (loss)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CONDENSED CONSOLIDATING FINANCIAL INFORMATION</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guaranteed each other's debt securities. Comcast MO Group, CCH and Comcast MO of Delaware are collectively referred to as the "Combined CCHMO Parents." Our condensed consolidating financial information is as follows (dollars in millions):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Elimination</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4"/>
              </w:rPr>
              <w:t>Comcast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CCCL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CCCH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CCHMO</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Parents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Subsidiaries</w:t>
            </w: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Adjustments</w:t>
            </w:r>
          </w:p>
        </w:tc>
        <w:tc>
          <w:tcPr>
            <w:tcW w:w="4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1,332</w:t>
            </w:r>
          </w:p>
        </w:tc>
        <w:tc>
          <w:tcPr>
            <w:tcW w:w="100" w:type="dxa"/>
            <w:vAlign w:val="bottom"/>
          </w:tcPr>
          <w:p>
            <w:pPr>
              <w:spacing w:after="0"/>
              <w:rPr>
                <w:sz w:val="12"/>
                <w:szCs w:val="12"/>
                <w:color w:val="auto"/>
              </w:rPr>
            </w:pP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13,208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spacing w:after="0" w:line="138" w:lineRule="exact"/>
              <w:rPr>
                <w:sz w:val="20"/>
                <w:szCs w:val="20"/>
                <w:color w:val="auto"/>
              </w:rPr>
            </w:pPr>
            <w:r>
              <w:rPr>
                <w:rFonts w:ascii="Arial" w:cs="Arial" w:eastAsia="Arial" w:hAnsi="Arial"/>
                <w:sz w:val="14"/>
                <w:szCs w:val="14"/>
                <w:color w:val="auto"/>
              </w:rPr>
              <w:t>INVESTMENTS IN AND AMOUNTS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120"/>
              <w:spacing w:after="0" w:line="149" w:lineRule="exact"/>
              <w:rPr>
                <w:sz w:val="20"/>
                <w:szCs w:val="20"/>
                <w:color w:val="auto"/>
              </w:rPr>
            </w:pPr>
            <w:r>
              <w:rPr>
                <w:rFonts w:ascii="Arial" w:cs="Arial" w:eastAsia="Arial" w:hAnsi="Arial"/>
                <w:sz w:val="14"/>
                <w:szCs w:val="14"/>
                <w:color w:val="auto"/>
              </w:rPr>
              <w:t>DUE FROM SUBSIDIARIES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120"/>
              <w:spacing w:after="0" w:line="159" w:lineRule="exact"/>
              <w:rPr>
                <w:sz w:val="20"/>
                <w:szCs w:val="20"/>
                <w:color w:val="auto"/>
              </w:rPr>
            </w:pPr>
            <w:r>
              <w:rPr>
                <w:rFonts w:ascii="Arial" w:cs="Arial" w:eastAsia="Arial" w:hAnsi="Arial"/>
                <w:sz w:val="14"/>
                <w:szCs w:val="14"/>
                <w:color w:val="auto"/>
              </w:rPr>
              <w:t>ELIMINATED UPON CONSOLIDATION</w:t>
            </w: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49,917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29,404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35,776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41,862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22,838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(179,797)</w:t>
            </w:r>
          </w:p>
        </w:tc>
        <w:tc>
          <w:tcPr>
            <w:tcW w:w="40" w:type="dxa"/>
            <w:vAlign w:val="bottom"/>
          </w:tcPr>
          <w:p>
            <w:pPr>
              <w:spacing w:after="0"/>
              <w:rPr>
                <w:sz w:val="13"/>
                <w:szCs w:val="13"/>
                <w:color w:val="auto"/>
              </w:rPr>
            </w:pPr>
          </w:p>
        </w:tc>
        <w:tc>
          <w:tcPr>
            <w:tcW w:w="8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51,075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51,075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3,658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50,084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29,430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35,804</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41,862</w:t>
            </w:r>
          </w:p>
        </w:tc>
        <w:tc>
          <w:tcPr>
            <w:tcW w:w="10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127,964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$(179,797)</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105,347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360"/>
              <w:spacing w:after="0" w:line="159" w:lineRule="exact"/>
              <w:rPr>
                <w:sz w:val="20"/>
                <w:szCs w:val="20"/>
                <w:color w:val="auto"/>
              </w:rPr>
            </w:pPr>
            <w:r>
              <w:rPr>
                <w:rFonts w:ascii="Arial" w:cs="Arial" w:eastAsia="Arial" w:hAnsi="Arial"/>
                <w:sz w:val="14"/>
                <w:szCs w:val="14"/>
                <w:color w:val="auto"/>
              </w:rPr>
              <w:t>expenses related to trade creditors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2,042</w:t>
            </w:r>
          </w:p>
        </w:tc>
        <w:tc>
          <w:tcPr>
            <w:tcW w:w="100" w:type="dxa"/>
            <w:vAlign w:val="bottom"/>
          </w:tcPr>
          <w:p>
            <w:pPr>
              <w:spacing w:after="0"/>
              <w:rPr>
                <w:sz w:val="13"/>
                <w:szCs w:val="13"/>
                <w:color w:val="auto"/>
              </w:rPr>
            </w:pP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2,042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Accrued expenses and other current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1,725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9,199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26,995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26,995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679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22,838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32,192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35,776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88,991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(179,797)</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41,418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22,838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32,192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35,776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88,991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(179,797)</w:t>
            </w:r>
          </w:p>
        </w:tc>
        <w:tc>
          <w:tcPr>
            <w:tcW w:w="4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41,418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Total liabilities and stockholders'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50,084</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29,430</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35,804</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41,862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127,964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40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(179,797)</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105,347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-4739640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-4739640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-4739640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-4739640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-4739640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-4739640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-4739640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-4739640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-4739640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-4739640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-4739640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-4739640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-4739640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-4739640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-4113530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-4113530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-4113530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-4113530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-4113530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-4113530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-4113530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-4113530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-4113530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-4113530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-4113530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-4113530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-4113530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-4113530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-3864610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-3864610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-3864610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-3864610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-3864610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-3864610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-3864610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-3864610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-3864610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-3864610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-3864610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-3864610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-3864610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-3864610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-2861310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-2861310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-2861310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-2861310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-2861310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-2861310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-2861310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-2861310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-2861310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-2861310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-2861310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-2861310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-2861310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-2861310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-1781175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-1781175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-1781175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-1781175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-1781175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-1781175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-1781175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-1781175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-1781175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-1781175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-1781175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-1781175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-1781175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-1781175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-1532255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-1532255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-1532255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-1532255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-1532255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-1532255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-1532255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-1532255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-1532255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-1532255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-1532255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-1532255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-1532255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-1532255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-622935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-622935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-622935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-622935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-622935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-622935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-622935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-622935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-622935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-622935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-622935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-622935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-622935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-622935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-374650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-374650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-374650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-374650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-374650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-374650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-374650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-374650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-374650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-374650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-374650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-374650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-374650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-374650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Elimination</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4"/>
              </w:rPr>
              <w:t>Comcast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CCCL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CCCH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CCHMO</w:t>
            </w:r>
          </w:p>
        </w:tc>
        <w:tc>
          <w:tcPr>
            <w:tcW w:w="16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Parents</w:t>
            </w:r>
          </w:p>
        </w:tc>
        <w:tc>
          <w:tcPr>
            <w:tcW w:w="160" w:type="dxa"/>
            <w:vAlign w:val="bottom"/>
          </w:tcPr>
          <w:p>
            <w:pPr>
              <w:spacing w:after="0"/>
              <w:rPr>
                <w:sz w:val="15"/>
                <w:szCs w:val="15"/>
                <w:color w:val="auto"/>
              </w:rPr>
            </w:pPr>
          </w:p>
        </w:tc>
        <w:tc>
          <w:tcPr>
            <w:tcW w:w="1080" w:type="dxa"/>
            <w:vAlign w:val="bottom"/>
          </w:tcPr>
          <w:p>
            <w:pPr>
              <w:jc w:val="center"/>
              <w:ind w:right="92"/>
              <w:spacing w:after="0"/>
              <w:rPr>
                <w:sz w:val="20"/>
                <w:szCs w:val="20"/>
                <w:color w:val="auto"/>
              </w:rPr>
            </w:pPr>
            <w:r>
              <w:rPr>
                <w:rFonts w:ascii="Arial" w:cs="Arial" w:eastAsia="Arial" w:hAnsi="Arial"/>
                <w:sz w:val="14"/>
                <w:szCs w:val="14"/>
                <w:b w:val="1"/>
                <w:bCs w:val="1"/>
                <w:color w:val="auto"/>
                <w:w w:val="86"/>
              </w:rPr>
              <w:t>Subsidiaries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Adjustments</w:t>
            </w:r>
          </w:p>
        </w:tc>
        <w:tc>
          <w:tcPr>
            <w:tcW w:w="4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spacing w:after="0" w:line="138" w:lineRule="exact"/>
              <w:rPr>
                <w:sz w:val="20"/>
                <w:szCs w:val="20"/>
                <w:color w:val="auto"/>
              </w:rPr>
            </w:pPr>
            <w:r>
              <w:rPr>
                <w:rFonts w:ascii="Arial" w:cs="Arial" w:eastAsia="Arial" w:hAnsi="Arial"/>
                <w:sz w:val="14"/>
                <w:szCs w:val="14"/>
                <w:color w:val="auto"/>
              </w:rPr>
              <w:t>INVESTMENTS IN AND AMOUNTS DUE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120"/>
              <w:spacing w:after="0" w:line="149" w:lineRule="exact"/>
              <w:rPr>
                <w:sz w:val="20"/>
                <w:szCs w:val="20"/>
                <w:color w:val="auto"/>
              </w:rPr>
            </w:pPr>
            <w:r>
              <w:rPr>
                <w:rFonts w:ascii="Arial" w:cs="Arial" w:eastAsia="Arial" w:hAnsi="Arial"/>
                <w:sz w:val="14"/>
                <w:szCs w:val="14"/>
                <w:color w:val="auto"/>
              </w:rPr>
              <w:t>FROM SUBSIDIARIES ELIMINATED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120"/>
              <w:spacing w:after="0" w:line="159" w:lineRule="exact"/>
              <w:rPr>
                <w:sz w:val="20"/>
                <w:szCs w:val="20"/>
                <w:color w:val="auto"/>
              </w:rPr>
            </w:pPr>
            <w:r>
              <w:rPr>
                <w:rFonts w:ascii="Arial" w:cs="Arial" w:eastAsia="Arial" w:hAnsi="Arial"/>
                <w:sz w:val="14"/>
                <w:szCs w:val="14"/>
                <w:color w:val="auto"/>
              </w:rPr>
              <w:t>UPON CONSOLIDATION</w:t>
            </w: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48,317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28,687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35,642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41,898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22,135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(176,679)</w:t>
            </w:r>
          </w:p>
        </w:tc>
        <w:tc>
          <w:tcPr>
            <w:tcW w:w="40" w:type="dxa"/>
            <w:vAlign w:val="bottom"/>
          </w:tcPr>
          <w:p>
            <w:pPr>
              <w:spacing w:after="0"/>
              <w:rPr>
                <w:sz w:val="13"/>
                <w:szCs w:val="13"/>
                <w:color w:val="auto"/>
              </w:rPr>
            </w:pPr>
          </w:p>
        </w:tc>
        <w:tc>
          <w:tcPr>
            <w:tcW w:w="8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51,071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51,071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3,851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48,447</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28,717</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35,672</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41,898</w:t>
            </w:r>
          </w:p>
        </w:tc>
        <w:tc>
          <w:tcPr>
            <w:tcW w:w="10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126,639</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(176,679)</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104,694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 expenses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360"/>
              <w:spacing w:after="0" w:line="149" w:lineRule="exact"/>
              <w:rPr>
                <w:sz w:val="20"/>
                <w:szCs w:val="20"/>
                <w:color w:val="auto"/>
              </w:rPr>
            </w:pPr>
            <w:r>
              <w:rPr>
                <w:rFonts w:ascii="Arial" w:cs="Arial" w:eastAsia="Arial" w:hAnsi="Arial"/>
                <w:sz w:val="14"/>
                <w:szCs w:val="14"/>
                <w:color w:val="auto"/>
              </w:rPr>
              <w:t>related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360"/>
              <w:spacing w:after="0" w:line="159" w:lineRule="exact"/>
              <w:rPr>
                <w:sz w:val="20"/>
                <w:szCs w:val="20"/>
                <w:color w:val="auto"/>
              </w:rPr>
            </w:pPr>
            <w:r>
              <w:rPr>
                <w:rFonts w:ascii="Arial" w:cs="Arial" w:eastAsia="Arial" w:hAnsi="Arial"/>
                <w:sz w:val="14"/>
                <w:szCs w:val="14"/>
                <w:color w:val="auto"/>
              </w:rPr>
              <w:t>to trade creditors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2,041</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8,635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26,815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26,815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32,048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35,642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86,854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(176,679)</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41,422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32,048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35,642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86,854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(176,679)</w:t>
            </w:r>
          </w:p>
        </w:tc>
        <w:tc>
          <w:tcPr>
            <w:tcW w:w="4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41,422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48,447</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28,717</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35,672</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41,898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126,639</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(176,679)</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-4551045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-4551045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-4551045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-4551045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-4551045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-4551045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-4551045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-4551045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-4551045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-4551045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-4551045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-4551045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-4551045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-4551045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-3924935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-3924935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-3924935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-3924935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-3924935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-3924935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-3924935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-3924935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-3924935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-3924935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-3924935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-3924935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-3924935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-3924935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-3676015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-3676015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-3676015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-3676015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-3676015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-3676015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-3676015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-3676015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-3676015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-3676015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-3676015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-3676015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-3676015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-3676015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-2672715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-2672715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-2672715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-2672715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-2672715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-2672715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-2672715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-2672715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-2672715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-2672715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-2672715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-2672715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-2672715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-2672715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-1591945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-1591945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-1591945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-1591945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-1591945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-1591945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-1591945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-1591945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-1591945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-1591945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-1591945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-1591945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-1591945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-1343660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-1343660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-1343660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-1343660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-1343660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-1343660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-1343660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-1343660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-1343660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-1343660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-1343660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-1343660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-1343660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-1343660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-528955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-528955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-528955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-528955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-528955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-528955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-528955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-528955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-528955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-528955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-528955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-528955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-528955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-528955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-280035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-280035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-280035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-280035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-280035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-280035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-280035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-280035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-280035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-280035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-280035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-280035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-280035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For the Three Months Ended June 30,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Elimination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Combined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Comcast</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CCCL</w:t>
            </w:r>
          </w:p>
        </w:tc>
        <w:tc>
          <w:tcPr>
            <w:tcW w:w="14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CCCH</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CCHMO</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Parent</w:t>
            </w: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Parents</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Management fee revenue</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(excluding</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Investment income, net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in net income (losses) of</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affiliates</w:t>
            </w: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INCOME TAXES AND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8"/>
        </w:trPr>
        <w:tc>
          <w:tcPr>
            <w:tcW w:w="334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19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-5897245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-5897245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-5897245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-5897245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-5897245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-5897245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-5897245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-5897245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-5897245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-5897245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-5897245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-5897245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-5897245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-5897245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-5331460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-5331460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-5331460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-5331460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-5331460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-5331460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-5331460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-5331460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-5331460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-5331460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-5331460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-5331460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-5331460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-5331460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-5039995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-5039995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-5039995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-5039995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-5039995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-5039995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-5039995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-5039995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-5039995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-5039995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-5039995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-5039995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-5039995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-5039995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-3924935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-3924935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-3924935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-3924935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-3924935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-3924935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-3924935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-3924935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-3924935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-3924935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-3924935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-3924935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-3924935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-3924935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-3633470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-3633470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-3633470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-3633470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-3633470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-3633470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-3633470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-3633470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-3633470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-3633470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-3633470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-3633470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-3633470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-3633470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-2518410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-2518410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-2518410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-2518410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-2518410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-2518410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-2518410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-2518410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-2518410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-2518410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-2518410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-2518410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-2518410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-2518410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-2226945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-2226945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-2226945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-2226945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-2226945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-2226945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-2226945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-2226945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-2226945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-2226945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-2226945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-2226945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-2226945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-1386205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-1386205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-1386205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-1386205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-1386205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-1386205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-1386205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-1386205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-1386205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-1386205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-1386205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-1386205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-1386205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-820420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-820420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-820420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-820420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-820420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-820420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-820420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-820420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-820420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-820420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-820420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-820420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-820420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For the Three Months Ended June 30,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Comcast</w:t>
            </w:r>
          </w:p>
        </w:tc>
        <w:tc>
          <w:tcPr>
            <w:tcW w:w="1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CCCL</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CCHMO</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Parents</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Management fee revenue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Operating (excluding depreciation)</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Investment income, net</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in net income (losses) of</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118"/>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INCOME TAXES AND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18"/>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8"/>
        </w:trPr>
        <w:tc>
          <w:tcPr>
            <w:tcW w:w="358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414"/>
              <w:spacing w:after="0"/>
              <w:rPr>
                <w:sz w:val="20"/>
                <w:szCs w:val="20"/>
                <w:color w:val="auto"/>
              </w:rPr>
            </w:pPr>
            <w:r>
              <w:rPr>
                <w:rFonts w:ascii="Arial" w:cs="Arial" w:eastAsia="Arial" w:hAnsi="Arial"/>
                <w:sz w:val="18"/>
                <w:szCs w:val="18"/>
                <w:color w:val="auto"/>
                <w:w w:val="79"/>
              </w:rPr>
              <w:t>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-5622925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-5622925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-5622925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-5622925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-5622925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-5622925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-5622925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-5622925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-5622925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-5622925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-5622925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-5622925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-5622925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-5622925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-5057140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-5057140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-5057140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-5057140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-5057140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-5057140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-5057140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-5057140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-5057140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-5057140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-5057140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-5057140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-5057140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-5057140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-4765040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-4765040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-4765040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-4765040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-4765040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-4765040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-4765040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-4765040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-4765040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-4765040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-4765040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-4765040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-4765040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-4765040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-3924935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-3924935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-3924935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-3924935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-3924935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-3924935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-3924935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-3924935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-3924935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-3924935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-3924935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-3924935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-3924935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-3924935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-3633470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-3633470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-3633470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-3633470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-3633470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-3633470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-3633470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-3633470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-3633470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-3633470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-3633470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-3633470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-3633470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-3633470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-2518410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-2518410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-2518410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-2518410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-2518410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-2518410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-2518410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-2518410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-2518410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-2518410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-2518410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-2518410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-2518410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-2518410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-2226945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-2226945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-2226945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-2226945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-2226945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-2226945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-2226945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-2226945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-2226945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-2226945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-2226945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-2226945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-2226945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-1386205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-1386205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-1386205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-1386205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-1386205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-1386205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-1386205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-1386205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-1386205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-1386205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-1386205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-1386205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-820420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-820420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-820420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-820420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-820420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-820420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-820420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-820420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-820420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-820420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-820420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-820420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-820420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Comcast</w:t>
            </w: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CCCL</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CCHMO</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Parents</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fee revenue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Operating (excluding depreciation)</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Investment loss, net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income (losses) of</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affiliates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INCOME TAXES AND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8"/>
        </w:trPr>
        <w:tc>
          <w:tcPr>
            <w:tcW w:w="368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414"/>
              <w:spacing w:after="0"/>
              <w:rPr>
                <w:sz w:val="20"/>
                <w:szCs w:val="20"/>
                <w:color w:val="auto"/>
              </w:rPr>
            </w:pPr>
            <w:r>
              <w:rPr>
                <w:rFonts w:ascii="Arial" w:cs="Arial" w:eastAsia="Arial" w:hAnsi="Arial"/>
                <w:sz w:val="18"/>
                <w:szCs w:val="18"/>
                <w:color w:val="auto"/>
                <w:w w:val="79"/>
              </w:rPr>
              <w:t>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-5622925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-5622925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-5622925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-5622925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-5622925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-5622925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-5622925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-5622925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-5622925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-5622925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-5622925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-5622925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-5622925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-5622925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-5057140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-5057140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-5057140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-5057140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-5057140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-5057140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-5057140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-5057140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-5057140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-5057140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-5057140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-5057140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-5057140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-5057140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-4765040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-4765040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-4765040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-4765040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-4765040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-4765040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-4765040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-4765040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-4765040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-4765040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-4765040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-4765040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-4765040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-4765040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-3924935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-3924935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-3924935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-3924935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-3924935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-3924935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-3924935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-3924935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-3924935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-3924935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-3924935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-3924935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-3924935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-3924935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-3633470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-3633470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-3633470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-3633470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-3633470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-3633470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-3633470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-3633470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-3633470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-3633470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-3633470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-3633470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-3633470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-3633470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-2518410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-2518410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-2518410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-2518410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-2518410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-2518410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-2518410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-2518410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-2518410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-2518410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-2518410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-2518410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-2518410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-2518410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-2226945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-2226945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-2226945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-2226945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-2226945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-2226945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-2226945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-2226945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-2226945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-2226945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-2226945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-2226945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-2226945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-1386205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-1386205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-1386205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-1386205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-1386205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-1386205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-1386205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-1386205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-1386205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-1386205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-1386205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-1386205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-1386205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-820420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-820420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-820420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-820420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-820420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-820420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-820420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-820420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-820420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-820420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-820420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-820420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-820420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Comcast</w:t>
            </w:r>
          </w:p>
        </w:tc>
        <w:tc>
          <w:tcPr>
            <w:tcW w:w="1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CCCL</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CCHMO</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Parents</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Management fee revenue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Operating (excluding depreciation)</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Investment loss, net</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in net income (losses) of</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118"/>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INCOME TAXES AND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18"/>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8"/>
        </w:trPr>
        <w:tc>
          <w:tcPr>
            <w:tcW w:w="358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414"/>
              <w:spacing w:after="0"/>
              <w:rPr>
                <w:sz w:val="20"/>
                <w:szCs w:val="20"/>
                <w:color w:val="auto"/>
              </w:rPr>
            </w:pPr>
            <w:r>
              <w:rPr>
                <w:rFonts w:ascii="Arial" w:cs="Arial" w:eastAsia="Arial" w:hAnsi="Arial"/>
                <w:sz w:val="18"/>
                <w:szCs w:val="18"/>
                <w:color w:val="auto"/>
                <w:w w:val="79"/>
              </w:rPr>
              <w:t>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-5622925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-5622925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-5622925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-5622925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-5622925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-5622925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-5622925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-5622925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-5622925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-5622925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-5622925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-5622925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-5622925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-5622925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-5057140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-5057140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-5057140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-5057140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-5057140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-5057140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-5057140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-5057140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-5057140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-5057140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-5057140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-5057140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-5057140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-5057140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-4765040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-4765040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-4765040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-4765040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-4765040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-4765040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-4765040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-4765040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-4765040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-4765040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-4765040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-4765040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-4765040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-4765040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-3924935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-3924935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-3924935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-3924935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-3924935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-3924935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-3924935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-3924935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-3924935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-3924935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-3924935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-3924935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-3924935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-3924935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-3633470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-3633470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-3633470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-3633470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-3633470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-3633470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-3633470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-3633470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-3633470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-3633470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-3633470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-3633470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-3633470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-3633470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-2518410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-2518410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-2518410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-2518410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-2518410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-2518410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-2518410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-2518410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-2518410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-2518410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-2518410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-2518410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-2518410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-2518410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-2226945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-2226945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-2226945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-2226945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-2226945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-2226945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-2226945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-2226945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-2226945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-2226945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-2226945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-2226945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-2226945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-1386205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-1386205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-1386205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-1386205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-1386205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-1386205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-1386205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-1386205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-1386205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-1386205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-1386205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-1386205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-820420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-820420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-820420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-820420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-820420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-820420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-820420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-820420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-820420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-820420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-820420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-820420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-820420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2"/>
              <w:spacing w:after="0"/>
              <w:rPr>
                <w:sz w:val="20"/>
                <w:szCs w:val="20"/>
                <w:color w:val="auto"/>
              </w:rPr>
            </w:pPr>
            <w:r>
              <w:rPr>
                <w:rFonts w:ascii="Arial" w:cs="Arial" w:eastAsia="Arial" w:hAnsi="Arial"/>
                <w:sz w:val="18"/>
                <w:szCs w:val="18"/>
                <w:b w:val="1"/>
                <w:bCs w:val="1"/>
                <w:color w:val="auto"/>
                <w:w w:val="92"/>
              </w:rPr>
              <w:t>Elimination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Combined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Non-</w:t>
            </w:r>
          </w:p>
        </w:tc>
        <w:tc>
          <w:tcPr>
            <w:tcW w:w="180" w:type="dxa"/>
            <w:vAlign w:val="bottom"/>
          </w:tcPr>
          <w:p>
            <w:pPr>
              <w:spacing w:after="0"/>
              <w:rPr>
                <w:sz w:val="18"/>
                <w:szCs w:val="18"/>
                <w:color w:val="auto"/>
              </w:rPr>
            </w:pPr>
          </w:p>
        </w:tc>
        <w:tc>
          <w:tcPr>
            <w:tcW w:w="140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Comcast</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CCCL</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CCCH</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CCHMO</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Guarantor</w:t>
            </w:r>
          </w:p>
        </w:tc>
        <w:tc>
          <w:tcPr>
            <w:tcW w:w="180" w:type="dxa"/>
            <w:vAlign w:val="bottom"/>
          </w:tcPr>
          <w:p>
            <w:pPr>
              <w:spacing w:after="0"/>
              <w:rPr>
                <w:sz w:val="18"/>
                <w:szCs w:val="18"/>
                <w:color w:val="auto"/>
              </w:rPr>
            </w:pPr>
          </w:p>
        </w:tc>
        <w:tc>
          <w:tcPr>
            <w:tcW w:w="140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Consolidation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Comcast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Parent</w:t>
            </w:r>
          </w:p>
        </w:tc>
        <w:tc>
          <w:tcPr>
            <w:tcW w:w="1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Parent</w:t>
            </w: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Parents</w:t>
            </w:r>
          </w:p>
        </w:tc>
        <w:tc>
          <w:tcPr>
            <w:tcW w:w="16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Subsidiaries</w:t>
            </w:r>
          </w:p>
        </w:tc>
        <w:tc>
          <w:tcPr>
            <w:tcW w:w="180" w:type="dxa"/>
            <w:vAlign w:val="bottom"/>
          </w:tcPr>
          <w:p>
            <w:pPr>
              <w:spacing w:after="0"/>
              <w:rPr>
                <w:sz w:val="19"/>
                <w:szCs w:val="19"/>
                <w:color w:val="auto"/>
              </w:rPr>
            </w:pPr>
          </w:p>
        </w:tc>
        <w:tc>
          <w:tcPr>
            <w:tcW w:w="140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Corporation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98"/>
              </w:rPr>
              <w:t>Net cash provided by (used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 operating</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Retirements and repayments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debt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97"/>
              </w:rPr>
              <w:t>Issuances of common stock</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Net cash provided by (used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financing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transactions with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affiliates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(1,842)</w:t>
            </w:r>
          </w:p>
        </w:tc>
        <w:tc>
          <w:tcPr>
            <w:tcW w:w="1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and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restructuring of investments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net of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Additions to intangible and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short-term</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net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220"/>
              <w:spacing w:after="0"/>
              <w:rPr>
                <w:sz w:val="20"/>
                <w:szCs w:val="20"/>
                <w:color w:val="auto"/>
              </w:rPr>
            </w:pPr>
            <w:r>
              <w:rPr>
                <w:rFonts w:ascii="Arial" w:cs="Arial" w:eastAsia="Arial" w:hAnsi="Arial"/>
                <w:sz w:val="18"/>
                <w:szCs w:val="18"/>
                <w:color w:val="auto"/>
                <w:w w:val="98"/>
              </w:rPr>
              <w:t>Net cash (used in) provided</w:t>
            </w: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by investing activities</w:t>
            </w: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(1,736)</w:t>
            </w:r>
          </w:p>
        </w:tc>
        <w:tc>
          <w:tcPr>
            <w:tcW w:w="1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EQUIVALENTS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CASH AND CASH</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EQUIVALENTS, beginning of</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8"/>
              </w:rPr>
              <w:t>EQUIVALENTS,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-6463030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-6463030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-6463030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-6463030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-6463030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-6463030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-6463030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-6463030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-6463030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-6463030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-6463030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-6463030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-6463030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-6463030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-5760085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-5760085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-5760085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-5760085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-5760085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-5760085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-5760085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-5760085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-5760085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-5760085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-5760085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-5760085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-5760085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-5760085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-4507865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-4507865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-4507865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-4507865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-4507865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-4507865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-4507865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-4507865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-4507865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-4507865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-4507865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-4507865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-4507865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-4507865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-3942080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-3942080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-3942080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-3942080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-3942080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-3942080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-3942080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-3942080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-3942080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-3942080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-3942080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-3942080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-3942080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-3942080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-1866900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-1866900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-1866900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-1866900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-1866900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-1866900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-1866900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-1866900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-1866900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-1866900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-1866900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-1866900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-1866900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-1866900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-1437640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-1437640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-1437640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-1437640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-1437640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-1437640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-1437640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-1437640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-1437640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-1437640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-1437640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-1437640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-1437640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-1437640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-460375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-460375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-460375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-460375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-460375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-460375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-460375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-460375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-460375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-460375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-460375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-460375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-460375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-460375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(Concluded)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2"/>
              <w:spacing w:after="0"/>
              <w:rPr>
                <w:sz w:val="20"/>
                <w:szCs w:val="20"/>
                <w:color w:val="auto"/>
              </w:rPr>
            </w:pPr>
            <w:r>
              <w:rPr>
                <w:rFonts w:ascii="Arial" w:cs="Arial" w:eastAsia="Arial" w:hAnsi="Arial"/>
                <w:sz w:val="18"/>
                <w:szCs w:val="18"/>
                <w:b w:val="1"/>
                <w:bCs w:val="1"/>
                <w:color w:val="auto"/>
                <w:w w:val="92"/>
              </w:rPr>
              <w:t>Elimination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Combined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Non-</w:t>
            </w:r>
          </w:p>
        </w:tc>
        <w:tc>
          <w:tcPr>
            <w:tcW w:w="180" w:type="dxa"/>
            <w:vAlign w:val="bottom"/>
          </w:tcPr>
          <w:p>
            <w:pPr>
              <w:spacing w:after="0"/>
              <w:rPr>
                <w:sz w:val="18"/>
                <w:szCs w:val="18"/>
                <w:color w:val="auto"/>
              </w:rPr>
            </w:pPr>
          </w:p>
        </w:tc>
        <w:tc>
          <w:tcPr>
            <w:tcW w:w="140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Comcast</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CCCL</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CCCH</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CCHMO</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Guarantor</w:t>
            </w:r>
          </w:p>
        </w:tc>
        <w:tc>
          <w:tcPr>
            <w:tcW w:w="180" w:type="dxa"/>
            <w:vAlign w:val="bottom"/>
          </w:tcPr>
          <w:p>
            <w:pPr>
              <w:spacing w:after="0"/>
              <w:rPr>
                <w:sz w:val="18"/>
                <w:szCs w:val="18"/>
                <w:color w:val="auto"/>
              </w:rPr>
            </w:pPr>
          </w:p>
        </w:tc>
        <w:tc>
          <w:tcPr>
            <w:tcW w:w="140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Consolidation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Comcast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Parent</w:t>
            </w:r>
          </w:p>
        </w:tc>
        <w:tc>
          <w:tcPr>
            <w:tcW w:w="1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Parent</w:t>
            </w: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Parents</w:t>
            </w:r>
          </w:p>
        </w:tc>
        <w:tc>
          <w:tcPr>
            <w:tcW w:w="16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Subsidiaries</w:t>
            </w:r>
          </w:p>
        </w:tc>
        <w:tc>
          <w:tcPr>
            <w:tcW w:w="180" w:type="dxa"/>
            <w:vAlign w:val="bottom"/>
          </w:tcPr>
          <w:p>
            <w:pPr>
              <w:spacing w:after="0"/>
              <w:rPr>
                <w:sz w:val="19"/>
                <w:szCs w:val="19"/>
                <w:color w:val="auto"/>
              </w:rPr>
            </w:pPr>
          </w:p>
        </w:tc>
        <w:tc>
          <w:tcPr>
            <w:tcW w:w="140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Corporation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98"/>
              </w:rPr>
              <w:t>Net cash provided by (used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Retirements and repayments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debt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97"/>
              </w:rPr>
              <w:t>Issuances of common stock</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Net cash provided by (used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financing activities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transactions with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affiliates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(1,732)</w:t>
            </w:r>
          </w:p>
        </w:tc>
        <w:tc>
          <w:tcPr>
            <w:tcW w:w="1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and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restructuring of investments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net of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Additions to intangible and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short-term</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net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95"/>
              </w:rPr>
              <w:t>Proceeds from settlement of</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contract of acquired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Net cash (used in) provided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investing activities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w:t>
            </w: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19"/>
                <w:szCs w:val="19"/>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EQUIVALENTS, beginning of</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CASH AND CASH</w:t>
            </w: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w w:val="99"/>
              </w:rPr>
              <w:t>EQUIVALENTS,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3"/>
              <w:spacing w:after="0"/>
              <w:rPr>
                <w:sz w:val="20"/>
                <w:szCs w:val="20"/>
                <w:color w:val="auto"/>
              </w:rPr>
            </w:pPr>
            <w:r>
              <w:rPr>
                <w:rFonts w:ascii="Arial" w:cs="Arial" w:eastAsia="Arial" w:hAnsi="Arial"/>
                <w:sz w:val="18"/>
                <w:szCs w:val="18"/>
                <w:color w:val="auto"/>
              </w:rPr>
              <w:t>—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122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594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-6463030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-6463030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-6463030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-6463030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-6463030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-6463030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-6463030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-6463030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-6463030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-6463030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-6463030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-6463030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-6463030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-6463030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-5897245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-5897245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-5897245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-5897245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-5897245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-5897245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-5897245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-5897245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-5897245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-5897245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-5897245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-5897245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-5897245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-5897245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-4645025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-4645025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-4645025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-4645025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-4645025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-4645025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-4645025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-4645025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-4645025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-4645025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-4645025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-4645025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-4645025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-4645025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-4216400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-4216400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-4216400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-4216400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-4216400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-4216400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-4216400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-4216400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-4216400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-4216400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-4216400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-4216400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-4216400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-4216400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-1729740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-1729740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-1729740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-1729740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-1729740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-1729740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-1729740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-1729740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-1729740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-1729740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-1729740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-1729740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-1729740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-1729740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-1300480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-1300480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-1300480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-1300480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-1300480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-1300480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-1300480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-1300480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-1300480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-1300480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-1300480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-1300480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-1300480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-1300480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-460375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-460375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-460375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-460375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-460375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-460375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-460375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-460375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-460375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-460375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-460375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-460375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-460375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-460375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are principally involved in the management and operation of broadband communications networks (our cable segment) and in the management of programming content that is distributed over national cable television networks (our content segment). During the six months ended June 30, 2005, we received over 95%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six months ended June 30, 2005, include the following:</w:t>
      </w:r>
    </w:p>
    <w:p>
      <w:pPr>
        <w:spacing w:after="0" w:line="239" w:lineRule="exact"/>
        <w:rPr>
          <w:sz w:val="20"/>
          <w:szCs w:val="20"/>
          <w:color w:val="auto"/>
        </w:rPr>
      </w:pPr>
    </w:p>
    <w:p>
      <w:pPr>
        <w:ind w:left="1080" w:right="18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growth of 10% and operating income before depreciation and amortization growth of 14.6% in our cable segment compared to the same period in 2004, driven by continued growth in our digital cable and high-speed Internet services and rate increases in our video services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repurchases of approximately 20 million shares of our Class A Special common stock pursuant to our Board-authorized share repurchase program</w:t>
      </w:r>
    </w:p>
    <w:p>
      <w:pPr>
        <w:spacing w:after="0" w:line="26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provides the details of these highlights and insights into our financial statements, including discussion of our results of operations and our 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April 20, 2005, we and Time Warner reached definitive agreements to acquire substantially all the assets of Adelphia Communications Corporation for a total of $12.7 billion in cash and 16% of the common stock of Time Warner's cable subsidiary, Time Warner Cable Inc. ("TWC"). We also will exchange certain of our cable systems with TWC for certain TWC cable systems. In addition, TWC will redeem our 17.9% interest in TWC, and Time Warner Entertainment Company, L.P. ("TWE") will redeem our 4.7% interest in TWE (together an effective 21% economic ownership of TWC). As a result of these transactions, we will add approximately 1.8 million basic subscribers for a net cash investment of approximately $1.5 billion. Following these transactions, we will serve a total of approximately 23.2 million basic subscribers. These transactions are subject to customary regulatory review and approvals, including Hart-Scott-Rodino, Federal Communications Commission and local franchise approvals, as well as the Adelphia bankruptcy process, which involves approvals by the bankruptcy court having jurisdiction of Adelphia's Chapter 11 case and Adelphia's creditors. Closing is expected to occur in the first or second quarter of 2006.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to our condensed financial statements included in Item 1 for a discussion of our acquisitions and other significant events.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preparation of financial statements in accordance with generally accepted accounting principles requires us to make judgments and estimates that affect the reported amounts of assets, liabilities, revenue and expenses, as well as the disclosure of contingent assets and liabilities. We base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2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estimates and judgments on historical experience and other factors that are believed to be reasonable under the circumstances. Actual results may differ from these estimates under different assumptions or conditions.</w:t>
      </w:r>
    </w:p>
    <w:p>
      <w:pPr>
        <w:spacing w:after="0" w:line="18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For a discussion of the critical accounting judgments and estimates we identified that we believe require significant judgment in the preparation of our consolidated financial statements, please refer to our 2004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Consolidated revenues for the three and six month interim periods in 2005 increased $532 million and $987 million, or 10.5% and 9.9%, respectively, from the same periods in 2004. Of these increases, $490 million and $946 million relate to our cable segment and $35 million and $72 million relate to our content segment, which are discussed separately below. The remaining changes relate to our other business activities, primarily Comcast-Spectacor, whose revenues were negatively affected by the National Hockey League ("NHL") lockout.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selling, general and administrative expenses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Consolidated operating, selling, general and administrative expenses for the three and six month interim periods in 2005 increased $275 million and $433 million, or 8.8% and 6.9%, respectively, from the same periods in 2004. Of these increases, $235 million and $415 million relate to our cable segment and $15 million and $44 million relate to our content segment, which are discussed separately below. The remaining changes relate to our other business activities, primarily Comcast-Spectacor, whose operating expenses were positively affected by the NHL lockout.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Depreciation expense for the three and six month interim periods in 2005 increased $78 million and $154 million, or 9.6% in both interim periods. The increase is primarily attributable to our cable segment and is principally due to our recent capital expenditures.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Amortization expense for the three month interim period in 2005 decreased $17 million or 5.9% from the same period in 2004. The decrease reflects an ongoing reduction in annual amortization of approximately $100 million associated with intangibles acquired in the Broadband acquisition and a non-recurring adjustment reducing our intangible amortization associated with obtaining updated valuation reports for certain recent acquisitions. Amortization expense for the six month interim period in 2005 remained essentially unchanged from the same period in 2004 as a result of the adjustments described above, offset by the effects of the write off of approximately $20 million of acquired in-process research and development from our transaction with Motorola (see Note 4). The acquired in-process research and development was immediately expensed since the related technology had not reached technological feasibility as of the 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113665</wp:posOffset>
            </wp:positionV>
            <wp:extent cx="1050290" cy="215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Operating income before depreciation and amortization is the primary basis we use to measure the operational strength and performance of our segments. 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condensed consolidated financial statements. This measure should not be considered a substitute for operating income (loss), net income (loss), net cash provided by operating activities or other measures of performance or liquidity reported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cable segment operating results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85"/>
              </w:rPr>
              <w:t>Increase/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83"/>
              </w:rPr>
              <w:t>(Decrease)</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2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High-speed Internet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Phone</w:t>
            </w:r>
          </w:p>
        </w:tc>
        <w:tc>
          <w:tcPr>
            <w:tcW w:w="2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Advertising sales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Franchise fees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60" w:type="dxa"/>
            <w:vAlign w:val="bottom"/>
            <w:gridSpan w:val="2"/>
          </w:tcPr>
          <w:p>
            <w:pPr>
              <w:spacing w:after="0"/>
              <w:rPr>
                <w:sz w:val="10"/>
                <w:szCs w:val="10"/>
                <w:color w:val="auto"/>
              </w:rPr>
            </w:pPr>
          </w:p>
        </w:tc>
        <w:tc>
          <w:tcPr>
            <w:tcW w:w="22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260" w:type="dxa"/>
            <w:vAlign w:val="bottom"/>
            <w:vMerge w:val="restart"/>
          </w:tcPr>
          <w:p>
            <w:pPr>
              <w:jc w:val="right"/>
              <w:ind w:right="113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-2613025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-2613025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-2613025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-2613025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-2364105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-2364105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-2364105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-2364105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-2364105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-2364105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-2364105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-2364105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-1386205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-1386205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-1386205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-1386205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-1386205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-1386205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-1386205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-1386205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-820420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-820420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-820420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-820420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-820420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-820420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-820420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-820420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294"/>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High-speed Internet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Phone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Advertising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Franchise fees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9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4,170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3,639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-2115185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-2115185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-2115185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-2115185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-1866900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-1866900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-1866900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-1866900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-1866900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-1866900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-1866900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-1866900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-889000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-889000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-889000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-889000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-889000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-889000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-889000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-889000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-323215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-323215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-323215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following table presents our subscriber and monthly average revenue statistics on a pro forma basis. The pro forma adjustments reflect the addition of approximately 90,000 subscribers acquired in various small acquisitions between June 2004 and June 2005. The impact of these acquisitions on our segment operating results was not material (subscribers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5"/>
          </w:tcPr>
          <w:p>
            <w:pPr>
              <w:ind w:left="800"/>
              <w:spacing w:after="0"/>
              <w:rPr>
                <w:sz w:val="20"/>
                <w:szCs w:val="20"/>
                <w:color w:val="auto"/>
              </w:rPr>
            </w:pPr>
            <w:r>
              <w:rPr>
                <w:rFonts w:ascii="Arial" w:cs="Arial" w:eastAsia="Arial" w:hAnsi="Arial"/>
                <w:sz w:val="14"/>
                <w:szCs w:val="14"/>
                <w:b w:val="1"/>
                <w:bCs w:val="1"/>
                <w:color w:val="auto"/>
                <w:w w:val="96"/>
              </w:rPr>
              <w:t>June 30,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2"/>
              </w:rPr>
              <w:t>Increase/(Decrease)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4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Video subscribers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High-speed Internet subscribers</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Phone subscribers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80" w:type="dxa"/>
            <w:vAlign w:val="bottom"/>
            <w:gridSpan w:val="6"/>
          </w:tcPr>
          <w:p>
            <w:pPr>
              <w:jc w:val="center"/>
              <w:ind w:right="137"/>
              <w:spacing w:after="0" w:line="136" w:lineRule="exact"/>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5"/>
          </w:tcPr>
          <w:p>
            <w:pPr>
              <w:jc w:val="center"/>
              <w:ind w:left="442"/>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video revenue per video subscriber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Monthly average high-speed Internet revenue per high-speed Internet subscriber</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43.34</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(0.16)</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phone revenue per phone subscriber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80" w:type="dxa"/>
            <w:vAlign w:val="bottom"/>
            <w:gridSpan w:val="6"/>
          </w:tcPr>
          <w:p>
            <w:pPr>
              <w:jc w:val="center"/>
              <w:ind w:right="137"/>
              <w:spacing w:after="0" w:line="136" w:lineRule="exact"/>
              <w:rPr>
                <w:sz w:val="20"/>
                <w:szCs w:val="20"/>
                <w:color w:val="auto"/>
              </w:rPr>
            </w:pPr>
            <w:r>
              <w:rPr>
                <w:rFonts w:ascii="Arial" w:cs="Arial" w:eastAsia="Arial" w:hAnsi="Arial"/>
                <w:sz w:val="14"/>
                <w:szCs w:val="14"/>
                <w:b w:val="1"/>
                <w:bCs w:val="1"/>
                <w:color w:val="auto"/>
                <w:w w:val="87"/>
              </w:rPr>
              <w:t>Six Months Ended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5"/>
          </w:tcPr>
          <w:p>
            <w:pPr>
              <w:jc w:val="center"/>
              <w:ind w:left="442"/>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video revenue per video subscriber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Monthly average high-speed Internet revenue per high-speed Internet subscriber</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phone revenue per phone subscriber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(0.96)</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-2747645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-2747645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-2747645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-2747645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-2499360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-2499360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-2499360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-2499360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-2499360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-2499360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-2499360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-2499360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-1744345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-1744345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-1744345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-1744345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-1496060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-1496060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-1496060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-1496060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-1496060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-1496060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-1496060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-1496060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-741045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-741045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-741045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-741045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-492760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-492760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-492760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-492760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-492760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-492760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-492760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-492760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Video revenue consists of our basic, expanded basic, premium, pay-per-view and digital cable services, as well as equipment rentals. The increases in video revenue for the interim periods from 2004 to 2005 are primarily due to rate increases and subscriber growth in our digital video service. From June 30, 2004, to June 30, 2005, we added approximately 1,075,000, net, digital subscribers, or a 13.3% increase in digital subscribers. We expect continued growth in our video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9"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The increases in high-speed Internet revenue for the interim periods from 2004 to 2005 are primarily due to the addition of 1,698,000, net, high-speed Internet subscribers since June 30, 2004, or a 28.3% increase in high-speed Internet subscribers. We expect continued growth in our high-speed Internet revenue.</w:t>
      </w:r>
    </w:p>
    <w:p>
      <w:pPr>
        <w:spacing w:after="0" w:line="1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decreases in phone revenue for the interim periods from 2004 to 2005 are primarily due to the decrease in the average revenue per phone subscriber. We expect to add phone subscribers as we continue to launch our Comcast Digital Voice phone service.</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increases in advertising sales revenue for the interim periods from 2004 to 2005 are primarily due to the effects of growth in regional/national advertising as a result of the continuing success of our regional interconnects and a stronger local advertising market, offset, in part, by a decrease in political advertising during 2005. We expect continued growth in our advertising sales revenue.</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Other revenue includes installation revenues, revenue from our regional sports and news networks, guide revenues, commissions from electronic retailing, revenue from commercial data services and revenue from other service offerings. The increases in other revenue for the interim periods from 2004 to 2005 are primarily due to the launch of our regional sports networks in Chicago and Sacramento.</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increases in franchise fees collected from our cable subscribers for the interim periods from 2004 to 2005 are primarily attributable to the increases in our revenues upon which the fees apply.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Operating expenses increased $113 million and $214 million, respectively, for the three and six month interim periods in 2005, from the same periods in 2004. The increases occurred in multiple expense categories and are primarily a result of growth in our high-speed Internet, digital cable services, the launch of Comcast Digital Voice and development activities related to new interactive product initiatives.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Selling, general and administrative expenses increased $122 million and $201 million, respectively, for the three and six month interim periods in 2005, from the same periods in 2004. The increases occurred in multiple expense categories and are primarily as a result of growth in high-speed Internet, digital cable services, the launch of Comcast Digital Voice, and our development activities related to new interactive product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content segment operating results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9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87"/>
              </w:rPr>
              <w:t>Six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left="362"/>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jc w:val="right"/>
              <w:ind w:right="117"/>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234</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137</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64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-1000760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-1000760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-1000760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-1000760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-751840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-751840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-751840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-751840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-751840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-751840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-751840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-323215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-323215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-323215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-323215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-323215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-323215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content segment consists of the national networks E! Entertainment and Style Network, The Golf Channel, Outdoor Life Network, G4 and AZN Television (formerly known as International Channel).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content segment revenue increased $35 million and $72 million, or 17.7% and 19.2%, respectively, for the three and six month interim periods in 2005, from the same periods in 2004. The increases reflect increases in distribution and advertising revenue for all of the networks and the effects of the acquisitions of TechTV and AZN Television in May 2004 and July 2004,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Selling, General and Administrative Expenses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selling, general and administrative expenses increased $15 million and $44 million, or 12.3% and 19.2%, respectively, for the three and six month interim periods in 2005, from the same periods in 2004. Expenses increased in the 2005 interim periods as a result of higher development and marketing expenses for signature events and other original programming in all of our networks, as well as due to the effects of the acquisitions of TechTV and AZN Television in May 2004 and July 2004,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(Expense) Items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decreases in interest expense for the interim periods from 2004 to 2005 are primarily due to the effects of the write-off in 2004 of unamortized debt issue costs to interest expense in connection with the refinancing of our previously-existing revolving credit facilities in January, the effects of the redemptions of certain of the Exchangeable Notes and the early termination of certain of our interest rate swaps.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for the interim periods includes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68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3"/>
          </w:tcPr>
          <w:p>
            <w:pPr>
              <w:jc w:val="right"/>
              <w:ind w:right="386"/>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8"/>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Gains (losses) on sales and exchanges of investments, net</w:t>
            </w:r>
          </w:p>
        </w:tc>
        <w:tc>
          <w:tcPr>
            <w:tcW w:w="6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losses</w:t>
            </w:r>
          </w:p>
        </w:tc>
        <w:tc>
          <w:tcPr>
            <w:tcW w:w="64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Unrealized gains (losses) on trading securities and hedged items</w:t>
            </w: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(53)</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9"/>
              </w:rPr>
              <w:t>Mark to market adjustments on derivatives related to trading securities and hedged items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Mark to market adjustments on derivatives</w:t>
            </w: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176</w:t>
            </w:r>
          </w:p>
        </w:tc>
        <w:tc>
          <w:tcPr>
            <w:tcW w:w="1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-1549400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-1549400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-1549400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-1549400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-1300480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-1300480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-1300480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-1300480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-1300480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-1300480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-1300480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-1300480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-323215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-323215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losses on sales and exchanges of investments for the six months ended June 30, 2005 consist principally of the $29 million loss on the conversion of Time Warner preferred stock into Time Warner common stock on March 31, 2005.</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entered into derivative financial instruments that we account for at fair value and which economically hedge the market price fluctuations in the common stock of most (as of June 30, 2005) of our investments accounted for as trading securities. The differences between the unrealized gains (losses) on trading securities and hedged items and the mark-to-market adjustments on derivatives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 ENDED JUNE 30, 2005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related to trading securities and hedged items, as presented in the table above, result from one or more of the following:</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portion or for all of the period.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were changes in the derivative valuation assumptions such as interest rates, volatility and dividend policy.</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magnitude of the difference between the market price of the underlying security to which the derivative relates and the strike price of the derivative.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issuing company paid a new or an increased dividend to the shareholders of the security.</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mark-to-market adjustments on derivatives consist principally of the fair value adjustments related to the derivative component of the notes exchangeable into Comcast stock (see Note 7). We are exposed to changes in the fair value of this derivative since the underlying shares of Comcast Class A Special common stock that we hold in treasury are carried at our historical cost and not adjusted for changes in fair value. As of June 30, 2005, approximately 8.4 million shares of Comcast Class A Special common stock collateralized the outstanding Comcast exchangeable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change in other income (expense) for the six month period from 2004 to 2005 is primarily due to a $170 million charge in the first quarter of 2005 related to our portion of the settlement agreement related to certain litigation between AT&amp;T and At Home. Refer to Note 10 to our condensed consolidated financial statements included in Item 1 for a discussion of this litigation. This charge is partially offset by a $24 million gain on the exchange of one of our equity method investments and $55 million of gains recognized on the sale or restructuring of certain investment assets in the 2005 interim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Our income tax expense differs from the statutory amount primarily due to a net benefit recognized in the 2005 interim periods from adjustments to prior years' income tax provisions and the impact of certain charges recognized in the first quarter of 2005 for which no tax benefit has been recognized.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external financing.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JUNE 30,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Net cash provided by operating activities amounted to $2.517 billion for the six months ended June 30, 2005, due principally to our operating income before depreciation and amortization, partially offset by the effects of interest and income tax payments, the $170 million payment representing our share of the settlement amount related to AT&amp;T's litigation with At Home and changes in operating assets and liabilities.</w:t>
      </w:r>
    </w:p>
    <w:p>
      <w:pPr>
        <w:spacing w:after="0" w:line="16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2005 interim period, the net change in our operating assets and liabilities was $191 million, primarily attributable to increases in our accounts receivable of $68 million, and a net reduction in other operating assets and liabilities of $124 million. The reduction in other operating assets and liabilities is attributable to payments associated with liabilities recorded as part of the Broadband acquisition of $213 million, including a $46 million pension funding in the first quarter of 2005 and a $50 million payment representing our share of the settlement related to AT&amp;T's settlement of certain of it's securities litigation.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cash provided by financing activities was $698 million for the six months ended June 30, 2005, and consisted principally of our net proceeds from borrowings of $1.495 billion partially offset by repurchases of common stock of $660 million (on a settlement date basis). During the 2005 interim period, our borrowings consisted of $1.5 billion of senior notes further described below, while our debt repayments consisted of $100 million under medium-term notes and $179 million under our commercial paper program and other debt instruments.</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open market repurchases of our outstanding public notes and debentures, depending on various factors, such as market conditions.</w:t>
      </w:r>
    </w:p>
    <w:p>
      <w:pPr>
        <w:spacing w:after="0" w:line="1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i w:val="1"/>
          <w:iCs w:val="1"/>
          <w:color w:val="auto"/>
        </w:rPr>
        <w:t xml:space="preserve">Senior Notes Offering. </w:t>
      </w:r>
      <w:r>
        <w:rPr>
          <w:rFonts w:ascii="Arial" w:cs="Arial" w:eastAsia="Arial" w:hAnsi="Arial"/>
          <w:sz w:val="16"/>
          <w:szCs w:val="16"/>
          <w:color w:val="auto"/>
        </w:rPr>
        <w:t>In June 2005, we issued $1.5 billion of notes consisting of $750 million of 4.95% notes due 2016 and $750 million of 5.65% notes due</w:t>
      </w:r>
      <w:r>
        <w:rPr>
          <w:rFonts w:ascii="Arial" w:cs="Arial" w:eastAsia="Arial" w:hAnsi="Arial"/>
          <w:sz w:val="16"/>
          <w:szCs w:val="16"/>
          <w:i w:val="1"/>
          <w:iCs w:val="1"/>
          <w:color w:val="auto"/>
        </w:rPr>
        <w:t xml:space="preserve"> </w:t>
      </w:r>
      <w:r>
        <w:rPr>
          <w:rFonts w:ascii="Arial" w:cs="Arial" w:eastAsia="Arial" w:hAnsi="Arial"/>
          <w:sz w:val="16"/>
          <w:szCs w:val="16"/>
          <w:color w:val="auto"/>
        </w:rPr>
        <w:t>2035. We used the net proceeds of this offering for working capital and general corporate purposes, including repayment of existing indebtedness.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In June 2004, we entered into a commercial paper program to provide a lower-cost borrowing source of liquidity to fund our</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working capital requirements. The program allows for a maximum of $2.25 billion of commercial paper to be issued at any one time. Our revolving bank credit facility supports this program. As of June 30, 2005, amounts outstanding under the program totaled $188 million with a weighted average interest rate of 3.41%.</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Debt Redemption. </w:t>
      </w:r>
      <w:r>
        <w:rPr>
          <w:rFonts w:ascii="Arial" w:cs="Arial" w:eastAsia="Arial" w:hAnsi="Arial"/>
          <w:sz w:val="18"/>
          <w:szCs w:val="18"/>
          <w:color w:val="auto"/>
        </w:rPr>
        <w:t>In June 2005, we gave notice to holders of our 9.5% Senior Notes due 2013 with an aggregate principal amount of $525 million that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notes on August 1, 2005 at a premium of 4.75% over par.</w:t>
      </w:r>
    </w:p>
    <w:p>
      <w:pPr>
        <w:spacing w:after="0" w:line="18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i w:val="1"/>
          <w:iCs w:val="1"/>
          <w:color w:val="auto"/>
        </w:rPr>
        <w:t xml:space="preserve">Available Borrowings Under Credit Facilities. </w:t>
      </w:r>
      <w:r>
        <w:rPr>
          <w:rFonts w:ascii="Arial" w:cs="Arial" w:eastAsia="Arial" w:hAnsi="Arial"/>
          <w:sz w:val="15"/>
          <w:szCs w:val="15"/>
          <w:color w:val="auto"/>
        </w:rPr>
        <w:t>We have traditionally maintained significant availability under our lines of credit to meet our short-term liquidity</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requirements. We have three lines of credit aggregating $4.576 billion and, as of June 30, 2005, amounts available under our lines of credit totaled $3.951 billion.</w:t>
      </w:r>
    </w:p>
    <w:p>
      <w:pPr>
        <w:spacing w:after="0" w:line="116"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i w:val="1"/>
          <w:iCs w:val="1"/>
          <w:color w:val="auto"/>
        </w:rPr>
        <w:t xml:space="preserve">Stock Repurchases. </w:t>
      </w:r>
      <w:r>
        <w:rPr>
          <w:rFonts w:ascii="Arial" w:cs="Arial" w:eastAsia="Arial" w:hAnsi="Arial"/>
          <w:sz w:val="15"/>
          <w:szCs w:val="15"/>
          <w:color w:val="auto"/>
        </w:rPr>
        <w:t>During the six months ended June 30, 2005, under our Board-authorized share repurchase program, we repurchased approximately</w:t>
      </w:r>
      <w:r>
        <w:rPr>
          <w:rFonts w:ascii="Arial" w:cs="Arial" w:eastAsia="Arial" w:hAnsi="Arial"/>
          <w:sz w:val="15"/>
          <w:szCs w:val="15"/>
          <w:i w:val="1"/>
          <w:iCs w:val="1"/>
          <w:color w:val="auto"/>
        </w:rPr>
        <w:t xml:space="preserve"> </w:t>
      </w:r>
      <w:r>
        <w:rPr>
          <w:rFonts w:ascii="Arial" w:cs="Arial" w:eastAsia="Arial" w:hAnsi="Arial"/>
          <w:sz w:val="15"/>
          <w:szCs w:val="15"/>
          <w:color w:val="auto"/>
        </w:rPr>
        <w:t>20 million shares of our Class A Special common stock for $660 million (on a settlement date basis). On April 27, 2005, our Board of Directors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authorized a $2 billion increase to our share repurchase program, increasing the maximum dollar value of shares that may yet be repurchased under the program to approximately $2 billion as of June 30, 2005. We expect such repurchases to continue from time to time in the open market or in private transactions, subject to market conditions.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As of June 30, 2005 and December 31, 2004, our debt, including capital lease obligations, was $24.130 billion and $23.592 billion,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$538 million increase from December 31, 2004 to June 30, 2005 results principally from the effects of our senior notes offering offset by the settlements of certain of our Exchangeable Notes. Included in our debt as of June 30, 2005 and December 31, 2004 was current portion of long-term debt of $4.384 billion and $3.499 billion, respectively.</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Excluding the effects of interest rate risk management instruments, 3.7% and 5.8% of our total debt as of June 30, 2005, and December 31, 2004, respectively, was at variable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Net cash used in investing activities was $2.332 billion for the six months ended June 30, 2005, which consisted primarily of cash used for our capital expenditures, acquisitions, purchases of investments, and additions to intangible and other noncurrent assets. Our capital expenditures totaled $1.842 billion which includes the purchase of digital set-top boxes, as well as capital investments, including Comcast Digital Voice, digital simulcasting and our integrated service platform. During the period we made acquisitions totaling $134 million primarily consisting of interactive television software developers Liberate and MetaTV and other strategic acquisitions. The Liberate and MetaTV acquisitions provide us with access to technology that will accelerate the development of new interactive products. Purchases of investments totaled $305 million and consist principally of our approximate $250 million investment in MGM for our 20% equity interest. Additions to intangibles and other noncurrent assets during the six months ended June 30, 2005, primarily relate to licenses and software-related intangibles of approximately $105 million, multiple dwelling unit contracts of approximately $67 million, and additions to goodwill related to acquisitions of additional ownership interests. Offsetting these amounts were $213 million in proceeds from the prepaid forward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113665</wp:posOffset>
            </wp:positionV>
            <wp:extent cx="1050290" cy="215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Conclusions regarding disclosure controls and procedures. </w:t>
      </w:r>
      <w:r>
        <w:rPr>
          <w:rFonts w:ascii="Arial" w:cs="Arial" w:eastAsia="Arial" w:hAnsi="Arial"/>
          <w:sz w:val="18"/>
          <w:szCs w:val="18"/>
          <w:color w:val="auto"/>
        </w:rPr>
        <w:t>Our chief executive officer and our co-chief financial officers, after evaluating the effectiveness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9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required by paragraph (d) of Exchange Act Rules 13a-15 or 15d-15 that occurred during our last fiscal quarter that have materially affected, or are reasonably likely to materially affect, our internal control over financial reporting.</w:t>
      </w:r>
    </w:p>
    <w:p>
      <w:pPr>
        <w:spacing w:after="0" w:line="1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Refer to Note 10 to our condensed financial statements included in Part I, Item 1 of this Quarterly Report on Form 10-Q for a discussion of recent developments related to our legal proceedings.</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repurchases during the quarter ended June 30, 2005, principally under our Board-authorized repurchase program is as follows:</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Total Number of</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Maximum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240" w:type="dxa"/>
            <w:vAlign w:val="bottom"/>
          </w:tcPr>
          <w:p>
            <w:pPr>
              <w:spacing w:after="0"/>
              <w:rPr>
                <w:sz w:val="12"/>
                <w:szCs w:val="12"/>
                <w:color w:val="auto"/>
              </w:rPr>
            </w:pPr>
          </w:p>
        </w:tc>
        <w:tc>
          <w:tcPr>
            <w:tcW w:w="15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7"/>
              </w:rPr>
              <w:t>Total Dollars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240" w:type="dxa"/>
            <w:vAlign w:val="bottom"/>
          </w:tcPr>
          <w:p>
            <w:pPr>
              <w:spacing w:after="0"/>
              <w:rPr>
                <w:sz w:val="12"/>
                <w:szCs w:val="12"/>
                <w:color w:val="auto"/>
              </w:rPr>
            </w:pPr>
          </w:p>
        </w:tc>
        <w:tc>
          <w:tcPr>
            <w:tcW w:w="158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74"/>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5"/>
                <w:szCs w:val="15"/>
                <w:color w:val="auto"/>
              </w:rPr>
            </w:pPr>
          </w:p>
        </w:tc>
        <w:tc>
          <w:tcPr>
            <w:tcW w:w="162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per Share</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Announced Program</w:t>
            </w:r>
          </w:p>
        </w:tc>
        <w:tc>
          <w:tcPr>
            <w:tcW w:w="240" w:type="dxa"/>
            <w:vAlign w:val="bottom"/>
          </w:tcPr>
          <w:p>
            <w:pPr>
              <w:spacing w:after="0"/>
              <w:rPr>
                <w:sz w:val="15"/>
                <w:szCs w:val="15"/>
                <w:color w:val="auto"/>
              </w:rPr>
            </w:pPr>
          </w:p>
        </w:tc>
        <w:tc>
          <w:tcPr>
            <w:tcW w:w="158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the Program</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Under the Program</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April 1-30, 2005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650,524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21,462,900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2,321,208,650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May 1-31, 2005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2,168,806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31.44</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2,150,000</w:t>
            </w:r>
          </w:p>
        </w:tc>
        <w:tc>
          <w:tcPr>
            <w:tcW w:w="1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67,577,180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2,253,631,470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June 1-30, 2005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7,774,373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7,730,359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244,847,077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2,008,784,393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8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10,593,703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10,530,359</w:t>
            </w:r>
          </w:p>
        </w:tc>
        <w:tc>
          <w:tcPr>
            <w:tcW w:w="1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333,887,157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2,008,784,393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-889000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-889000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-889000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-889000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-889000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-889000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-889000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-889000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-889000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-889000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-323215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-323215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-323215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-323215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-323215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-323215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The total number of shares purchased includes 63,344 shares received in the administration of employee equity compensation plans. All other shares were repurchased pursuant to a share repurchase program authorized by our Board of Directors to acquire up to $2 billion of outstanding common stock in the open market. On April 27, 2005, our Board of Directors authorized a $2 billion increase to our share repurchase program, which is reflected in the table above.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our Annual Meeting of Shareholders on June 1, 2005, the shareholders approved, or did not approve, the following proposals, in each case consistent with the unanimous recommendations of our Board of Directors (numbers represent the aggregate votes cast, with holders of our Class A Common Stock entitled to 0.2082 votes per share and holders of our Class B Common Stock entitled to 15 votes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 elect the following nominees to serve as our directors for one-year terms. Director For Withheld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340" w:type="dxa"/>
            <w:vAlign w:val="bottom"/>
          </w:tcPr>
          <w:p>
            <w:pPr>
              <w:spacing w:after="0"/>
              <w:rPr>
                <w:sz w:val="15"/>
                <w:szCs w:val="15"/>
                <w:color w:val="auto"/>
              </w:rPr>
            </w:pPr>
          </w:p>
        </w:tc>
        <w:tc>
          <w:tcPr>
            <w:tcW w:w="2280" w:type="dxa"/>
            <w:vAlign w:val="bottom"/>
            <w:gridSpan w:val="2"/>
          </w:tcPr>
          <w:p>
            <w:pPr>
              <w:ind w:left="860"/>
              <w:spacing w:after="0"/>
              <w:rPr>
                <w:sz w:val="20"/>
                <w:szCs w:val="20"/>
                <w:color w:val="auto"/>
              </w:rPr>
            </w:pPr>
            <w:r>
              <w:rPr>
                <w:rFonts w:ascii="Arial" w:cs="Arial" w:eastAsia="Arial" w:hAnsi="Arial"/>
                <w:sz w:val="14"/>
                <w:szCs w:val="14"/>
                <w:b w:val="1"/>
                <w:bCs w:val="1"/>
                <w:color w:val="auto"/>
              </w:rPr>
              <w:t>For</w:t>
            </w:r>
          </w:p>
        </w:tc>
        <w:tc>
          <w:tcPr>
            <w:tcW w:w="1840" w:type="dxa"/>
            <w:vAlign w:val="bottom"/>
            <w:gridSpan w:val="2"/>
          </w:tcPr>
          <w:p>
            <w:pPr>
              <w:ind w:left="64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2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383,476,607</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7,757,339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Ralph J. Roberts</w:t>
            </w:r>
          </w:p>
        </w:tc>
        <w:tc>
          <w:tcPr>
            <w:tcW w:w="2620" w:type="dxa"/>
            <w:vAlign w:val="bottom"/>
            <w:gridSpan w:val="3"/>
          </w:tcPr>
          <w:p>
            <w:pPr>
              <w:jc w:val="right"/>
              <w:ind w:right="340"/>
              <w:spacing w:after="0"/>
              <w:rPr>
                <w:sz w:val="20"/>
                <w:szCs w:val="20"/>
                <w:color w:val="auto"/>
              </w:rPr>
            </w:pPr>
            <w:r>
              <w:rPr>
                <w:rFonts w:ascii="Arial" w:cs="Arial" w:eastAsia="Arial" w:hAnsi="Arial"/>
                <w:sz w:val="18"/>
                <w:szCs w:val="18"/>
                <w:color w:val="auto"/>
              </w:rPr>
              <w:t>385,100,703</w:t>
            </w:r>
          </w:p>
        </w:tc>
        <w:tc>
          <w:tcPr>
            <w:tcW w:w="1820" w:type="dxa"/>
            <w:vAlign w:val="bottom"/>
          </w:tcPr>
          <w:p>
            <w:pPr>
              <w:jc w:val="right"/>
              <w:spacing w:after="0"/>
              <w:rPr>
                <w:sz w:val="20"/>
                <w:szCs w:val="20"/>
                <w:color w:val="auto"/>
              </w:rPr>
            </w:pPr>
            <w:r>
              <w:rPr>
                <w:rFonts w:ascii="Arial" w:cs="Arial" w:eastAsia="Arial" w:hAnsi="Arial"/>
                <w:sz w:val="18"/>
                <w:szCs w:val="18"/>
                <w:color w:val="auto"/>
              </w:rPr>
              <w:t>6,133,242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 Decker Anstrom</w:t>
            </w:r>
          </w:p>
        </w:tc>
        <w:tc>
          <w:tcPr>
            <w:tcW w:w="2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365,542,265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Kenneth J. Bacon</w:t>
            </w:r>
          </w:p>
        </w:tc>
        <w:tc>
          <w:tcPr>
            <w:tcW w:w="2620" w:type="dxa"/>
            <w:vAlign w:val="bottom"/>
            <w:gridSpan w:val="3"/>
          </w:tcPr>
          <w:p>
            <w:pPr>
              <w:jc w:val="right"/>
              <w:ind w:right="340"/>
              <w:spacing w:after="0"/>
              <w:rPr>
                <w:sz w:val="20"/>
                <w:szCs w:val="20"/>
                <w:color w:val="auto"/>
              </w:rPr>
            </w:pPr>
            <w:r>
              <w:rPr>
                <w:rFonts w:ascii="Arial" w:cs="Arial" w:eastAsia="Arial" w:hAnsi="Arial"/>
                <w:sz w:val="18"/>
                <w:szCs w:val="18"/>
                <w:color w:val="auto"/>
              </w:rPr>
              <w:t>357,315,992</w:t>
            </w:r>
          </w:p>
        </w:tc>
        <w:tc>
          <w:tcPr>
            <w:tcW w:w="1820" w:type="dxa"/>
            <w:vAlign w:val="bottom"/>
          </w:tcPr>
          <w:p>
            <w:pPr>
              <w:jc w:val="right"/>
              <w:spacing w:after="0"/>
              <w:rPr>
                <w:sz w:val="20"/>
                <w:szCs w:val="20"/>
                <w:color w:val="auto"/>
              </w:rPr>
            </w:pPr>
            <w:r>
              <w:rPr>
                <w:rFonts w:ascii="Arial" w:cs="Arial" w:eastAsia="Arial" w:hAnsi="Arial"/>
                <w:sz w:val="18"/>
                <w:szCs w:val="18"/>
                <w:color w:val="auto"/>
              </w:rPr>
              <w:t>33,917,954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Sheldon M. Bonovitz</w:t>
            </w:r>
          </w:p>
        </w:tc>
        <w:tc>
          <w:tcPr>
            <w:tcW w:w="2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379,023,826</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12,210,120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Edward D. Breen</w:t>
            </w:r>
          </w:p>
        </w:tc>
        <w:tc>
          <w:tcPr>
            <w:tcW w:w="2620" w:type="dxa"/>
            <w:vAlign w:val="bottom"/>
            <w:gridSpan w:val="3"/>
          </w:tcPr>
          <w:p>
            <w:pPr>
              <w:jc w:val="right"/>
              <w:ind w:right="340"/>
              <w:spacing w:after="0"/>
              <w:rPr>
                <w:sz w:val="20"/>
                <w:szCs w:val="20"/>
                <w:color w:val="auto"/>
              </w:rPr>
            </w:pPr>
            <w:r>
              <w:rPr>
                <w:rFonts w:ascii="Arial" w:cs="Arial" w:eastAsia="Arial" w:hAnsi="Arial"/>
                <w:sz w:val="18"/>
                <w:szCs w:val="18"/>
                <w:color w:val="auto"/>
              </w:rPr>
              <w:t>385,563,482</w:t>
            </w:r>
          </w:p>
        </w:tc>
        <w:tc>
          <w:tcPr>
            <w:tcW w:w="1820" w:type="dxa"/>
            <w:vAlign w:val="bottom"/>
          </w:tcPr>
          <w:p>
            <w:pPr>
              <w:jc w:val="right"/>
              <w:spacing w:after="0"/>
              <w:rPr>
                <w:sz w:val="20"/>
                <w:szCs w:val="20"/>
                <w:color w:val="auto"/>
              </w:rPr>
            </w:pPr>
            <w:r>
              <w:rPr>
                <w:rFonts w:ascii="Arial" w:cs="Arial" w:eastAsia="Arial" w:hAnsi="Arial"/>
                <w:sz w:val="18"/>
                <w:szCs w:val="18"/>
                <w:color w:val="auto"/>
              </w:rPr>
              <w:t>5,670,464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Julian A. Brodsky</w:t>
            </w:r>
          </w:p>
        </w:tc>
        <w:tc>
          <w:tcPr>
            <w:tcW w:w="2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385,403,955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Joseph L. Castle, II</w:t>
            </w:r>
          </w:p>
        </w:tc>
        <w:tc>
          <w:tcPr>
            <w:tcW w:w="2620" w:type="dxa"/>
            <w:vAlign w:val="bottom"/>
            <w:gridSpan w:val="3"/>
          </w:tcPr>
          <w:p>
            <w:pPr>
              <w:jc w:val="right"/>
              <w:ind w:right="340"/>
              <w:spacing w:after="0"/>
              <w:rPr>
                <w:sz w:val="20"/>
                <w:szCs w:val="20"/>
                <w:color w:val="auto"/>
              </w:rPr>
            </w:pPr>
            <w:r>
              <w:rPr>
                <w:rFonts w:ascii="Arial" w:cs="Arial" w:eastAsia="Arial" w:hAnsi="Arial"/>
                <w:sz w:val="18"/>
                <w:szCs w:val="18"/>
                <w:color w:val="auto"/>
              </w:rPr>
              <w:t>352,043,938</w:t>
            </w:r>
          </w:p>
        </w:tc>
        <w:tc>
          <w:tcPr>
            <w:tcW w:w="1820" w:type="dxa"/>
            <w:vAlign w:val="bottom"/>
          </w:tcPr>
          <w:p>
            <w:pPr>
              <w:jc w:val="right"/>
              <w:spacing w:after="0"/>
              <w:rPr>
                <w:sz w:val="20"/>
                <w:szCs w:val="20"/>
                <w:color w:val="auto"/>
              </w:rPr>
            </w:pPr>
            <w:r>
              <w:rPr>
                <w:rFonts w:ascii="Arial" w:cs="Arial" w:eastAsia="Arial" w:hAnsi="Arial"/>
                <w:sz w:val="18"/>
                <w:szCs w:val="18"/>
                <w:color w:val="auto"/>
              </w:rPr>
              <w:t>39,190,007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Joseph J. Collins</w:t>
            </w:r>
          </w:p>
        </w:tc>
        <w:tc>
          <w:tcPr>
            <w:tcW w:w="2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384,269,577</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6,964,368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J. Michael Cook</w:t>
            </w:r>
          </w:p>
        </w:tc>
        <w:tc>
          <w:tcPr>
            <w:tcW w:w="2620" w:type="dxa"/>
            <w:vAlign w:val="bottom"/>
            <w:gridSpan w:val="3"/>
          </w:tcPr>
          <w:p>
            <w:pPr>
              <w:jc w:val="right"/>
              <w:ind w:right="340"/>
              <w:spacing w:after="0"/>
              <w:rPr>
                <w:sz w:val="20"/>
                <w:szCs w:val="20"/>
                <w:color w:val="auto"/>
              </w:rPr>
            </w:pPr>
            <w:r>
              <w:rPr>
                <w:rFonts w:ascii="Arial" w:cs="Arial" w:eastAsia="Arial" w:hAnsi="Arial"/>
                <w:sz w:val="18"/>
                <w:szCs w:val="18"/>
                <w:color w:val="auto"/>
              </w:rPr>
              <w:t>385,270,311</w:t>
            </w:r>
          </w:p>
        </w:tc>
        <w:tc>
          <w:tcPr>
            <w:tcW w:w="1820" w:type="dxa"/>
            <w:vAlign w:val="bottom"/>
          </w:tcPr>
          <w:p>
            <w:pPr>
              <w:jc w:val="right"/>
              <w:spacing w:after="0"/>
              <w:rPr>
                <w:sz w:val="20"/>
                <w:szCs w:val="20"/>
                <w:color w:val="auto"/>
              </w:rPr>
            </w:pPr>
            <w:r>
              <w:rPr>
                <w:rFonts w:ascii="Arial" w:cs="Arial" w:eastAsia="Arial" w:hAnsi="Arial"/>
                <w:sz w:val="18"/>
                <w:szCs w:val="18"/>
                <w:color w:val="auto"/>
              </w:rPr>
              <w:t>5,963,635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Dr. Judith Rodin</w:t>
            </w:r>
          </w:p>
        </w:tc>
        <w:tc>
          <w:tcPr>
            <w:tcW w:w="2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377,090,273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14,143,673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Michael I. Sovern</w:t>
            </w:r>
          </w:p>
        </w:tc>
        <w:tc>
          <w:tcPr>
            <w:tcW w:w="2620" w:type="dxa"/>
            <w:vAlign w:val="bottom"/>
            <w:gridSpan w:val="3"/>
          </w:tcPr>
          <w:p>
            <w:pPr>
              <w:jc w:val="right"/>
              <w:ind w:right="340"/>
              <w:spacing w:after="0"/>
              <w:rPr>
                <w:sz w:val="20"/>
                <w:szCs w:val="20"/>
                <w:color w:val="auto"/>
              </w:rPr>
            </w:pPr>
            <w:r>
              <w:rPr>
                <w:rFonts w:ascii="Arial" w:cs="Arial" w:eastAsia="Arial" w:hAnsi="Arial"/>
                <w:sz w:val="18"/>
                <w:szCs w:val="18"/>
                <w:color w:val="auto"/>
              </w:rPr>
              <w:t>378,801,104</w:t>
            </w:r>
          </w:p>
        </w:tc>
        <w:tc>
          <w:tcPr>
            <w:tcW w:w="1820" w:type="dxa"/>
            <w:vAlign w:val="bottom"/>
          </w:tcPr>
          <w:p>
            <w:pPr>
              <w:jc w:val="right"/>
              <w:spacing w:after="0"/>
              <w:rPr>
                <w:sz w:val="20"/>
                <w:szCs w:val="20"/>
                <w:color w:val="auto"/>
              </w:rPr>
            </w:pPr>
            <w:r>
              <w:rPr>
                <w:rFonts w:ascii="Arial" w:cs="Arial" w:eastAsia="Arial" w:hAnsi="Arial"/>
                <w:sz w:val="18"/>
                <w:szCs w:val="18"/>
                <w:color w:val="auto"/>
              </w:rPr>
              <w:t>12,432,841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-1731645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-1731645</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-1731645</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-1731645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-1731645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-1731645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 ratify the appointment of Deloitte &amp; Touche LLP as our independent auditors for the 2005 fiscal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960" w:type="dxa"/>
            <w:vAlign w:val="bottom"/>
            <w:gridSpan w:val="7"/>
          </w:tcPr>
          <w:p>
            <w:pPr>
              <w:jc w:val="center"/>
              <w:ind w:right="2060"/>
              <w:spacing w:after="0"/>
              <w:rPr>
                <w:sz w:val="20"/>
                <w:szCs w:val="20"/>
                <w:color w:val="auto"/>
              </w:rPr>
            </w:pPr>
            <w:r>
              <w:rPr>
                <w:rFonts w:ascii="Arial" w:cs="Arial" w:eastAsia="Arial" w:hAnsi="Arial"/>
                <w:sz w:val="14"/>
                <w:szCs w:val="14"/>
                <w:b w:val="1"/>
                <w:bCs w:val="1"/>
                <w:color w:val="auto"/>
                <w:w w:val="97"/>
              </w:rPr>
              <w:t>For</w:t>
            </w:r>
          </w:p>
        </w:tc>
        <w:tc>
          <w:tcPr>
            <w:tcW w:w="3580" w:type="dxa"/>
            <w:vAlign w:val="bottom"/>
            <w:gridSpan w:val="5"/>
          </w:tcPr>
          <w:p>
            <w:pPr>
              <w:ind w:left="540"/>
              <w:spacing w:after="0"/>
              <w:rPr>
                <w:sz w:val="20"/>
                <w:szCs w:val="20"/>
                <w:color w:val="auto"/>
              </w:rPr>
            </w:pPr>
            <w:r>
              <w:rPr>
                <w:rFonts w:ascii="Arial" w:cs="Arial" w:eastAsia="Arial" w:hAnsi="Arial"/>
                <w:sz w:val="14"/>
                <w:szCs w:val="14"/>
                <w:b w:val="1"/>
                <w:bCs w:val="1"/>
                <w:color w:val="auto"/>
              </w:rPr>
              <w:t>Against</w:t>
            </w:r>
          </w:p>
        </w:tc>
        <w:tc>
          <w:tcPr>
            <w:tcW w:w="120" w:type="dxa"/>
            <w:vAlign w:val="bottom"/>
          </w:tcPr>
          <w:p>
            <w:pPr>
              <w:spacing w:after="0"/>
              <w:rPr>
                <w:sz w:val="15"/>
                <w:szCs w:val="15"/>
                <w:color w:val="auto"/>
              </w:rPr>
            </w:pPr>
          </w:p>
        </w:tc>
        <w:tc>
          <w:tcPr>
            <w:tcW w:w="1460" w:type="dxa"/>
            <w:vAlign w:val="bottom"/>
          </w:tcPr>
          <w:p>
            <w:pPr>
              <w:jc w:val="right"/>
              <w:ind w:right="492"/>
              <w:spacing w:after="0"/>
              <w:rPr>
                <w:sz w:val="20"/>
                <w:szCs w:val="20"/>
                <w:color w:val="auto"/>
              </w:rPr>
            </w:pPr>
            <w:r>
              <w:rPr>
                <w:rFonts w:ascii="Arial" w:cs="Arial" w:eastAsia="Arial" w:hAnsi="Arial"/>
                <w:sz w:val="14"/>
                <w:szCs w:val="14"/>
                <w:b w:val="1"/>
                <w:bCs w:val="1"/>
                <w:color w:val="auto"/>
              </w:rPr>
              <w:t>Abstain</w:t>
            </w:r>
          </w:p>
        </w:tc>
        <w:tc>
          <w:tcPr>
            <w:tcW w:w="1140" w:type="dxa"/>
            <w:vAlign w:val="bottom"/>
          </w:tcPr>
          <w:p>
            <w:pPr>
              <w:spacing w:after="0"/>
              <w:rPr>
                <w:sz w:val="15"/>
                <w:szCs w:val="15"/>
                <w:color w:val="auto"/>
              </w:rPr>
            </w:pPr>
          </w:p>
        </w:tc>
      </w:tr>
      <w:tr>
        <w:trPr>
          <w:trHeight w:val="105"/>
        </w:trPr>
        <w:tc>
          <w:tcPr>
            <w:tcW w:w="11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r>
      <w:tr>
        <w:trPr>
          <w:trHeight w:val="319"/>
        </w:trPr>
        <w:tc>
          <w:tcPr>
            <w:tcW w:w="2800" w:type="dxa"/>
            <w:vAlign w:val="bottom"/>
            <w:gridSpan w:val="2"/>
          </w:tcPr>
          <w:p>
            <w:pPr>
              <w:jc w:val="center"/>
              <w:ind w:left="1352"/>
              <w:spacing w:after="0"/>
              <w:rPr>
                <w:sz w:val="20"/>
                <w:szCs w:val="20"/>
                <w:color w:val="auto"/>
              </w:rPr>
            </w:pPr>
            <w:r>
              <w:rPr>
                <w:rFonts w:ascii="Arial" w:cs="Arial" w:eastAsia="Arial" w:hAnsi="Arial"/>
                <w:sz w:val="18"/>
                <w:szCs w:val="18"/>
                <w:color w:val="auto"/>
                <w:w w:val="87"/>
              </w:rPr>
              <w:t>384,847,438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3,845,118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2,541,389</w:t>
            </w:r>
          </w:p>
        </w:tc>
        <w:tc>
          <w:tcPr>
            <w:tcW w:w="1140" w:type="dxa"/>
            <w:vAlign w:val="bottom"/>
          </w:tcPr>
          <w:p>
            <w:pPr>
              <w:spacing w:after="0"/>
              <w:rPr>
                <w:sz w:val="24"/>
                <w:szCs w:val="24"/>
                <w:color w:val="auto"/>
              </w:rPr>
            </w:pPr>
          </w:p>
        </w:tc>
      </w:tr>
      <w:tr>
        <w:trPr>
          <w:trHeight w:val="432"/>
        </w:trPr>
        <w:tc>
          <w:tcPr>
            <w:tcW w:w="5120" w:type="dxa"/>
            <w:vAlign w:val="bottom"/>
            <w:gridSpan w:val="8"/>
          </w:tcPr>
          <w:p>
            <w:pPr>
              <w:spacing w:after="0"/>
              <w:rPr>
                <w:sz w:val="20"/>
                <w:szCs w:val="20"/>
                <w:color w:val="auto"/>
              </w:rPr>
            </w:pPr>
            <w:r>
              <w:rPr>
                <w:rFonts w:ascii="Arial" w:cs="Arial" w:eastAsia="Arial" w:hAnsi="Arial"/>
                <w:sz w:val="18"/>
                <w:szCs w:val="18"/>
                <w:color w:val="auto"/>
                <w:w w:val="90"/>
              </w:rPr>
              <w:t>To approve the 2002 Restricted Stock Plan, as amended and restated.</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0"/>
        </w:trPr>
        <w:tc>
          <w:tcPr>
            <w:tcW w:w="1160" w:type="dxa"/>
            <w:vAlign w:val="bottom"/>
          </w:tcPr>
          <w:p>
            <w:pPr>
              <w:spacing w:after="0"/>
              <w:rPr>
                <w:sz w:val="24"/>
                <w:szCs w:val="24"/>
                <w:color w:val="auto"/>
              </w:rPr>
            </w:pPr>
          </w:p>
        </w:tc>
        <w:tc>
          <w:tcPr>
            <w:tcW w:w="3960" w:type="dxa"/>
            <w:vAlign w:val="bottom"/>
            <w:gridSpan w:val="7"/>
          </w:tcPr>
          <w:p>
            <w:pPr>
              <w:jc w:val="center"/>
              <w:ind w:right="2060"/>
              <w:spacing w:after="0"/>
              <w:rPr>
                <w:sz w:val="20"/>
                <w:szCs w:val="20"/>
                <w:color w:val="auto"/>
              </w:rPr>
            </w:pPr>
            <w:r>
              <w:rPr>
                <w:rFonts w:ascii="Arial" w:cs="Arial" w:eastAsia="Arial" w:hAnsi="Arial"/>
                <w:sz w:val="14"/>
                <w:szCs w:val="14"/>
                <w:b w:val="1"/>
                <w:bCs w:val="1"/>
                <w:color w:val="auto"/>
                <w:w w:val="97"/>
              </w:rPr>
              <w:t>For</w:t>
            </w:r>
          </w:p>
        </w:tc>
        <w:tc>
          <w:tcPr>
            <w:tcW w:w="3580" w:type="dxa"/>
            <w:vAlign w:val="bottom"/>
            <w:gridSpan w:val="5"/>
          </w:tcPr>
          <w:p>
            <w:pPr>
              <w:ind w:left="600"/>
              <w:spacing w:after="0"/>
              <w:rPr>
                <w:sz w:val="20"/>
                <w:szCs w:val="20"/>
                <w:color w:val="auto"/>
              </w:rPr>
            </w:pPr>
            <w:r>
              <w:rPr>
                <w:rFonts w:ascii="Arial" w:cs="Arial" w:eastAsia="Arial" w:hAnsi="Arial"/>
                <w:sz w:val="14"/>
                <w:szCs w:val="14"/>
                <w:b w:val="1"/>
                <w:bCs w:val="1"/>
                <w:color w:val="auto"/>
              </w:rPr>
              <w:t>Against</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114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r>
      <w:tr>
        <w:trPr>
          <w:trHeight w:val="319"/>
        </w:trPr>
        <w:tc>
          <w:tcPr>
            <w:tcW w:w="280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338,749,067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ind w:left="440"/>
              <w:spacing w:after="0"/>
              <w:rPr>
                <w:sz w:val="20"/>
                <w:szCs w:val="20"/>
                <w:color w:val="auto"/>
              </w:rPr>
            </w:pPr>
            <w:r>
              <w:rPr>
                <w:rFonts w:ascii="Arial" w:cs="Arial" w:eastAsia="Arial" w:hAnsi="Arial"/>
                <w:sz w:val="18"/>
                <w:szCs w:val="18"/>
                <w:color w:val="auto"/>
              </w:rPr>
              <w:t>10,921,739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3,136,755</w:t>
            </w:r>
          </w:p>
        </w:tc>
        <w:tc>
          <w:tcPr>
            <w:tcW w:w="1140" w:type="dxa"/>
            <w:vAlign w:val="bottom"/>
          </w:tcPr>
          <w:p>
            <w:pPr>
              <w:spacing w:after="0"/>
              <w:rPr>
                <w:sz w:val="24"/>
                <w:szCs w:val="24"/>
                <w:color w:val="auto"/>
              </w:rPr>
            </w:pPr>
          </w:p>
        </w:tc>
      </w:tr>
      <w:tr>
        <w:trPr>
          <w:trHeight w:val="432"/>
        </w:trPr>
        <w:tc>
          <w:tcPr>
            <w:tcW w:w="5120" w:type="dxa"/>
            <w:vAlign w:val="bottom"/>
            <w:gridSpan w:val="8"/>
          </w:tcPr>
          <w:p>
            <w:pPr>
              <w:spacing w:after="0"/>
              <w:rPr>
                <w:sz w:val="20"/>
                <w:szCs w:val="20"/>
                <w:color w:val="auto"/>
              </w:rPr>
            </w:pPr>
            <w:r>
              <w:rPr>
                <w:rFonts w:ascii="Arial" w:cs="Arial" w:eastAsia="Arial" w:hAnsi="Arial"/>
                <w:sz w:val="18"/>
                <w:szCs w:val="18"/>
                <w:color w:val="auto"/>
                <w:w w:val="93"/>
              </w:rPr>
              <w:t>To approve a shareholder proposal to disclose political contributions.</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0"/>
        </w:trPr>
        <w:tc>
          <w:tcPr>
            <w:tcW w:w="1160" w:type="dxa"/>
            <w:vAlign w:val="bottom"/>
          </w:tcPr>
          <w:p>
            <w:pPr>
              <w:spacing w:after="0"/>
              <w:rPr>
                <w:sz w:val="24"/>
                <w:szCs w:val="24"/>
                <w:color w:val="auto"/>
              </w:rPr>
            </w:pPr>
          </w:p>
        </w:tc>
        <w:tc>
          <w:tcPr>
            <w:tcW w:w="3960" w:type="dxa"/>
            <w:vAlign w:val="bottom"/>
            <w:gridSpan w:val="7"/>
          </w:tcPr>
          <w:p>
            <w:pPr>
              <w:jc w:val="center"/>
              <w:ind w:right="2340"/>
              <w:spacing w:after="0"/>
              <w:rPr>
                <w:sz w:val="20"/>
                <w:szCs w:val="20"/>
                <w:color w:val="auto"/>
              </w:rPr>
            </w:pPr>
            <w:r>
              <w:rPr>
                <w:rFonts w:ascii="Arial" w:cs="Arial" w:eastAsia="Arial" w:hAnsi="Arial"/>
                <w:sz w:val="14"/>
                <w:szCs w:val="14"/>
                <w:b w:val="1"/>
                <w:bCs w:val="1"/>
                <w:color w:val="auto"/>
                <w:w w:val="97"/>
              </w:rPr>
              <w:t>For</w:t>
            </w:r>
          </w:p>
        </w:tc>
        <w:tc>
          <w:tcPr>
            <w:tcW w:w="3580" w:type="dxa"/>
            <w:vAlign w:val="bottom"/>
            <w:gridSpan w:val="5"/>
          </w:tcPr>
          <w:p>
            <w:pPr>
              <w:jc w:val="center"/>
              <w:ind w:right="2380"/>
              <w:spacing w:after="0"/>
              <w:rPr>
                <w:sz w:val="20"/>
                <w:szCs w:val="20"/>
                <w:color w:val="auto"/>
              </w:rPr>
            </w:pPr>
            <w:r>
              <w:rPr>
                <w:rFonts w:ascii="Arial" w:cs="Arial" w:eastAsia="Arial" w:hAnsi="Arial"/>
                <w:sz w:val="14"/>
                <w:szCs w:val="14"/>
                <w:b w:val="1"/>
                <w:bCs w:val="1"/>
                <w:color w:val="auto"/>
                <w:w w:val="85"/>
              </w:rPr>
              <w:t>Against</w:t>
            </w:r>
          </w:p>
        </w:tc>
        <w:tc>
          <w:tcPr>
            <w:tcW w:w="120" w:type="dxa"/>
            <w:vAlign w:val="bottom"/>
          </w:tcPr>
          <w:p>
            <w:pPr>
              <w:spacing w:after="0"/>
              <w:rPr>
                <w:sz w:val="24"/>
                <w:szCs w:val="24"/>
                <w:color w:val="auto"/>
              </w:rPr>
            </w:pPr>
          </w:p>
        </w:tc>
        <w:tc>
          <w:tcPr>
            <w:tcW w:w="1460" w:type="dxa"/>
            <w:vAlign w:val="bottom"/>
          </w:tcPr>
          <w:p>
            <w:pPr>
              <w:jc w:val="right"/>
              <w:ind w:right="532"/>
              <w:spacing w:after="0"/>
              <w:rPr>
                <w:sz w:val="20"/>
                <w:szCs w:val="20"/>
                <w:color w:val="auto"/>
              </w:rPr>
            </w:pPr>
            <w:r>
              <w:rPr>
                <w:rFonts w:ascii="Arial" w:cs="Arial" w:eastAsia="Arial" w:hAnsi="Arial"/>
                <w:sz w:val="14"/>
                <w:szCs w:val="14"/>
                <w:b w:val="1"/>
                <w:bCs w:val="1"/>
                <w:color w:val="auto"/>
              </w:rPr>
              <w:t>Abstain</w:t>
            </w:r>
          </w:p>
        </w:tc>
        <w:tc>
          <w:tcPr>
            <w:tcW w:w="114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gridSpan w:val="2"/>
          </w:tcPr>
          <w:p>
            <w:pPr>
              <w:spacing w:after="0"/>
              <w:rPr>
                <w:sz w:val="9"/>
                <w:szCs w:val="9"/>
                <w:color w:val="auto"/>
              </w:rPr>
            </w:pPr>
          </w:p>
        </w:tc>
        <w:tc>
          <w:tcPr>
            <w:tcW w:w="1140" w:type="dxa"/>
            <w:vAlign w:val="bottom"/>
          </w:tcPr>
          <w:p>
            <w:pPr>
              <w:spacing w:after="0"/>
              <w:rPr>
                <w:sz w:val="9"/>
                <w:szCs w:val="9"/>
                <w:color w:val="auto"/>
              </w:rPr>
            </w:pPr>
          </w:p>
        </w:tc>
      </w:tr>
      <w:tr>
        <w:trPr>
          <w:trHeight w:val="319"/>
        </w:trPr>
        <w:tc>
          <w:tcPr>
            <w:tcW w:w="2800" w:type="dxa"/>
            <w:vAlign w:val="bottom"/>
            <w:gridSpan w:val="2"/>
          </w:tcPr>
          <w:p>
            <w:pPr>
              <w:jc w:val="right"/>
              <w:ind w:right="372"/>
              <w:spacing w:after="0"/>
              <w:rPr>
                <w:sz w:val="20"/>
                <w:szCs w:val="20"/>
                <w:color w:val="auto"/>
              </w:rPr>
            </w:pPr>
            <w:r>
              <w:rPr>
                <w:rFonts w:ascii="Arial" w:cs="Arial" w:eastAsia="Arial" w:hAnsi="Arial"/>
                <w:sz w:val="18"/>
                <w:szCs w:val="18"/>
                <w:color w:val="auto"/>
              </w:rPr>
              <w:t>12,521,943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ind w:right="261"/>
              <w:spacing w:after="0"/>
              <w:rPr>
                <w:sz w:val="20"/>
                <w:szCs w:val="20"/>
                <w:color w:val="auto"/>
              </w:rPr>
            </w:pPr>
            <w:r>
              <w:rPr>
                <w:rFonts w:ascii="Arial" w:cs="Arial" w:eastAsia="Arial" w:hAnsi="Arial"/>
                <w:sz w:val="18"/>
                <w:szCs w:val="18"/>
                <w:color w:val="auto"/>
                <w:w w:val="87"/>
              </w:rPr>
              <w:t>319,788,935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2"/>
          </w:tcPr>
          <w:p>
            <w:pPr>
              <w:jc w:val="right"/>
              <w:ind w:right="352"/>
              <w:spacing w:after="0"/>
              <w:rPr>
                <w:sz w:val="20"/>
                <w:szCs w:val="20"/>
                <w:color w:val="auto"/>
              </w:rPr>
            </w:pPr>
            <w:r>
              <w:rPr>
                <w:rFonts w:ascii="Arial" w:cs="Arial" w:eastAsia="Arial" w:hAnsi="Arial"/>
                <w:sz w:val="18"/>
                <w:szCs w:val="18"/>
                <w:color w:val="auto"/>
              </w:rPr>
              <w:t>20,496,683</w:t>
            </w:r>
          </w:p>
        </w:tc>
        <w:tc>
          <w:tcPr>
            <w:tcW w:w="1140" w:type="dxa"/>
            <w:vAlign w:val="bottom"/>
          </w:tcPr>
          <w:p>
            <w:pPr>
              <w:spacing w:after="0"/>
              <w:rPr>
                <w:sz w:val="24"/>
                <w:szCs w:val="24"/>
                <w:color w:val="auto"/>
              </w:rPr>
            </w:pPr>
          </w:p>
        </w:tc>
      </w:tr>
      <w:tr>
        <w:trPr>
          <w:trHeight w:val="432"/>
        </w:trPr>
        <w:tc>
          <w:tcPr>
            <w:tcW w:w="8700" w:type="dxa"/>
            <w:vAlign w:val="bottom"/>
            <w:gridSpan w:val="13"/>
          </w:tcPr>
          <w:p>
            <w:pPr>
              <w:spacing w:after="0"/>
              <w:rPr>
                <w:sz w:val="20"/>
                <w:szCs w:val="20"/>
                <w:color w:val="auto"/>
              </w:rPr>
            </w:pPr>
            <w:r>
              <w:rPr>
                <w:rFonts w:ascii="Arial" w:cs="Arial" w:eastAsia="Arial" w:hAnsi="Arial"/>
                <w:sz w:val="18"/>
                <w:szCs w:val="18"/>
                <w:color w:val="auto"/>
                <w:w w:val="95"/>
              </w:rPr>
              <w:t>To approve a shareholder proposal to require that the Chairman of the Board not have managerial responsibilities.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0"/>
        </w:trPr>
        <w:tc>
          <w:tcPr>
            <w:tcW w:w="1160" w:type="dxa"/>
            <w:vAlign w:val="bottom"/>
          </w:tcPr>
          <w:p>
            <w:pPr>
              <w:spacing w:after="0"/>
              <w:rPr>
                <w:sz w:val="24"/>
                <w:szCs w:val="24"/>
                <w:color w:val="auto"/>
              </w:rPr>
            </w:pPr>
          </w:p>
        </w:tc>
        <w:tc>
          <w:tcPr>
            <w:tcW w:w="3960" w:type="dxa"/>
            <w:vAlign w:val="bottom"/>
            <w:gridSpan w:val="7"/>
          </w:tcPr>
          <w:p>
            <w:pPr>
              <w:jc w:val="center"/>
              <w:ind w:right="2240"/>
              <w:spacing w:after="0"/>
              <w:rPr>
                <w:sz w:val="20"/>
                <w:szCs w:val="20"/>
                <w:color w:val="auto"/>
              </w:rPr>
            </w:pPr>
            <w:r>
              <w:rPr>
                <w:rFonts w:ascii="Arial" w:cs="Arial" w:eastAsia="Arial" w:hAnsi="Arial"/>
                <w:sz w:val="14"/>
                <w:szCs w:val="14"/>
                <w:b w:val="1"/>
                <w:bCs w:val="1"/>
                <w:color w:val="auto"/>
                <w:w w:val="88"/>
              </w:rPr>
              <w:t>For</w:t>
            </w:r>
          </w:p>
        </w:tc>
        <w:tc>
          <w:tcPr>
            <w:tcW w:w="3580" w:type="dxa"/>
            <w:vAlign w:val="bottom"/>
            <w:gridSpan w:val="5"/>
          </w:tcPr>
          <w:p>
            <w:pPr>
              <w:jc w:val="center"/>
              <w:ind w:right="2100"/>
              <w:spacing w:after="0"/>
              <w:rPr>
                <w:sz w:val="20"/>
                <w:szCs w:val="20"/>
                <w:color w:val="auto"/>
              </w:rPr>
            </w:pPr>
            <w:r>
              <w:rPr>
                <w:rFonts w:ascii="Arial" w:cs="Arial" w:eastAsia="Arial" w:hAnsi="Arial"/>
                <w:sz w:val="14"/>
                <w:szCs w:val="14"/>
                <w:b w:val="1"/>
                <w:bCs w:val="1"/>
                <w:color w:val="auto"/>
                <w:w w:val="85"/>
              </w:rPr>
              <w:t>Against</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114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r>
      <w:tr>
        <w:trPr>
          <w:trHeight w:val="319"/>
        </w:trPr>
        <w:tc>
          <w:tcPr>
            <w:tcW w:w="2800" w:type="dxa"/>
            <w:vAlign w:val="bottom"/>
            <w:gridSpan w:val="2"/>
          </w:tcPr>
          <w:p>
            <w:pPr>
              <w:jc w:val="right"/>
              <w:ind w:right="312"/>
              <w:spacing w:after="0"/>
              <w:rPr>
                <w:sz w:val="20"/>
                <w:szCs w:val="20"/>
                <w:color w:val="auto"/>
              </w:rPr>
            </w:pPr>
            <w:r>
              <w:rPr>
                <w:rFonts w:ascii="Arial" w:cs="Arial" w:eastAsia="Arial" w:hAnsi="Arial"/>
                <w:sz w:val="18"/>
                <w:szCs w:val="18"/>
                <w:color w:val="auto"/>
              </w:rPr>
              <w:t>58,293,821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ind w:right="281"/>
              <w:spacing w:after="0"/>
              <w:rPr>
                <w:sz w:val="20"/>
                <w:szCs w:val="20"/>
                <w:color w:val="auto"/>
              </w:rPr>
            </w:pPr>
            <w:r>
              <w:rPr>
                <w:rFonts w:ascii="Arial" w:cs="Arial" w:eastAsia="Arial" w:hAnsi="Arial"/>
                <w:sz w:val="18"/>
                <w:szCs w:val="18"/>
                <w:color w:val="auto"/>
              </w:rPr>
              <w:t>291,197,239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3,316,500</w:t>
            </w:r>
          </w:p>
        </w:tc>
        <w:tc>
          <w:tcPr>
            <w:tcW w:w="11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ind w:right="281"/>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-3041650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-3041650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-3041650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-3041650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-3041650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-3041650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-2244090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-2244090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-2244090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-2244090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-2244090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-2244090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-1446530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-1446530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-1446530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-1446530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-1446530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-1446530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-648970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-648970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-648970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-648970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-648970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-648970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center"/>
        <w:ind w:right="-9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QUARTER ENDED JUNE 30,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approve a shareholder proposal to eliminate a shareholder rights plan unless shareholder approval is received.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84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7"/>
              </w:rPr>
              <w:t>For</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20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r>
      <w:tr>
        <w:trPr>
          <w:trHeight w:val="105"/>
        </w:trPr>
        <w:tc>
          <w:tcPr>
            <w:tcW w:w="116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r>
        <w:trPr>
          <w:trHeight w:val="319"/>
        </w:trPr>
        <w:tc>
          <w:tcPr>
            <w:tcW w:w="3000" w:type="dxa"/>
            <w:vAlign w:val="bottom"/>
            <w:gridSpan w:val="2"/>
          </w:tcPr>
          <w:p>
            <w:pPr>
              <w:jc w:val="center"/>
              <w:ind w:left="1032"/>
              <w:spacing w:after="0"/>
              <w:rPr>
                <w:sz w:val="20"/>
                <w:szCs w:val="20"/>
                <w:color w:val="auto"/>
              </w:rPr>
            </w:pPr>
            <w:r>
              <w:rPr>
                <w:rFonts w:ascii="Arial" w:cs="Arial" w:eastAsia="Arial" w:hAnsi="Arial"/>
                <w:sz w:val="18"/>
                <w:szCs w:val="18"/>
                <w:color w:val="auto"/>
                <w:w w:val="87"/>
              </w:rPr>
              <w:t>149,662,749</w:t>
            </w:r>
          </w:p>
        </w:tc>
        <w:tc>
          <w:tcPr>
            <w:tcW w:w="20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199,700,214</w:t>
            </w:r>
          </w:p>
        </w:tc>
        <w:tc>
          <w:tcPr>
            <w:tcW w:w="3460" w:type="dxa"/>
            <w:vAlign w:val="bottom"/>
            <w:gridSpan w:val="2"/>
          </w:tcPr>
          <w:p>
            <w:pPr>
              <w:jc w:val="center"/>
              <w:ind w:left="1912"/>
              <w:spacing w:after="0"/>
              <w:rPr>
                <w:sz w:val="20"/>
                <w:szCs w:val="20"/>
                <w:color w:val="auto"/>
              </w:rPr>
            </w:pPr>
            <w:r>
              <w:rPr>
                <w:rFonts w:ascii="Arial" w:cs="Arial" w:eastAsia="Arial" w:hAnsi="Arial"/>
                <w:sz w:val="18"/>
                <w:szCs w:val="18"/>
                <w:color w:val="auto"/>
                <w:w w:val="87"/>
              </w:rPr>
              <w:t>3,444,598</w:t>
            </w: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color w:val="auto"/>
                <w:w w:val="93"/>
              </w:rPr>
              <w:t>To approve a shareholder proposal to adopt a recapitalization plan.</w:t>
            </w:r>
          </w:p>
        </w:tc>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80"/>
        </w:trPr>
        <w:tc>
          <w:tcPr>
            <w:tcW w:w="1160" w:type="dxa"/>
            <w:vAlign w:val="bottom"/>
          </w:tcPr>
          <w:p>
            <w:pPr>
              <w:spacing w:after="0"/>
              <w:rPr>
                <w:sz w:val="24"/>
                <w:szCs w:val="24"/>
                <w:color w:val="auto"/>
              </w:rPr>
            </w:pPr>
          </w:p>
        </w:tc>
        <w:tc>
          <w:tcPr>
            <w:tcW w:w="384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7"/>
              </w:rPr>
              <w:t>For</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20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r>
      <w:tr>
        <w:trPr>
          <w:trHeight w:val="105"/>
        </w:trPr>
        <w:tc>
          <w:tcPr>
            <w:tcW w:w="116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r>
        <w:trPr>
          <w:trHeight w:val="319"/>
        </w:trPr>
        <w:tc>
          <w:tcPr>
            <w:tcW w:w="3000" w:type="dxa"/>
            <w:vAlign w:val="bottom"/>
            <w:gridSpan w:val="2"/>
          </w:tcPr>
          <w:p>
            <w:pPr>
              <w:jc w:val="center"/>
              <w:ind w:left="1052"/>
              <w:spacing w:after="0"/>
              <w:rPr>
                <w:sz w:val="20"/>
                <w:szCs w:val="20"/>
                <w:color w:val="auto"/>
              </w:rPr>
            </w:pPr>
            <w:r>
              <w:rPr>
                <w:rFonts w:ascii="Arial" w:cs="Arial" w:eastAsia="Arial" w:hAnsi="Arial"/>
                <w:sz w:val="18"/>
                <w:szCs w:val="18"/>
                <w:color w:val="auto"/>
                <w:w w:val="85"/>
              </w:rPr>
              <w:t>119,332,615</w:t>
            </w:r>
          </w:p>
        </w:tc>
        <w:tc>
          <w:tcPr>
            <w:tcW w:w="20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229,691,744</w:t>
            </w:r>
          </w:p>
        </w:tc>
        <w:tc>
          <w:tcPr>
            <w:tcW w:w="3460" w:type="dxa"/>
            <w:vAlign w:val="bottom"/>
            <w:gridSpan w:val="2"/>
          </w:tcPr>
          <w:p>
            <w:pPr>
              <w:jc w:val="center"/>
              <w:ind w:left="1912"/>
              <w:spacing w:after="0"/>
              <w:rPr>
                <w:sz w:val="20"/>
                <w:szCs w:val="20"/>
                <w:color w:val="auto"/>
              </w:rPr>
            </w:pPr>
            <w:r>
              <w:rPr>
                <w:rFonts w:ascii="Arial" w:cs="Arial" w:eastAsia="Arial" w:hAnsi="Arial"/>
                <w:sz w:val="18"/>
                <w:szCs w:val="18"/>
                <w:color w:val="auto"/>
                <w:w w:val="87"/>
              </w:rPr>
              <w:t>3,783,202</w:t>
            </w:r>
          </w:p>
        </w:tc>
      </w:tr>
      <w:tr>
        <w:trPr>
          <w:trHeight w:val="648"/>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color w:val="auto"/>
              </w:rPr>
              <w:t>(a)</w:t>
            </w:r>
          </w:p>
        </w:tc>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-1700530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-1700530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-1700530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-1700530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-1700530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-1700530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-902970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-902970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-902970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-902970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-902970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-902970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302 of the Sarbanes-Oxley Act of 2002.</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906 of the Sarbanes-Oxley Act of 2002.</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125" w:right="1139" w:bottom="1440" w:gutter="0" w:footer="0" w:header="0"/>
        </w:sectPr>
      </w:pPr>
    </w:p>
    <w:bookmarkStart w:id="41" w:name="page42"/>
    <w:bookmarkEnd w:id="41"/>
    <w:p>
      <w:pPr>
        <w:jc w:val="center"/>
        <w:ind w:right="-4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QUARTER ENDED JUNE 30, 2005</w:t>
      </w: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2005</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368" w:right="659"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1176020</wp:posOffset>
            </wp:positionV>
            <wp:extent cx="7250430" cy="215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I. FINANCIAL STATEMENTS</w:t>
        </w:r>
      </w:hyperlink>
    </w:p>
    <w:p>
      <w:pPr>
        <w:spacing w:after="0" w:line="219" w:lineRule="exact"/>
        <w:rPr>
          <w:sz w:val="20"/>
          <w:szCs w:val="20"/>
          <w:color w:val="auto"/>
        </w:rPr>
      </w:pPr>
    </w:p>
    <w:p>
      <w:pPr>
        <w:spacing w:after="0" w:line="254"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COMCAST CORPORATION AND SUBSIDIARIES FORM 10-Q QUARTER ENDED JUNE 30, 2005 CONDENSED CONSOLIDATED STATEMENT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OPERATIONS (Unaudited)</w:t>
        </w:r>
      </w:hyperlink>
    </w:p>
    <w:p>
      <w:pPr>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COMCAST CORPORATION AND SUBSIDIARIES FORM 10-Q QUARTER ENDED JUNE 30, 2005 CONDENSED CONSOLIDATED STATEMENT OF</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CASH FLOWS (Unaudited)</w:t>
        </w:r>
      </w:hyperlink>
    </w:p>
    <w:p>
      <w:pPr>
        <w:spacing w:after="0" w:line="1" w:lineRule="exact"/>
        <w:rPr>
          <w:sz w:val="20"/>
          <w:szCs w:val="20"/>
          <w:color w:val="auto"/>
        </w:rPr>
      </w:pPr>
    </w:p>
    <w:p>
      <w:pPr>
        <w:ind w:right="440"/>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COMCAST CORPORATION AND SUBSIDIARIES FORM 10-Q QUARTER ENDED JUNE 30, 2005 NOTES TO CONDENSED CONSOLIDATED</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FINANCIAL STATEMENTS (Unaudited)</w:t>
        </w:r>
      </w:hyperlink>
    </w:p>
    <w:p>
      <w:pPr>
        <w:spacing w:after="0" w:line="1" w:lineRule="exact"/>
        <w:rPr>
          <w:sz w:val="20"/>
          <w:szCs w:val="20"/>
          <w:color w:val="auto"/>
        </w:rPr>
      </w:pPr>
    </w:p>
    <w:p>
      <w:pPr>
        <w:ind w:right="2960"/>
        <w:spacing w:after="0" w:line="320" w:lineRule="auto"/>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Comcast Corporation Condensed Consolidating Statement of Operations For the Three Months Ended June 30, 2005</w:t>
        </w:r>
      </w:hyperlink>
      <w:r>
        <w:rPr>
          <w:rFonts w:ascii="Arial" w:cs="Arial" w:eastAsia="Arial" w:hAnsi="Arial"/>
          <w:sz w:val="15"/>
          <w:szCs w:val="15"/>
          <w:u w:val="single" w:color="auto"/>
          <w:color w:val="0000EE"/>
        </w:rPr>
        <w:t xml:space="preserve"> </w:t>
      </w:r>
      <w:hyperlink w:anchor="page25">
        <w:r>
          <w:rPr>
            <w:rFonts w:ascii="Arial" w:cs="Arial" w:eastAsia="Arial" w:hAnsi="Arial"/>
            <w:sz w:val="15"/>
            <w:szCs w:val="15"/>
            <w:u w:val="single" w:color="auto"/>
            <w:color w:val="0000EE"/>
          </w:rPr>
          <w:t>Comcast Corporation Condensed Consolidating Statement of Operations For the Three Months Ended June 30, 2004</w:t>
        </w:r>
      </w:hyperlink>
      <w:r>
        <w:rPr>
          <w:rFonts w:ascii="Arial" w:cs="Arial" w:eastAsia="Arial" w:hAnsi="Arial"/>
          <w:sz w:val="15"/>
          <w:szCs w:val="15"/>
          <w:u w:val="single" w:color="auto"/>
          <w:color w:val="0000EE"/>
        </w:rPr>
        <w:t xml:space="preserve"> </w:t>
      </w:r>
      <w:hyperlink w:anchor="page26">
        <w:r>
          <w:rPr>
            <w:rFonts w:ascii="Arial" w:cs="Arial" w:eastAsia="Arial" w:hAnsi="Arial"/>
            <w:sz w:val="15"/>
            <w:szCs w:val="15"/>
            <w:u w:val="single" w:color="auto"/>
            <w:color w:val="0000EE"/>
          </w:rPr>
          <w:t>Comcast Corporation Condensed Consolidating Statement of Operations For the Six Months Ended June 30, 2005</w:t>
        </w:r>
      </w:hyperlink>
      <w:r>
        <w:rPr>
          <w:rFonts w:ascii="Arial" w:cs="Arial" w:eastAsia="Arial" w:hAnsi="Arial"/>
          <w:sz w:val="15"/>
          <w:szCs w:val="15"/>
          <w:u w:val="single" w:color="auto"/>
          <w:color w:val="0000EE"/>
        </w:rPr>
        <w:t xml:space="preserve"> </w:t>
      </w:r>
      <w:hyperlink w:anchor="page27">
        <w:r>
          <w:rPr>
            <w:rFonts w:ascii="Arial" w:cs="Arial" w:eastAsia="Arial" w:hAnsi="Arial"/>
            <w:sz w:val="15"/>
            <w:szCs w:val="15"/>
            <w:u w:val="single" w:color="auto"/>
            <w:color w:val="0000EE"/>
          </w:rPr>
          <w:t>Comcast Corporation Condensed Consolidating Statement of Operations For the Six Months Ended June 30, 2004</w:t>
        </w:r>
      </w:hyperlink>
    </w:p>
    <w:p>
      <w:pPr>
        <w:spacing w:after="0" w:line="154" w:lineRule="exact"/>
        <w:rPr>
          <w:rFonts w:ascii="Arial" w:cs="Arial" w:eastAsia="Arial" w:hAnsi="Arial"/>
          <w:sz w:val="15"/>
          <w:szCs w:val="15"/>
          <w:u w:val="single" w:color="auto"/>
          <w:color w:val="0000EE"/>
        </w:rPr>
      </w:pPr>
    </w:p>
    <w:p>
      <w:pPr>
        <w:ind w:left="540" w:right="1320"/>
        <w:spacing w:after="0" w:line="259" w:lineRule="auto"/>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4. CONTROLS AND PROCEDURES</w:t>
        </w:r>
      </w:hyperlink>
    </w:p>
    <w:p>
      <w:pPr>
        <w:spacing w:after="0" w:line="194"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 OTHER INFORMATION</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 LEGAL PROCEEDINGS</w:t>
        </w:r>
      </w:hyperlink>
    </w:p>
    <w:p>
      <w:pPr>
        <w:spacing w:after="0" w:line="1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2. UNREGISTERED SALES OF EQUITY SECURITIES AND USE OF PROCEEDS</w:t>
        </w:r>
      </w:hyperlink>
    </w:p>
    <w:p>
      <w:pPr>
        <w:spacing w:after="0" w:line="2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PURCHASES OF EQUITY SECURITIES</w:t>
        </w:r>
      </w:hyperlink>
    </w:p>
    <w:p>
      <w:pPr>
        <w:spacing w:after="0" w:line="225" w:lineRule="exact"/>
        <w:rPr>
          <w:rFonts w:ascii="Arial" w:cs="Arial" w:eastAsia="Arial" w:hAnsi="Arial"/>
          <w:sz w:val="18"/>
          <w:szCs w:val="18"/>
          <w:u w:val="single" w:color="auto"/>
          <w:color w:val="0000EE"/>
        </w:rPr>
      </w:pPr>
    </w:p>
    <w:p>
      <w:pPr>
        <w:ind w:left="540" w:right="4820"/>
        <w:spacing w:after="0" w:line="268"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4. SUBMISSION OF MATTERS TO A VOTE OF SECURITY HOLDERS</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6. EXHIBITS</w:t>
        </w:r>
      </w:hyperlink>
    </w:p>
    <w:p>
      <w:pPr>
        <w:spacing w:after="0" w:line="186"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p>
      <w:pPr>
        <w:sectPr>
          <w:pgSz w:w="11900" w:h="16838" w:orient="portrait"/>
          <w:cols w:equalWidth="0" w:num="1">
            <w:col w:w="11180"/>
          </w:cols>
          <w:pgMar w:left="240" w:top="820" w:right="479" w:bottom="1440" w:gutter="0" w:footer="0" w:header="0"/>
        </w:sectPr>
      </w:pPr>
    </w:p>
    <w:bookmarkStart w:id="44" w:name="page45"/>
    <w:bookmarkEnd w:id="44"/>
    <w:p>
      <w:pPr>
        <w:spacing w:after="0"/>
        <w:rPr>
          <w:rFonts w:ascii="Arial" w:cs="Arial" w:eastAsia="Arial" w:hAnsi="Arial"/>
          <w:sz w:val="22"/>
          <w:szCs w:val="22"/>
          <w:color w:val="0000EE"/>
        </w:rPr>
      </w:pPr>
      <w:hyperlink w:anchor="page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31</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23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 Lawrence S. Smith, certify that:</w:t>
      </w:r>
    </w:p>
    <w:p>
      <w:pPr>
        <w:spacing w:after="0" w:line="23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 John R. Alchin, certify that:</w:t>
      </w:r>
    </w:p>
    <w:p>
      <w:pPr>
        <w:spacing w:after="0" w:line="23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 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48" w:name="page49"/>
    <w:bookmarkEnd w:id="48"/>
    <w:p>
      <w:pPr>
        <w:spacing w:after="0"/>
        <w:rPr>
          <w:rFonts w:ascii="Arial" w:cs="Arial" w:eastAsia="Arial" w:hAnsi="Arial"/>
          <w:sz w:val="22"/>
          <w:szCs w:val="22"/>
          <w:color w:val="0000EE"/>
        </w:rPr>
      </w:pPr>
      <w:hyperlink w:anchor="page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32</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 the Sarbanes-Oxley Act</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Brian L. Roberts, the Chief Executive Officer, Lawrence S. Smith, the Co-Chief Financial Officer and John R. Alchin, the Co-Chief Financial Officer of Comcast Corporation, each certifies that, to the best of his knowledge:</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Co-Chief Financial Officer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Certification Pursuant to Section 906 of the Sarbanes-Oxley Act</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2"/>
    </w:lvl>
    <w:lvl w:ilvl="1">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3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2019-12-15T06:10:46Z</dcterms:created>
  <dcterms:modified xsi:type="dcterms:W3CDTF">2019-12-15T06:10:46Z</dcterms:modified>
</cp:coreProperties>
</file>