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11-K</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4"/>
          <w:szCs w:val="24"/>
          <w:color w:val="auto"/>
        </w:rPr>
      </w:pPr>
    </w:p>
    <w:p>
      <w:pPr>
        <w:jc w:val="right"/>
        <w:ind w:right="5399"/>
        <w:spacing w:after="0"/>
        <w:rPr>
          <w:sz w:val="20"/>
          <w:szCs w:val="20"/>
          <w:color w:val="auto"/>
        </w:rPr>
      </w:pPr>
      <w:r>
        <w:rPr>
          <w:rFonts w:ascii="Courier New" w:cs="Courier New" w:eastAsia="Courier New" w:hAnsi="Courier New"/>
          <w:sz w:val="14"/>
          <w:szCs w:val="14"/>
          <w:color w:val="auto"/>
        </w:rPr>
        <w:t>Pursuant to Section 15(d) of the</w:t>
      </w:r>
    </w:p>
    <w:p>
      <w:pPr>
        <w:spacing w:after="0" w:line="7" w:lineRule="exact"/>
        <w:rPr>
          <w:sz w:val="24"/>
          <w:szCs w:val="24"/>
          <w:color w:val="auto"/>
        </w:rPr>
      </w:pPr>
    </w:p>
    <w:p>
      <w:pPr>
        <w:jc w:val="right"/>
        <w:ind w:right="5399"/>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[GRAPHIC OMITTED]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1560" w:right="3519" w:hanging="949"/>
        <w:spacing w:after="0" w:line="252" w:lineRule="auto"/>
        <w:tabs>
          <w:tab w:leader="none" w:pos="15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15(d) OF THE SECURITIES EXCHANGE ACT OF 1934. For the fiscal year ended December 31, 2002.</w:t>
      </w:r>
    </w:p>
    <w:p>
      <w:pPr>
        <w:spacing w:after="0" w:line="16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TRANSITION REPORT PURSUANT TO SECTION 15(d) OF THE</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For the transition period from _________ to ________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000-50093</w:t>
      </w:r>
    </w:p>
    <w:p>
      <w:pPr>
        <w:spacing w:after="0" w:line="173" w:lineRule="exact"/>
        <w:rPr>
          <w:sz w:val="24"/>
          <w:szCs w:val="24"/>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A. Full title of the plan and the address of the plan, if different from that of the issuer named below:</w:t>
      </w:r>
    </w:p>
    <w:p>
      <w:pPr>
        <w:spacing w:after="0" w:line="160"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THE COMCAST CORPORATION RETIREMENT-INVESTMENT PLAN</w:t>
      </w:r>
    </w:p>
    <w:p>
      <w:pPr>
        <w:spacing w:after="0" w:line="173" w:lineRule="exact"/>
        <w:rPr>
          <w:sz w:val="24"/>
          <w:szCs w:val="24"/>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B. Name of issuer of the securities held pursuant to the plan and the address of its principal executive office:</w:t>
      </w:r>
    </w:p>
    <w:p>
      <w:pPr>
        <w:spacing w:after="0" w:line="160"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COMCAST CORPORATION RETIREMENT-</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INVESTMENT PLAN</w:t>
      </w: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Financial Statements as of December 31, 2002 and 2001</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and for each of the Three Years in the Period Ended</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December 31, 2002; Supplemental Schedule as of December</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31, 2002; and Independent Auditors' Report</w:t>
      </w:r>
    </w:p>
    <w:p>
      <w:pPr>
        <w:sectPr>
          <w:pgSz w:w="11900" w:h="16838" w:orient="portrait"/>
          <w:cols w:equalWidth="0" w:num="1">
            <w:col w:w="10239"/>
          </w:cols>
          <w:pgMar w:left="220" w:top="230" w:right="1440" w:bottom="1440" w:gutter="0" w:footer="0" w:header="0"/>
        </w:sectPr>
      </w:pPr>
    </w:p>
    <w:bookmarkStart w:id="1" w:name="page2"/>
    <w:bookmarkEnd w:id="1"/>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7"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TABLE OF CONTENTS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5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020" w:type="dxa"/>
            <w:vAlign w:val="bottom"/>
            <w:gridSpan w:val="2"/>
          </w:tcPr>
          <w:p>
            <w:pPr>
              <w:spacing w:after="0"/>
              <w:rPr>
                <w:sz w:val="20"/>
                <w:szCs w:val="20"/>
                <w:color w:val="auto"/>
              </w:rPr>
            </w:pPr>
            <w:r>
              <w:rPr>
                <w:rFonts w:ascii="Courier New" w:cs="Courier New" w:eastAsia="Courier New" w:hAnsi="Courier New"/>
                <w:sz w:val="14"/>
                <w:szCs w:val="14"/>
                <w:color w:val="auto"/>
              </w:rPr>
              <w:t>INDEPENDENT AUDITORS' REPORT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1"/>
        </w:trPr>
        <w:tc>
          <w:tcPr>
            <w:tcW w:w="802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w:t>
            </w:r>
          </w:p>
        </w:tc>
        <w:tc>
          <w:tcPr>
            <w:tcW w:w="1200" w:type="dxa"/>
            <w:vAlign w:val="bottom"/>
          </w:tcPr>
          <w:p>
            <w:pPr>
              <w:spacing w:after="0"/>
              <w:rPr>
                <w:sz w:val="24"/>
                <w:szCs w:val="24"/>
                <w:color w:val="auto"/>
              </w:rPr>
            </w:pP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Statement of</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Net Assets Available for Benefits as of December 31, 2002 and 2001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Statement of</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Changes in Net Assets Available for Benefits for the Years Ended</w:t>
            </w:r>
          </w:p>
        </w:tc>
        <w:tc>
          <w:tcPr>
            <w:tcW w:w="1200" w:type="dxa"/>
            <w:vAlign w:val="bottom"/>
          </w:tcPr>
          <w:p>
            <w:pPr>
              <w:spacing w:after="0"/>
              <w:rPr>
                <w:sz w:val="24"/>
                <w:szCs w:val="2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31, 2002, 2001 and 2000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8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Notes to Financial Statements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w:t>
            </w:r>
          </w:p>
        </w:tc>
      </w:tr>
      <w:tr>
        <w:trPr>
          <w:trHeight w:val="331"/>
        </w:trPr>
        <w:tc>
          <w:tcPr>
            <w:tcW w:w="802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SCHEDULE:</w:t>
            </w:r>
          </w:p>
        </w:tc>
        <w:tc>
          <w:tcPr>
            <w:tcW w:w="1200" w:type="dxa"/>
            <w:vAlign w:val="bottom"/>
          </w:tcPr>
          <w:p>
            <w:pPr>
              <w:spacing w:after="0"/>
              <w:rPr>
                <w:sz w:val="24"/>
                <w:szCs w:val="24"/>
                <w:color w:val="auto"/>
              </w:rPr>
            </w:pP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Schedule H -</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Line 4i - Schedule of Assets Held for Investment Purposes as of</w:t>
            </w:r>
          </w:p>
        </w:tc>
        <w:tc>
          <w:tcPr>
            <w:tcW w:w="1200" w:type="dxa"/>
            <w:vAlign w:val="bottom"/>
          </w:tcPr>
          <w:p>
            <w:pPr>
              <w:spacing w:after="0"/>
              <w:rPr>
                <w:sz w:val="24"/>
                <w:szCs w:val="2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31, 2002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331"/>
        </w:trPr>
        <w:tc>
          <w:tcPr>
            <w:tcW w:w="8020" w:type="dxa"/>
            <w:vAlign w:val="bottom"/>
            <w:gridSpan w:val="2"/>
          </w:tcPr>
          <w:p>
            <w:pPr>
              <w:spacing w:after="0"/>
              <w:rPr>
                <w:sz w:val="20"/>
                <w:szCs w:val="20"/>
                <w:color w:val="auto"/>
              </w:rPr>
            </w:pPr>
            <w:r>
              <w:rPr>
                <w:rFonts w:ascii="Courier New" w:cs="Courier New" w:eastAsia="Courier New" w:hAnsi="Courier New"/>
                <w:sz w:val="14"/>
                <w:szCs w:val="14"/>
                <w:color w:val="auto"/>
              </w:rPr>
              <w:t>INDEPENDENT AUDITORS' CONSENT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65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Administrator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statement of net assets available for benefits of the Comcast Corporation Retirement-Investment Plan (the "Plan") as of December 31, 2002 and 2001, and the related statement of changes in net assets available for benefits for each of the three years in the period ended December 31, 2002. These financial statements are the responsibility of the Plan's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net assets available for benefits of the Plan as of December 31, 2002 and 2001, and the related changes in net assets available for benefits for each of the three years in the period ended December 31, 2002 in conformity with accounting principles generally accepted in the United States of America.</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 of Assets Held for Investment Purposes as of December 31, 2002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Such supplemental schedule has been subjected to the auditing procedures applied in our audit of the basic 2002 financial statements and, in our opinion, is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13, 2003</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127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7"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NET ASSETS AVAILABLE FOR BENEFITS DECEMBER 31, 2002 AND 2001</w:t>
      </w: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31,</w:t>
            </w:r>
          </w:p>
        </w:tc>
        <w:tc>
          <w:tcPr>
            <w:tcW w:w="94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2002</w:t>
            </w:r>
          </w:p>
        </w:tc>
        <w:tc>
          <w:tcPr>
            <w:tcW w:w="7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2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Cash</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52,712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1,171</w:t>
            </w: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Contributions receivable</w:t>
            </w:r>
          </w:p>
        </w:tc>
        <w:tc>
          <w:tcPr>
            <w:tcW w:w="9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2,033,782</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Investments, at fair or contract value</w:t>
            </w:r>
          </w:p>
        </w:tc>
        <w:tc>
          <w:tcPr>
            <w:tcW w:w="9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299,691,723</w:t>
            </w:r>
          </w:p>
        </w:tc>
        <w:tc>
          <w:tcPr>
            <w:tcW w:w="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325,997,666</w:t>
            </w:r>
          </w:p>
        </w:tc>
      </w:tr>
      <w:tr>
        <w:trPr>
          <w:trHeight w:val="166"/>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Loans receivable from participants</w:t>
            </w:r>
          </w:p>
        </w:tc>
        <w:tc>
          <w:tcPr>
            <w:tcW w:w="9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12,220,704</w:t>
            </w:r>
          </w:p>
        </w:tc>
        <w:tc>
          <w:tcPr>
            <w:tcW w:w="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10,308,475</w:t>
            </w:r>
          </w:p>
        </w:tc>
      </w:tr>
      <w:tr>
        <w:trPr>
          <w:trHeight w:val="166"/>
        </w:trPr>
        <w:tc>
          <w:tcPr>
            <w:tcW w:w="42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$313,998,921</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$336,307,312</w:t>
            </w:r>
          </w:p>
        </w:tc>
      </w:tr>
      <w:tr>
        <w:trPr>
          <w:trHeight w:val="166"/>
        </w:trPr>
        <w:tc>
          <w:tcPr>
            <w:tcW w:w="422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27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6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CHANGES IN NET ASSETS AVAILABLE FOR BENEFITS YEARS ENDED DECEMBER 31, 2002, 2001 AND 2000</w:t>
      </w: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78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Years Ended December 31,</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(DEDUCTIONS) ADDITIONS TO NET ASSETS ATTRIBUTED TO:</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Net realized and unrealized depreciation</w:t>
            </w: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in fair value of investments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 (72,611,546)</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(41,201,054)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(52,351,113)</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Interest and dividends</w:t>
            </w: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6,742,113</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7,045,383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14,403,290</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(65,869,433)</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(34,155,671)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(37,947,823)</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Contributions:</w:t>
            </w: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Employee</w:t>
            </w: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39,937,246</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43,818,758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26,802,014</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Employer</w:t>
            </w: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20,237,934</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16,126,286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10,145,463</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Rollovers from merged plans (Note 2)</w:t>
            </w: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12,199,220</w:t>
            </w:r>
          </w:p>
        </w:tc>
        <w:tc>
          <w:tcPr>
            <w:tcW w:w="15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17,298,499</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72,374,400</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59,945,044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54,245,976</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4"/>
                <w:szCs w:val="2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6,504,967</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25,789,373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16,298,153</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DEDUCTIONS FROM NET ASSETS ATTRIBUTED TO:</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Benefits paid to participants or beneficiaries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(28,813,358)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(36,806,961)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(29,427,065)</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(28,813,358)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(36,806,961)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(29,427,065)</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decrease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(22,308,391)</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(11,017,588)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(13,128,912)</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336,307,312</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347,324,900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360,453,812</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End of year</w:t>
            </w: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$ 313,998,921</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$ 336,307,312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$ 347,324,900</w:t>
            </w:r>
          </w:p>
        </w:tc>
      </w:tr>
      <w:tr>
        <w:trPr>
          <w:trHeight w:val="166"/>
        </w:trPr>
        <w:tc>
          <w:tcPr>
            <w:tcW w:w="4780" w:type="dxa"/>
            <w:vAlign w:val="bottom"/>
          </w:tcPr>
          <w:p>
            <w:pPr>
              <w:spacing w:after="0"/>
              <w:rPr>
                <w:sz w:val="14"/>
                <w:szCs w:val="14"/>
                <w:color w:val="auto"/>
              </w:rPr>
            </w:pPr>
          </w:p>
        </w:tc>
        <w:tc>
          <w:tcPr>
            <w:tcW w:w="1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540"/>
          </w:cols>
          <w:pgMar w:left="220" w:top="1279"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FINANCIAL STATEMENTS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ENDED DECEMBER 31, 2002, 2001 and 2000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hanging="512"/>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72" w:lineRule="exact"/>
        <w:rPr>
          <w:rFonts w:ascii="Courier New" w:cs="Courier New" w:eastAsia="Courier New" w:hAnsi="Courier New"/>
          <w:sz w:val="14"/>
          <w:szCs w:val="14"/>
          <w:color w:val="auto"/>
        </w:rPr>
      </w:pP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of the Comcast Corporation Retirement-Investment Plan (the "Plan") are presented using the accrual basis of accounting. Contributions receivable represent amounts due to the Plan relating to December 27, 2002 participant and employer matching contributions not remitted to the Plan until subsequent to year-end. Investments in mutual funds and the Comcast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Effective November 18, 2002 Comcast Corporation became the Plan Administrator ("Comcast," the "Company" or the "Plan Administrator"). Prior to November 18, 2002, Comcast Holdings Corporation ("Comcast Holdings") was the Plan Administrator (see Note 8). All costs associated with administering the plan are paid by the Plan Administrator.</w:t>
      </w:r>
    </w:p>
    <w:p>
      <w:pPr>
        <w:spacing w:after="0" w:line="340" w:lineRule="exact"/>
        <w:rPr>
          <w:rFonts w:ascii="Courier New" w:cs="Courier New" w:eastAsia="Courier New" w:hAnsi="Courier New"/>
          <w:sz w:val="14"/>
          <w:szCs w:val="14"/>
          <w:color w:val="auto"/>
        </w:rPr>
      </w:pPr>
    </w:p>
    <w:p>
      <w:pPr>
        <w:ind w:left="520"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64"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DESCRIPTION</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description of the Plan provides only general information. Plan participants should refer to the Plan document and applicable amendments for a more complete description of the Plan's provisions. Copies of these documents are available from the Plan Administrator.</w:t>
      </w:r>
    </w:p>
    <w:p>
      <w:pPr>
        <w:spacing w:after="0" w:line="162"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64"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generally become eligible for participation in the Plan upon completion of three months of service, as defined in the Plan, and participate in allocations of employer matching contributions under the Plan after completion of one year of service. Effective January 1, 2003, the Plan was amended such that full-time employees become eligible to participate in the Plan after completion of six months of service and part-time employees become eligible to participate in the Plan after one year of service. Also, effective January 1, 2003, the Plan was amended to reduce the service requirement for full-time employees to become eligible for Company matching contributions from one year to six months.</w:t>
      </w:r>
    </w:p>
    <w:p>
      <w:pPr>
        <w:spacing w:after="0" w:line="163"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Each eligible employee may direct the Company to make contributions to the Plan of any whole percentage from 1% through 17% of their eligible compensation, subject to certain limits imposed by the Code (see Note 9). For the year ended December 31, 2000, the Company matched 100% of the participant's contribution up to 1% of the participant's eligible compensation for such payroll period, and 50% of the participant's contribution in excess of 1% of the participant's eligible compensation for such payroll period, up to a maximum total matching contribution of 3.5% of the participant's eligible compensation.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4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520" w:right="3519"/>
        <w:spacing w:after="0" w:line="251" w:lineRule="auto"/>
        <w:rPr>
          <w:sz w:val="20"/>
          <w:szCs w:val="20"/>
          <w:color w:val="auto"/>
        </w:rPr>
      </w:pPr>
      <w:r>
        <w:rPr>
          <w:rFonts w:ascii="Courier New" w:cs="Courier New" w:eastAsia="Courier New" w:hAnsi="Courier New"/>
          <w:sz w:val="14"/>
          <w:szCs w:val="14"/>
          <w:color w:val="auto"/>
        </w:rPr>
        <w:t>Effective January 1, 2001, the Plan was amended to increase the employer matching contribution rate so that the Company matches 100% of the participant's contribution up to 3% of the participant's eligible compensation for such payroll period, and 50% of the participant's contribution in excess of 3% of the participant's eligible compensation for such payroll period, up to a maximum total matching contribution of 4.5% of the participant's eligible compensation.</w:t>
      </w:r>
    </w:p>
    <w:p>
      <w:pPr>
        <w:spacing w:after="0" w:line="164" w:lineRule="exact"/>
        <w:rPr>
          <w:sz w:val="20"/>
          <w:szCs w:val="20"/>
          <w:color w:val="auto"/>
        </w:rPr>
      </w:pPr>
    </w:p>
    <w:p>
      <w:pPr>
        <w:ind w:left="520" w:right="3519"/>
        <w:spacing w:after="0" w:line="252" w:lineRule="auto"/>
        <w:rPr>
          <w:sz w:val="20"/>
          <w:szCs w:val="20"/>
          <w:color w:val="auto"/>
        </w:rPr>
      </w:pPr>
      <w:r>
        <w:rPr>
          <w:rFonts w:ascii="Courier New" w:cs="Courier New" w:eastAsia="Courier New" w:hAnsi="Courier New"/>
          <w:sz w:val="14"/>
          <w:szCs w:val="14"/>
          <w:color w:val="auto"/>
        </w:rPr>
        <w:t>Effective January 1, 2003, the Plan was amended to increase the employer matching contribution rate so that the Company matches 100% of the participant's contribution up to 6% of the participant's eligible compensation for such payroll period.</w:t>
      </w:r>
    </w:p>
    <w:p>
      <w:pPr>
        <w:spacing w:after="0" w:line="162" w:lineRule="exact"/>
        <w:rPr>
          <w:sz w:val="20"/>
          <w:szCs w:val="20"/>
          <w:color w:val="auto"/>
        </w:rPr>
      </w:pPr>
    </w:p>
    <w:p>
      <w:pPr>
        <w:ind w:left="520" w:right="3599"/>
        <w:spacing w:after="0" w:line="252" w:lineRule="auto"/>
        <w:rPr>
          <w:sz w:val="20"/>
          <w:szCs w:val="20"/>
          <w:color w:val="auto"/>
        </w:rPr>
      </w:pPr>
      <w:r>
        <w:rPr>
          <w:rFonts w:ascii="Courier New" w:cs="Courier New" w:eastAsia="Courier New" w:hAnsi="Courier New"/>
          <w:sz w:val="14"/>
          <w:szCs w:val="14"/>
          <w:color w:val="auto"/>
        </w:rPr>
        <w:t>Each participant has at all times a 100% nonforfeitable interest in the participant's contributions and earnings attributable thereto. Contributions by the Company and earnings thereon during the year ended December 31, 2000 vest according to the following schedule:</w:t>
      </w:r>
    </w:p>
    <w:p>
      <w:pPr>
        <w:spacing w:after="0" w:line="162"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Years of Service</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Vested Percentage</w:t>
            </w:r>
          </w:p>
        </w:tc>
      </w:tr>
      <w:tr>
        <w:trPr>
          <w:trHeight w:val="166"/>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year but less than 2 years</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years but less than 3 years</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years but less than 4 years</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years but less than 5 years</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80</w:t>
            </w:r>
          </w:p>
        </w:tc>
      </w:tr>
      <w:tr>
        <w:trPr>
          <w:trHeight w:val="166"/>
        </w:trPr>
        <w:tc>
          <w:tcPr>
            <w:tcW w:w="1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years or more</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ind w:left="520" w:right="3599"/>
        <w:spacing w:after="0" w:line="251" w:lineRule="auto"/>
        <w:rPr>
          <w:sz w:val="20"/>
          <w:szCs w:val="20"/>
          <w:color w:val="auto"/>
        </w:rPr>
      </w:pPr>
      <w:r>
        <w:rPr>
          <w:rFonts w:ascii="Courier New" w:cs="Courier New" w:eastAsia="Courier New" w:hAnsi="Courier New"/>
          <w:sz w:val="14"/>
          <w:szCs w:val="14"/>
          <w:color w:val="auto"/>
        </w:rPr>
        <w:t>Effective January 1, 2001, the Plan was amended to provide that Company matching contributions allocated with respect to participation in plan years beginning after December 31, 2000 shall be fully and immediately vested. The applicable vesting schedule under the Plan for Company matching contributions allocated with respect to participation in plan years ending before January 1, 2001 was not affected by this Plan amendment.</w:t>
      </w:r>
    </w:p>
    <w:p>
      <w:pPr>
        <w:spacing w:after="0" w:line="16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Each participant has the right, in accordance with the provisions of the Plan, to direct the investment by the trustee of the Plan (the "Trustee" - see Note 9)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6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w:t>
      </w:r>
    </w:p>
    <w:p>
      <w:pPr>
        <w:spacing w:after="0" w:line="16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Any participant who has a separation from service for any reason except death, disability or attainment of age 65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any combination of the foregoing or a rollover into another qualified plan. On October 28, 2002, the Plan was amended to eliminate annuity forms of payment, effective February 28, 2003.</w:t>
      </w:r>
    </w:p>
    <w:p>
      <w:pPr>
        <w:spacing w:after="0" w:line="16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111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Rollovers of Assets from Merged Plans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right="3519"/>
        <w:spacing w:after="0" w:line="251" w:lineRule="auto"/>
        <w:rPr>
          <w:sz w:val="20"/>
          <w:szCs w:val="20"/>
          <w:color w:val="auto"/>
        </w:rPr>
      </w:pPr>
      <w:r>
        <w:rPr>
          <w:rFonts w:ascii="Courier New" w:cs="Courier New" w:eastAsia="Courier New" w:hAnsi="Courier New"/>
          <w:sz w:val="14"/>
          <w:szCs w:val="14"/>
          <w:color w:val="auto"/>
        </w:rPr>
        <w:t>Effective May 1, 2000, the Compensation Committee of the Board of Directors of Comcast Holdings (the "Committee") resolved to merge the Garden State Cablevision Retirement-Investment Plan (the "GSCTV Plan") with and into the Plan. Effective on the merger date, the assets and liabilities of the GSCTV Plan became assets and liabilities of the Plan. The transfer is included in the accompanying statement of changes in net assets available for benefits as "Rollovers from merged plans" and approximated $11,571,000.</w:t>
      </w:r>
    </w:p>
    <w:p>
      <w:pPr>
        <w:spacing w:after="0" w:line="16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Effective August 1, 2000, the Committee resolved to merge the Prime Communications--Potomac LLC 401(k) Retirement &amp; Savings Plan and the Prime Cable 401(k) Savings and Security Plan (the "Prime Plans") with and into the Plan. Effective on the merger date, the assets and liabilities of the Prime Plans became assets and liabilities of the Plan. The transfer is included in the accompanying statement of changes in net assets available for benefits as "Rollovers from merged plans" and approximated $5,727,000.</w:t>
      </w:r>
    </w:p>
    <w:p>
      <w:pPr>
        <w:spacing w:after="0" w:line="16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Effective April 1, 2002, the Committee resolved to merge the Lenfest Group Retirement Plan (the "Lenfest Plan") with and into the Plan. Effective May 1, 2002, the assets and liabilities of the Lenfest Plan became assets and liabilities of the Plan. The transfer is included in the accompanying statement of changes in net assets available for benefits as "Rollovers from merged plans" and approximated $7,565,000.</w:t>
      </w:r>
    </w:p>
    <w:p>
      <w:pPr>
        <w:spacing w:after="0" w:line="16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Effective August 1, 2002, the Committee resolved to merge The Golf Channel Group Retirement Plan ("The Golf Channel Plan") with and into the Plan. Effective August 1, 2002, the assets and liabilities of The Golf Channel Plan became assets and liabilities of the Plan. The transfer is included in the accompanying statement of changes in net assets available for benefits as "Rollovers from merged plans" and approximated $4,634,000.</w:t>
      </w:r>
    </w:p>
    <w:p>
      <w:pPr>
        <w:spacing w:after="0" w:line="164" w:lineRule="exact"/>
        <w:rPr>
          <w:sz w:val="20"/>
          <w:szCs w:val="20"/>
          <w:color w:val="auto"/>
        </w:rPr>
      </w:pPr>
    </w:p>
    <w:p>
      <w:pPr>
        <w:ind w:left="520" w:hanging="512"/>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OPTIONS</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enrollment in the Plan, a participant may direct employee contributions and employer contributions (if applicable) in whole percentage increments among one or more of the funds listed below. A brief summary of each available fund, as described in each fund's prospectus (where applicable), is as follows:</w:t>
      </w:r>
    </w:p>
    <w:p>
      <w:pPr>
        <w:spacing w:after="0" w:line="164"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Dodge and Cox Balanced Fund - The Fund seeks regular income, conservation of principal and an opportunity for long-term growth of principal and income. The Fund invests in a diversified portfolio of common stocks, preferred stocks and fixed-income securities. In selecting equity investments, the Fund invests in companies that, in the Fund's opinion, appear to be temporarily undervalued by the stock market and have a favorable outlook for long-term growth. The Fund focuses on the underlying financial condition and prospects of individual companies, including future earnings, cash flow and dividends. Companies are also selected with an emphasis on financial strength and sound economic condition. The returns on these investments vary as the stock and bond markets fluctuate and there is no guarantee of principal or rate of return.</w:t>
      </w:r>
    </w:p>
    <w:p>
      <w:pPr>
        <w:spacing w:after="0" w:line="162"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Putnam Investors Fund - The Fund seeks long-term growth of capital and any increased income that results from this growth. The Fund invests mainly in common stocks of United States companies, with a focus on growth stocks. Growth stocks are issued by companies that the Fund believes are fast-growing and whose earnings the Fund believes are likely to increase over time. Growth in earnings may lead to an increase in the price of the stock. The Fund invests mainly in large companies. The return of the Fund varies as the stock markets fluctuate and there is no guarantee of principal or rate of return.</w:t>
      </w:r>
    </w:p>
    <w:p>
      <w:pPr>
        <w:spacing w:after="0" w:line="163"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 2002, the Fund, deemed by the Investment Management Committee of the Plan to be under- performing, was frozen. Any existing investment election directed to the Putnam Investors Fund was automatically invested in the Harbor Capital Appreciation Fund (see below).</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(Continued)</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Putnam New Opportunities Fund - The Fund seeks long-term capital appreciation. The Fund invests mainly in common stocks of United States companies, with a focus on growth stocks in sectors of the economy that the Fund believes have high growth potential. Growth stocks are issued by companies that the Fund believes are fast-growing and whose earnings the Fund believes are likely to increase over time. Growth in earnings may lead to an increase in the price of the stock. The growth sectors emphasized include communications, media/ entertainment, medical technology/cost containment, industrial and environmental services, applied/advanced technology, financial services, consumer products and services and business services. The Fund may invest in companies of any size. The return on the Fund varies as the stock markets fluctuate and there is no guarantee of principal or rate of return.</w:t>
      </w:r>
    </w:p>
    <w:p>
      <w:pPr>
        <w:spacing w:after="0" w:line="162"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Putnam International Growth Fund - The Fund seeks capital appreciation. The Fund invests mainly in common stocks of companies outside the United States. The Fund first selects the countries and industries it believes are attractive, then looks for companies that it believes have favorable investment potential. For example, the Fund may purchase stocks of companies with stock prices that reflect a value lower than that which the Fund places on the company. The Fund also considers other factors it believes will cause the stock price to rise. The Fund invests mainly in mid-sized and large companies, although it can invest in companies of any size. Although the Fund emphasizes investments in developed countries, it may also invest in companies located in developing (also known as emerging) markets. The return of the Fund varies as the stock markets fluctuate and there is no guarantee of principal or rate of return.</w:t>
      </w:r>
    </w:p>
    <w:p>
      <w:pPr>
        <w:spacing w:after="0" w:line="162"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Vanguard Windsor II Fund - The Fund seeks to provide long-term growth of capital. As a secondary objective, the Fund seeks to provide some dividend income. The Fund invests mainly in large and medium- sized companies whose stocks are considered by the Fund to be undervalued. Such stocks, called "value" stocks, often are out of favor in periods when investors are drawn to companies with strong prospects for growth. The prices of value stocks, therefore, may be below average in comparison with such fundamental factors as earnings, revenue and book value. In addition, value stocks often provide an above-average dividend yield.</w:t>
      </w:r>
    </w:p>
    <w:p>
      <w:pPr>
        <w:spacing w:after="0" w:line="163" w:lineRule="exact"/>
        <w:rPr>
          <w:rFonts w:ascii="Courier New" w:cs="Courier New" w:eastAsia="Courier New" w:hAnsi="Courier New"/>
          <w:sz w:val="14"/>
          <w:szCs w:val="14"/>
          <w:color w:val="auto"/>
        </w:rPr>
      </w:pPr>
    </w:p>
    <w:p>
      <w:pPr>
        <w:ind w:left="780" w:right="3339" w:hanging="255"/>
        <w:spacing w:after="0" w:line="250" w:lineRule="auto"/>
        <w:tabs>
          <w:tab w:leader="none" w:pos="7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Putnam S&amp;P 500 Index Fund - The Fund seeks to achieve a return, before the assessment of any fees, that closely approximates the return of the Standard &amp; Poor's 500 Composite Stock Price Index (the "Index"), a common measure of United States market performance. The Fund will invest primarily in the securities that constitute the Index, either directly or through the purchase of shares of collective investment trusts having investment objectives similar to that of the Fund. The Index is a broad market-weighted composite of 500 selected common stocks, most of which are listed on the New York Stock Exchange. Except as set forth below, the Fund attempts to be fully invested at all times in the stocks that compose the Index either directly or through collective investment trusts. However, it is not anticipated that the Fund's portfolio will duplicate the Index exactly. To maintain adequate liquidity, the Fund may invest a small portion of its assets in high-quality money market instruments and in money market funds that invest exclusively in high-quality money market instruments. To manage transaction costs and minimize tracking errors between the Fund and the Index, the Fund may invest in exchange-traded stock index futures contracts. To earn additional income, the Fund (or collective trust in which it invests) may lend securities to other financial institutions on a collateralized basis. Any income will be net of fees. Securities lending is subject to certain risks. The return of the Fund varies as the stock markets fluctuate and there is no guarantee of principal or rate of return.</w:t>
      </w:r>
    </w:p>
    <w:p>
      <w:pPr>
        <w:spacing w:after="0" w:line="341"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Corporation Stock Fund - Prior to November 18, 2002, the assets of the Comcast Corporation Stock Fund were invested in the Company's Class A Special Common Stock (see Note 8). Effective November 18, 2002, all new contributions into the Comcast Corporation Stock Fund are invested in the Company's Class A Common Stock. The Fund purchases the stock at prevailing rates in the open market and, in the normal course of business, sells such stock to meet the distribution requirements of the Plan. The value of the Fund fluctuates and there is no guarantee of principal or rate of return.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(Continued)</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Stable Value Fund - The Fund emphasizes stability of principal while seeking to earn a competitive rate of return. The Fund invests in investment contracts issued by insurance companies, banks and other financial institutions. The Fund may also invest in security-backed investment contracts that consist of one or more fixed-income securities and a wrap contract issued by an insurance company, bank or other financial institution. The wrap contract provides book-value liquidity for benefit payments and offers enhanced diversification. The interest rates credited under security-backed investment contracts may vary based on the performance of the specific securities and withdrawal experience.</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Additional funds available July 1, 2002 are as follows: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3419" w:hanging="259"/>
        <w:spacing w:after="0" w:line="251" w:lineRule="auto"/>
        <w:tabs>
          <w:tab w:leader="none" w:pos="760" w:val="left"/>
        </w:tabs>
        <w:rPr>
          <w:sz w:val="20"/>
          <w:szCs w:val="20"/>
          <w:color w:val="auto"/>
        </w:rPr>
      </w:pPr>
      <w:r>
        <w:rPr>
          <w:rFonts w:ascii="Courier New" w:cs="Courier New" w:eastAsia="Courier New" w:hAnsi="Courier New"/>
          <w:sz w:val="14"/>
          <w:szCs w:val="14"/>
          <w:color w:val="auto"/>
        </w:rPr>
        <w:t>i.</w:t>
        <w:tab/>
        <w:t>Ariel Fund - The Fund invests primarily in the stocks of small companies with a market capitalization under $2 billion at the time of investment. The Fund seeks to invest in undervalued companies that are widely misunderstood, ignored or underfollowed by institutional investors, Wall Street analysts and the media. The return of the Fund varies as the stock market fluctuates and there is no guarantee of principal or rate of return.</w:t>
      </w:r>
    </w:p>
    <w:p>
      <w:pPr>
        <w:spacing w:after="0" w:line="164" w:lineRule="exact"/>
        <w:rPr>
          <w:sz w:val="20"/>
          <w:szCs w:val="20"/>
          <w:color w:val="auto"/>
        </w:rPr>
      </w:pPr>
    </w:p>
    <w:p>
      <w:pPr>
        <w:ind w:left="780" w:right="3339" w:hanging="259"/>
        <w:spacing w:after="0" w:line="251" w:lineRule="auto"/>
        <w:tabs>
          <w:tab w:leader="none" w:pos="760" w:val="left"/>
        </w:tabs>
        <w:rPr>
          <w:sz w:val="20"/>
          <w:szCs w:val="20"/>
          <w:color w:val="auto"/>
        </w:rPr>
      </w:pPr>
      <w:r>
        <w:rPr>
          <w:rFonts w:ascii="Courier New" w:cs="Courier New" w:eastAsia="Courier New" w:hAnsi="Courier New"/>
          <w:sz w:val="14"/>
          <w:szCs w:val="14"/>
          <w:color w:val="auto"/>
        </w:rPr>
        <w:t>j.</w:t>
        <w:tab/>
        <w:t>Harbor Capital Appreciation Fund - The Fund invests primarily in equity securities, principally common stocks, preferred stocks, rights and depositary receipts of U.S. companies with market capitalization of at least $1 billion and above average prospects for growth. In general, the Fund stays fully invested in stocks. The return of the Fund varies as the stock market fluctuates and there is no guarantee of principal or rate of return.</w:t>
      </w:r>
    </w:p>
    <w:p>
      <w:pPr>
        <w:spacing w:after="0" w:line="164" w:lineRule="exact"/>
        <w:rPr>
          <w:sz w:val="20"/>
          <w:szCs w:val="20"/>
          <w:color w:val="auto"/>
        </w:rPr>
      </w:pPr>
    </w:p>
    <w:p>
      <w:pPr>
        <w:ind w:left="780" w:right="3339" w:hanging="259"/>
        <w:spacing w:after="0" w:line="251" w:lineRule="auto"/>
        <w:tabs>
          <w:tab w:leader="none" w:pos="760" w:val="left"/>
        </w:tabs>
        <w:rPr>
          <w:sz w:val="20"/>
          <w:szCs w:val="20"/>
          <w:color w:val="auto"/>
        </w:rPr>
      </w:pPr>
      <w:r>
        <w:rPr>
          <w:rFonts w:ascii="Courier New" w:cs="Courier New" w:eastAsia="Courier New" w:hAnsi="Courier New"/>
          <w:sz w:val="14"/>
          <w:szCs w:val="14"/>
          <w:color w:val="auto"/>
        </w:rPr>
        <w:t>k.</w:t>
        <w:tab/>
        <w:t>PIMCO Total Return Institutional Fund - The Fund seeks to achieve its investment objective by investing, under normal circumstances, at least 65% of its total assets in a diversified portfolio of Fixed Income Instruments (as defined in the Fund's prospectus) of varying maturities. The average portfolio duration of this Fund normally varies within a three-to-six-year time frame based on PIMCO's forecast of interest rates. The Fund invests primarily in investment grade debt securities. The return of the Fund varies as the bond market fluctuates and there is no guarantee of principal or rate of return.</w:t>
      </w:r>
    </w:p>
    <w:p>
      <w:pPr>
        <w:spacing w:after="0" w:line="16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made by a participant, the participant's account is invested in the Comcast Stable Value Fund at the direction of the Plan Administrator.</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520" w:hanging="512"/>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52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investments are held by a trust fund and are presented in the following table. Investments that represent 5% or more of the Plan's net assets available for benefits as of December 31, 2002 and 2001 are separately identified (number of units/shares are rounded to the nearest whole unit or share).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2002</w:t>
            </w:r>
          </w:p>
        </w:tc>
      </w:tr>
      <w:tr>
        <w:trPr>
          <w:trHeight w:val="166"/>
        </w:trPr>
        <w:tc>
          <w:tcPr>
            <w:tcW w:w="4320" w:type="dxa"/>
            <w:vAlign w:val="bottom"/>
          </w:tcPr>
          <w:p>
            <w:pPr>
              <w:spacing w:after="0"/>
              <w:rPr>
                <w:sz w:val="14"/>
                <w:szCs w:val="14"/>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244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Units/Shares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Mutual Funds (at fair value)</w:t>
            </w: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Ariel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38,007</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1,339,380</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Harbor Capital Appreciation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265,340</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5,362,513</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PIMCO Total Return Institutional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388,826</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4,148,778</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Dodge and Cox Balanced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718,694</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43,660,668</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Investors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3,164,264</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28,193,591</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New Opportunities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510,851</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14,906,632</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International Growth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867,061</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14,323,844</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Vanguard Windsor II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833,888</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17,344,875</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S&amp;P 500 Index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926,450</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20,048,385</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149,328,666</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Comcast Corporation Stock Fund (at fair value)</w:t>
            </w: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Class A Special Common Stock</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3,260,388</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73,652,163</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Class A Common Stock</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113,752</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2,681,145</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76,333,308</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Stable Value Fund (at contract value)</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The Putnam Stable Value Fund</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68,358,333</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units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68,358,333</w:t>
            </w:r>
          </w:p>
        </w:tc>
      </w:tr>
      <w:tr>
        <w:trPr>
          <w:trHeight w:val="331"/>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 investment contracts</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5,671,416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units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5,671,416</w:t>
            </w:r>
          </w:p>
        </w:tc>
      </w:tr>
    </w:tbl>
    <w:p>
      <w:pPr>
        <w:spacing w:after="0" w:line="4"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500"/>
        <w:spacing w:after="0"/>
        <w:rPr>
          <w:sz w:val="20"/>
          <w:szCs w:val="20"/>
          <w:color w:val="auto"/>
        </w:rPr>
      </w:pPr>
      <w:r>
        <w:rPr>
          <w:rFonts w:ascii="Courier New" w:cs="Courier New" w:eastAsia="Courier New" w:hAnsi="Courier New"/>
          <w:sz w:val="14"/>
          <w:szCs w:val="14"/>
          <w:color w:val="auto"/>
        </w:rPr>
        <w:t>74,029,749</w:t>
      </w:r>
    </w:p>
    <w:p>
      <w:pPr>
        <w:spacing w:after="0" w:line="7"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$299,691,723</w:t>
      </w:r>
    </w:p>
    <w:p>
      <w:pPr>
        <w:spacing w:after="0" w:line="7"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111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2001</w:t>
            </w:r>
          </w:p>
        </w:tc>
      </w:tr>
      <w:tr>
        <w:trPr>
          <w:trHeight w:val="166"/>
        </w:trPr>
        <w:tc>
          <w:tcPr>
            <w:tcW w:w="4320" w:type="dxa"/>
            <w:vAlign w:val="bottom"/>
          </w:tcPr>
          <w:p>
            <w:pPr>
              <w:spacing w:after="0"/>
              <w:rPr>
                <w:sz w:val="14"/>
                <w:szCs w:val="14"/>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244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Units/Shares</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Mutual Funds (at fair value)</w:t>
            </w: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Dodge and Cox Balanced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618,836</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$ 40,484,257</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Investors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3,512,396</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40,954,541</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New Opportunities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428,894</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17,996,395</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International Growth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722,638</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14,416,635</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Vanguard Windsor II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639,266</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16,358,805</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Putnam S&amp;P 500 Index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750,368</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20,897,741</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151,108,374</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Comcast Corporation Stock Fund (at fair value)</w:t>
            </w: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Class A Special Common Stock</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2,994,708</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107,809,475</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320" w:type="dxa"/>
            <w:vAlign w:val="bottom"/>
          </w:tcPr>
          <w:p>
            <w:pPr>
              <w:spacing w:after="0"/>
              <w:rPr>
                <w:sz w:val="20"/>
                <w:szCs w:val="20"/>
                <w:color w:val="auto"/>
              </w:rPr>
            </w:pPr>
            <w:r>
              <w:rPr>
                <w:rFonts w:ascii="Courier New" w:cs="Courier New" w:eastAsia="Courier New" w:hAnsi="Courier New"/>
                <w:sz w:val="14"/>
                <w:szCs w:val="14"/>
                <w:color w:val="auto"/>
              </w:rPr>
              <w:t>Comcast Stable Value Fund (at contract value)</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The Putnam Stable Value Fund</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52,183,465</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52,183,465</w:t>
            </w:r>
          </w:p>
        </w:tc>
      </w:tr>
      <w:tr>
        <w:trPr>
          <w:trHeight w:val="331"/>
        </w:trPr>
        <w:tc>
          <w:tcPr>
            <w:tcW w:w="4320" w:type="dxa"/>
            <w:vAlign w:val="bottom"/>
          </w:tcPr>
          <w:p>
            <w:pPr>
              <w:ind w:left="360"/>
              <w:spacing w:after="0"/>
              <w:rPr>
                <w:sz w:val="20"/>
                <w:szCs w:val="20"/>
                <w:color w:val="auto"/>
              </w:rPr>
            </w:pPr>
            <w:r>
              <w:rPr>
                <w:rFonts w:ascii="Courier New" w:cs="Courier New" w:eastAsia="Courier New" w:hAnsi="Courier New"/>
                <w:sz w:val="14"/>
                <w:szCs w:val="14"/>
                <w:color w:val="auto"/>
              </w:rPr>
              <w:t>Other investment contracts</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14,896,352</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14,896,352</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67,079,817</w:t>
            </w:r>
          </w:p>
        </w:tc>
      </w:tr>
    </w:tbl>
    <w:p>
      <w:pPr>
        <w:spacing w:after="0" w:line="4"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$325,997,666</w:t>
      </w:r>
    </w:p>
    <w:p>
      <w:pPr>
        <w:spacing w:after="0" w:line="7"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The fair value of assets included in the Comcast Stable Value Fund was $74,200,394 and $67,456,556 as of December 31, 2002 and 2001, respectively. The average yield of investment contracts held as of December 31, 2002 and 2001 was 4.82% and 5.48%, respectively. The average yield on investment contracts for the years ended December 31, 2002 and 2001 was 5.01% and 5.80%, respectively.</w:t>
      </w:r>
    </w:p>
    <w:p>
      <w:pPr>
        <w:spacing w:after="0" w:line="164" w:lineRule="exact"/>
        <w:rPr>
          <w:sz w:val="20"/>
          <w:szCs w:val="20"/>
          <w:color w:val="auto"/>
        </w:rPr>
      </w:pPr>
    </w:p>
    <w:p>
      <w:pPr>
        <w:ind w:left="520" w:hanging="512"/>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LOANS AND HARDSHIP WITHDRAWALS</w:t>
      </w:r>
    </w:p>
    <w:p>
      <w:pPr>
        <w:spacing w:after="0" w:line="172" w:lineRule="exact"/>
        <w:rPr>
          <w:rFonts w:ascii="Courier New" w:cs="Courier New" w:eastAsia="Courier New" w:hAnsi="Courier New"/>
          <w:sz w:val="14"/>
          <w:szCs w:val="14"/>
          <w:color w:val="auto"/>
        </w:rPr>
      </w:pP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a rate charged by commercial lenders for comparable loans on the date the loan application is approved. Interest rates ranged from 5.25% to 11.00% and 6.00% to 11.00% for the years ended December 31, 2002 and 2001, respectively. Maturities on outstanding loans ranged from 2002 to 2026 and 2002 to 2010 for the years ended December 31, 2002 and 2001, respectively. Loan transactions are treated as a transfer from (to) the investment fund to (from) the participant loan fund.</w:t>
      </w:r>
    </w:p>
    <w:p>
      <w:pPr>
        <w:spacing w:after="0" w:line="173" w:lineRule="exact"/>
        <w:rPr>
          <w:rFonts w:ascii="Courier New" w:cs="Courier New" w:eastAsia="Courier New" w:hAnsi="Courier New"/>
          <w:sz w:val="14"/>
          <w:szCs w:val="14"/>
          <w:color w:val="auto"/>
        </w:rPr>
      </w:pPr>
    </w:p>
    <w:p>
      <w:pPr>
        <w:ind w:left="5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after a calendar quarter of non-repayment, a loan is considered to be in default. Default loans are treated as distributions for tax purposes and become taxable income to the participant for the year in which the default occurs.</w:t>
      </w:r>
    </w:p>
    <w:p>
      <w:pPr>
        <w:spacing w:after="0" w:line="16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withdraw all or a portion of his/her benefits derived from salary reduction, rollovers or the vested portion of pre-January 1, 2001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ectPr>
          <w:pgSz w:w="11900" w:h="16838" w:orient="portrait"/>
          <w:cols w:equalWidth="0" w:num="1">
            <w:col w:w="10239"/>
          </w:cols>
          <w:pgMar w:left="220" w:top="1113" w:right="1440" w:bottom="85" w:gutter="0" w:footer="0" w:header="0"/>
        </w:sectPr>
      </w:pPr>
    </w:p>
    <w:bookmarkStart w:id="12" w:name="page13"/>
    <w:bookmarkEnd w:id="12"/>
    <w:p>
      <w:pPr>
        <w:ind w:left="20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14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2002, 2001 and 2000 (Concluded)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520" w:hanging="512"/>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w:t>
      </w:r>
    </w:p>
    <w:p>
      <w:pPr>
        <w:spacing w:after="0" w:line="172" w:lineRule="exact"/>
        <w:rPr>
          <w:rFonts w:ascii="Courier New" w:cs="Courier New" w:eastAsia="Courier New" w:hAnsi="Courier New"/>
          <w:sz w:val="14"/>
          <w:szCs w:val="14"/>
          <w:color w:val="auto"/>
        </w:rPr>
      </w:pPr>
    </w:p>
    <w:p>
      <w:pPr>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TAX CONSIDERATIONS</w:t>
      </w:r>
    </w:p>
    <w:p>
      <w:pPr>
        <w:spacing w:after="0" w:line="172"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 2). A request for an updated determination letter, which considers the 2002 amendments, was filed with the IRS on February 27, 2002. On March 14, 2003, the Plan received a favorable determination letter with respect to the Company's request indicating that the form of the Plan as ammended and restated, effective January 1, 1997 satisfies the applicable requirements of the Code and the form of the related trust satisfies the applicable requirements for exemption from federal income tax under the Code. Therefore, no provision for income taxes has been included in the Plan's financial statements.</w:t>
      </w:r>
    </w:p>
    <w:p>
      <w:pPr>
        <w:spacing w:after="0" w:line="162" w:lineRule="exact"/>
        <w:rPr>
          <w:rFonts w:ascii="Courier New" w:cs="Courier New" w:eastAsia="Courier New" w:hAnsi="Courier New"/>
          <w:sz w:val="14"/>
          <w:szCs w:val="14"/>
          <w:color w:val="auto"/>
        </w:rPr>
      </w:pPr>
    </w:p>
    <w:p>
      <w:pPr>
        <w:ind w:left="780" w:right="3519" w:hanging="255"/>
        <w:spacing w:after="0" w:line="251" w:lineRule="auto"/>
        <w:tabs>
          <w:tab w:leader="none" w:pos="7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164"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BROADBAND</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18, 2002, the Company completed the acquisition of AT&amp;T Corp.'s broadband division ("Broadband") which resulted in the combination of Comcast Holdings and Broadband. Concurrent with the closing of the Broadband acquisition, shareholders of Comcast Holdings received shares of Comcast common stock in exchange for corresponding shares of Comcast Holdings common stock based on an exchange ratio of 1 to 1 (the "Reorganization"). Upon completion of the Broadband acquisition and the Reorganization, Comcast Holdings and Broadband are wholly owned subsidiaries of Comcast, with Comcast Holdings as the predecessor to Comcast.</w:t>
      </w:r>
    </w:p>
    <w:p>
      <w:pPr>
        <w:spacing w:after="0" w:line="163"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26, 2003, the Compensation Committee of the Board of Directors of the Company resolved to remove Putnam Fiduciary Trust Company as Trustee effective July 1, 2003 and immediately upon such removal Fidelity Management Company will become the new successor Trustee and administrative services provider for the Plan.</w:t>
      </w:r>
    </w:p>
    <w:p>
      <w:pPr>
        <w:spacing w:after="0" w:line="164"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26, 2003, as a result of the Broadband acquisition (see Note 8), the Plan was amended to authorize the merger of the Comcast Cable Communications Holdings, Inc. ("CCCH") Long Term Savings Plan (formerly known as the AT&amp;T Broadband Long Term Savings Plan) with and into the Plan. Effective July 1, 2003, the assets and liabilities of the CCCH Plan will become assets and liabilities of the Plan.</w:t>
      </w:r>
    </w:p>
    <w:p>
      <w:pPr>
        <w:spacing w:after="0" w:line="164" w:lineRule="exact"/>
        <w:rPr>
          <w:rFonts w:ascii="Courier New" w:cs="Courier New" w:eastAsia="Courier New" w:hAnsi="Courier New"/>
          <w:sz w:val="14"/>
          <w:szCs w:val="14"/>
          <w:color w:val="auto"/>
        </w:rPr>
      </w:pPr>
    </w:p>
    <w:p>
      <w:pPr>
        <w:jc w:val="both"/>
        <w:ind w:left="5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26, 2003, the Plan was amended to increase the maximum amount of eligible compensation that may be deferred from 17% to 50%, subject to certain limits imposed by the Code, effective July 1, 2003.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COMCAST CORPORATION RETIREMENT-INVESTMENT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199"/>
        <w:spacing w:after="0" w:line="250" w:lineRule="auto"/>
        <w:rPr>
          <w:sz w:val="20"/>
          <w:szCs w:val="20"/>
          <w:color w:val="auto"/>
        </w:rPr>
      </w:pPr>
      <w:r>
        <w:rPr>
          <w:rFonts w:ascii="Courier New" w:cs="Courier New" w:eastAsia="Courier New" w:hAnsi="Courier New"/>
          <w:sz w:val="14"/>
          <w:szCs w:val="14"/>
          <w:color w:val="auto"/>
        </w:rPr>
        <w:t>SCHEDULE H - LINE 4i - SCHEDULE OF ASSETS HELD FOR INVESTMENT PURPOSES DECEMBER 31,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FEIN #27-0000798</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PLAN #001</w:t>
            </w:r>
          </w:p>
        </w:tc>
      </w:tr>
      <w:tr>
        <w:trPr>
          <w:trHeight w:val="331"/>
        </w:trPr>
        <w:tc>
          <w:tcPr>
            <w:tcW w:w="6220" w:type="dxa"/>
            <w:vAlign w:val="bottom"/>
          </w:tcPr>
          <w:p>
            <w:pPr>
              <w:spacing w:after="0"/>
              <w:rPr>
                <w:sz w:val="24"/>
                <w:szCs w:val="24"/>
                <w:color w:val="auto"/>
              </w:rPr>
            </w:pPr>
          </w:p>
        </w:tc>
        <w:tc>
          <w:tcPr>
            <w:tcW w:w="16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Description of</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220" w:type="dxa"/>
            <w:vAlign w:val="bottom"/>
          </w:tcPr>
          <w:p>
            <w:pPr>
              <w:spacing w:after="0"/>
              <w:rPr>
                <w:sz w:val="14"/>
                <w:szCs w:val="14"/>
                <w:color w:val="auto"/>
              </w:rPr>
            </w:pPr>
          </w:p>
        </w:tc>
        <w:tc>
          <w:tcPr>
            <w:tcW w:w="16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Investment,</w:t>
            </w:r>
          </w:p>
        </w:tc>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220" w:type="dxa"/>
            <w:vAlign w:val="bottom"/>
          </w:tcPr>
          <w:p>
            <w:pPr>
              <w:ind w:left="2500"/>
              <w:spacing w:after="0"/>
              <w:rPr>
                <w:sz w:val="20"/>
                <w:szCs w:val="20"/>
                <w:color w:val="auto"/>
              </w:rPr>
            </w:pPr>
            <w:r>
              <w:rPr>
                <w:rFonts w:ascii="Courier New" w:cs="Courier New" w:eastAsia="Courier New" w:hAnsi="Courier New"/>
                <w:sz w:val="14"/>
                <w:szCs w:val="14"/>
                <w:color w:val="auto"/>
              </w:rPr>
              <w:t>Identity of</w:t>
            </w:r>
          </w:p>
        </w:tc>
        <w:tc>
          <w:tcPr>
            <w:tcW w:w="21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Including Maturity</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Fair or</w:t>
            </w:r>
          </w:p>
        </w:tc>
      </w:tr>
      <w:tr>
        <w:trPr>
          <w:trHeight w:val="166"/>
        </w:trPr>
        <w:tc>
          <w:tcPr>
            <w:tcW w:w="6220" w:type="dxa"/>
            <w:vAlign w:val="bottom"/>
          </w:tcPr>
          <w:p>
            <w:pPr>
              <w:ind w:left="1980"/>
              <w:spacing w:after="0"/>
              <w:rPr>
                <w:sz w:val="20"/>
                <w:szCs w:val="20"/>
                <w:color w:val="auto"/>
              </w:rPr>
            </w:pPr>
            <w:r>
              <w:rPr>
                <w:rFonts w:ascii="Courier New" w:cs="Courier New" w:eastAsia="Courier New" w:hAnsi="Courier New"/>
                <w:sz w:val="14"/>
                <w:szCs w:val="14"/>
                <w:color w:val="auto"/>
              </w:rPr>
              <w:t>Issue, Borrower, Lessor</w:t>
            </w:r>
          </w:p>
        </w:tc>
        <w:tc>
          <w:tcPr>
            <w:tcW w:w="218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Date, Rate of Interest,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6220" w:type="dxa"/>
            <w:vAlign w:val="bottom"/>
          </w:tcPr>
          <w:p>
            <w:pPr>
              <w:ind w:left="2340"/>
              <w:spacing w:after="0"/>
              <w:rPr>
                <w:sz w:val="20"/>
                <w:szCs w:val="20"/>
                <w:color w:val="auto"/>
              </w:rPr>
            </w:pPr>
            <w:r>
              <w:rPr>
                <w:rFonts w:ascii="Courier New" w:cs="Courier New" w:eastAsia="Courier New" w:hAnsi="Courier New"/>
                <w:sz w:val="14"/>
                <w:szCs w:val="14"/>
                <w:color w:val="auto"/>
              </w:rPr>
              <w:t>or Similar Party</w:t>
            </w:r>
          </w:p>
        </w:tc>
        <w:tc>
          <w:tcPr>
            <w:tcW w:w="218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Par or Maturity Value</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Mutual Funds (at fair value)</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Ariel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38,007</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$ 1,339,380</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Harbor Capital Appreciation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265,340</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5,362,513</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PIMCO Total Return Institutional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388,826</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4,148,778</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Dodge and Cox Balanced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718,694</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43,660,668</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Putnam Investors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3,164,264</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28,193,591</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Putnam New Opportunities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510,851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14,906,632</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Putnam International Growth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867,061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14,323,844</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Vanguard Windsor II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833,888</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17,344,875</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Putnam S&amp;P 500 Index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926,450</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20,048,385</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149,328,666</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Comcast Corporation* Stock Fund (at fair value)</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Class A Special Common Stock</w:t>
            </w:r>
          </w:p>
        </w:tc>
        <w:tc>
          <w:tcPr>
            <w:tcW w:w="218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3,260,388 shares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73,652,163</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Class A Common Stock</w:t>
            </w:r>
          </w:p>
        </w:tc>
        <w:tc>
          <w:tcPr>
            <w:tcW w:w="162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113,752 shares</w:t>
            </w: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2,681,145</w:t>
            </w: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Cash</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52,712</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76,386,020</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6220" w:type="dxa"/>
            <w:vAlign w:val="bottom"/>
          </w:tcPr>
          <w:p>
            <w:pPr>
              <w:spacing w:after="0"/>
              <w:rPr>
                <w:sz w:val="20"/>
                <w:szCs w:val="20"/>
                <w:color w:val="auto"/>
              </w:rPr>
            </w:pPr>
            <w:r>
              <w:rPr>
                <w:rFonts w:ascii="Courier New" w:cs="Courier New" w:eastAsia="Courier New" w:hAnsi="Courier New"/>
                <w:sz w:val="14"/>
                <w:szCs w:val="14"/>
                <w:color w:val="auto"/>
              </w:rPr>
              <w:t>Comcast Stable Value Fund (at contract value)</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The Putnam Stable Value Fund</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68,358,333</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68,358,333</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Traditional Investment Contracts</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1"/>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Ohio National Life Insurance Co.; 3/14/03 Maturity; 6.26%</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673,651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673,651</w:t>
            </w:r>
          </w:p>
        </w:tc>
      </w:tr>
      <w:tr>
        <w:trPr>
          <w:trHeight w:val="166"/>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Pacific Life Insurance Co.; 4/15/03 Maturity; 5.15%</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1,648,848</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1,648,848</w:t>
            </w:r>
          </w:p>
        </w:tc>
      </w:tr>
      <w:tr>
        <w:trPr>
          <w:trHeight w:val="166"/>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Principal Life Insurance Co.; 5/15/03 Maturity; 5.45%</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1,247,753</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1,247,753</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3,570,252</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Security-Backed Investment Contracts</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Westdeutsche Landesbank; 2/25/03 Maturity; 5.72%</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73,911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73,911</w:t>
            </w:r>
          </w:p>
        </w:tc>
      </w:tr>
      <w:tr>
        <w:trPr>
          <w:trHeight w:val="166"/>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Westdeutsche Landesbank; 9/7/03 Maturity; 6.72%</w:t>
            </w: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2,027,253</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2,027,253</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2,101,164</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74,029,749</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840" w:type="dxa"/>
            <w:vAlign w:val="bottom"/>
            <w:gridSpan w:val="2"/>
          </w:tcPr>
          <w:p>
            <w:pPr>
              <w:spacing w:after="0"/>
              <w:rPr>
                <w:sz w:val="20"/>
                <w:szCs w:val="20"/>
                <w:color w:val="auto"/>
              </w:rPr>
            </w:pPr>
            <w:r>
              <w:rPr>
                <w:rFonts w:ascii="Courier New" w:cs="Courier New" w:eastAsia="Courier New" w:hAnsi="Courier New"/>
                <w:sz w:val="14"/>
                <w:szCs w:val="14"/>
                <w:color w:val="auto"/>
              </w:rPr>
              <w:t>Participant Loan Fund (at cost, which approximates fair value) (Interest rates</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from 5.25% to 11.00%;</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6220" w:type="dxa"/>
            <w:vAlign w:val="bottom"/>
          </w:tcPr>
          <w:p>
            <w:pPr>
              <w:ind w:left="440"/>
              <w:spacing w:after="0"/>
              <w:rPr>
                <w:sz w:val="20"/>
                <w:szCs w:val="20"/>
                <w:color w:val="auto"/>
              </w:rPr>
            </w:pPr>
            <w:r>
              <w:rPr>
                <w:rFonts w:ascii="Courier New" w:cs="Courier New" w:eastAsia="Courier New" w:hAnsi="Courier New"/>
                <w:sz w:val="14"/>
                <w:szCs w:val="14"/>
                <w:color w:val="auto"/>
              </w:rPr>
              <w:t>maturities from 2002 to 2026)</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12,220,704</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$311,965,139</w:t>
            </w:r>
          </w:p>
        </w:tc>
      </w:tr>
      <w:tr>
        <w:trPr>
          <w:trHeight w:val="166"/>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 Represents a party-in-interest to the Plan.</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6220" w:type="dxa"/>
            <w:vAlign w:val="bottom"/>
          </w:tcPr>
          <w:p>
            <w:pPr>
              <w:ind w:left="3280"/>
              <w:spacing w:after="0"/>
              <w:rPr>
                <w:sz w:val="20"/>
                <w:szCs w:val="20"/>
                <w:color w:val="auto"/>
              </w:rPr>
            </w:pPr>
            <w:r>
              <w:rPr>
                <w:rFonts w:ascii="Courier New" w:cs="Courier New" w:eastAsia="Courier New" w:hAnsi="Courier New"/>
                <w:sz w:val="14"/>
                <w:szCs w:val="14"/>
                <w:color w:val="auto"/>
              </w:rPr>
              <w:t>-12-</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39"/>
          </w:cols>
          <w:pgMar w:left="220" w:top="111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Registration Statement No. 333-101295 of Comcast Corporation on Form S-8 of our report dated June 13, 2003 appearing in this Annual Report on Form 11-K of the Comcast Corporation Retirement-Investment Plan for the year ended December 31, 2002.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25, 2003</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48" w:right="1440" w:bottom="1440" w:gutter="0" w:footer="0" w:header="0"/>
        </w:sectPr>
      </w:pPr>
    </w:p>
    <w:bookmarkStart w:id="16" w:name="page17"/>
    <w:bookmarkEnd w:id="16"/>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COMCAST CORPORATION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RETIREMENT-INVESTMENT PLAN</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Administrator</w:t>
      </w:r>
    </w:p>
    <w:p>
      <w:pPr>
        <w:spacing w:after="0" w:line="200" w:lineRule="exact"/>
        <w:rPr>
          <w:sz w:val="20"/>
          <w:szCs w:val="20"/>
          <w:color w:val="auto"/>
        </w:rPr>
      </w:pPr>
    </w:p>
    <w:p>
      <w:pPr>
        <w:sectPr>
          <w:pgSz w:w="11900" w:h="16838" w:orient="portrait"/>
          <w:cols w:equalWidth="0" w:num="2">
            <w:col w:w="4140" w:space="180"/>
            <w:col w:w="591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2003</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Lawrence J. Salva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Lawrence J. Salva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w:t>
      </w:r>
    </w:p>
    <w:p>
      <w:pPr>
        <w:spacing w:after="0" w:line="200" w:lineRule="exact"/>
        <w:rPr>
          <w:sz w:val="20"/>
          <w:szCs w:val="20"/>
          <w:color w:val="auto"/>
        </w:rPr>
      </w:pPr>
    </w:p>
    <w:p>
      <w:pPr>
        <w:sectPr>
          <w:pgSz w:w="11900" w:h="16838" w:orient="portrait"/>
          <w:cols w:equalWidth="0" w:num="3">
            <w:col w:w="3160" w:space="720"/>
            <w:col w:w="260" w:space="180"/>
            <w:col w:w="591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sectPr>
      <w:pgSz w:w="11900" w:h="16838" w:orient="portrait"/>
      <w:cols w:equalWidth="0" w:num="1">
        <w:col w:w="10239"/>
      </w:cols>
      <w:pgMar w:left="220" w:top="6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3"/>
    </w:lvl>
    <w:lvl w:ilvl="1">
      <w:lvlJc w:val="left"/>
      <w:lvlText w:val="%2."/>
      <w:numFmt w:val="lowerLetter"/>
      <w:start w:val="1"/>
    </w:lvl>
  </w:abstractNum>
  <w:abstractNum w:abstractNumId="7">
    <w:nsid w:val="4DB127F8"/>
    <w:multiLevelType w:val="hybridMultilevel"/>
    <w:lvl w:ilvl="0">
      <w:lvlJc w:val="left"/>
      <w:lvlText w:val="-"/>
      <w:numFmt w:val="bullet"/>
      <w:start w:val="1"/>
    </w:lvl>
    <w:lvl w:ilvl="1">
      <w:lvlJc w:val="left"/>
      <w:lvlText w:val="%2."/>
      <w:numFmt w:val="lowerLetter"/>
      <w:start w:val="3"/>
    </w:lvl>
  </w:abstractNum>
  <w:abstractNum w:abstractNumId="8">
    <w:nsid w:val="216231B"/>
    <w:multiLevelType w:val="hybridMultilevel"/>
    <w:lvl w:ilvl="0">
      <w:lvlJc w:val="left"/>
      <w:lvlText w:val="-"/>
      <w:numFmt w:val="bullet"/>
      <w:start w:val="1"/>
    </w:lvl>
    <w:lvl w:ilvl="1">
      <w:lvlJc w:val="left"/>
      <w:lvlText w:val="%2."/>
      <w:numFmt w:val="lowerLetter"/>
      <w:start w:val="8"/>
    </w:lvl>
  </w:abstractNum>
  <w:abstractNum w:abstractNumId="9">
    <w:nsid w:val="1F16E9E8"/>
    <w:multiLevelType w:val="hybridMultilevel"/>
    <w:lvl w:ilvl="0">
      <w:lvlJc w:val="left"/>
      <w:lvlText w:val="%1."/>
      <w:numFmt w:val="decimal"/>
      <w:start w:val="4"/>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2019-12-15T06:44:48Z</dcterms:created>
  <dcterms:modified xsi:type="dcterms:W3CDTF">2019-12-15T06:44:48Z</dcterms:modified>
</cp:coreProperties>
</file>