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301625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CURRENT REPORT</w:t>
      </w:r>
    </w:p>
    <w:p>
      <w:pPr>
        <w:spacing w:after="0" w:line="37" w:lineRule="exact"/>
        <w:rPr>
          <w:sz w:val="24"/>
          <w:szCs w:val="24"/>
          <w:color w:val="auto"/>
        </w:rPr>
      </w:pPr>
    </w:p>
    <w:p>
      <w:pPr>
        <w:ind w:left="3900"/>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24"/>
          <w:szCs w:val="24"/>
          <w:b w:val="1"/>
          <w:bCs w:val="1"/>
          <w:color w:val="auto"/>
        </w:rPr>
        <w:t>The Securities Exchange Act of 1934</w:t>
      </w:r>
    </w:p>
    <w:p>
      <w:pPr>
        <w:spacing w:after="0" w:line="162"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Date of report (Date of earliest event reported): May 18, 2006</w:t>
      </w:r>
    </w:p>
    <w:p>
      <w:pPr>
        <w:spacing w:after="0" w:line="138"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(Exact Name of Registrant</w:t>
      </w:r>
    </w:p>
    <w:p>
      <w:pPr>
        <w:spacing w:after="0" w:line="1"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as Specified in Charter)</w:t>
      </w:r>
    </w:p>
    <w:p>
      <w:pPr>
        <w:spacing w:after="0" w:line="146"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Pennsylvania</w:t>
      </w:r>
    </w:p>
    <w:p>
      <w:pPr>
        <w:spacing w:after="0" w:line="23"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(State or Other Jurisdiction of Incorporation)</w:t>
      </w:r>
    </w:p>
    <w:p>
      <w:pPr>
        <w:spacing w:after="0" w:line="192" w:lineRule="exact"/>
        <w:rPr>
          <w:sz w:val="24"/>
          <w:szCs w:val="24"/>
          <w:color w:val="auto"/>
        </w:rPr>
      </w:pPr>
    </w:p>
    <w:tbl>
      <w:tblPr>
        <w:tblLayout w:type="fixed"/>
        <w:tblInd w:w="1440" w:type="dxa"/>
        <w:tblCellMar>
          <w:top w:w="0" w:type="dxa"/>
          <w:left w:w="0" w:type="dxa"/>
          <w:bottom w:w="0" w:type="dxa"/>
          <w:right w:w="0" w:type="dxa"/>
        </w:tblCellMar>
      </w:tblPr>
      <w:tr>
        <w:trPr>
          <w:trHeight w:val="222"/>
        </w:trPr>
        <w:tc>
          <w:tcPr>
            <w:tcW w:w="4420" w:type="dxa"/>
            <w:vAlign w:val="bottom"/>
          </w:tcPr>
          <w:p>
            <w:pPr>
              <w:jc w:val="center"/>
              <w:ind w:right="1492"/>
              <w:spacing w:after="0"/>
              <w:rPr>
                <w:sz w:val="20"/>
                <w:szCs w:val="20"/>
                <w:color w:val="auto"/>
              </w:rPr>
            </w:pPr>
            <w:r>
              <w:rPr>
                <w:rFonts w:ascii="Arial" w:cs="Arial" w:eastAsia="Arial" w:hAnsi="Arial"/>
                <w:sz w:val="18"/>
                <w:szCs w:val="18"/>
                <w:b w:val="1"/>
                <w:bCs w:val="1"/>
                <w:color w:val="auto"/>
                <w:w w:val="88"/>
              </w:rPr>
              <w:t>000-50093</w:t>
            </w:r>
          </w:p>
        </w:tc>
        <w:tc>
          <w:tcPr>
            <w:tcW w:w="398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27-0000798</w:t>
            </w:r>
          </w:p>
        </w:tc>
      </w:tr>
      <w:tr>
        <w:trPr>
          <w:trHeight w:val="222"/>
        </w:trPr>
        <w:tc>
          <w:tcPr>
            <w:tcW w:w="4420" w:type="dxa"/>
            <w:vAlign w:val="bottom"/>
          </w:tcPr>
          <w:p>
            <w:pPr>
              <w:jc w:val="center"/>
              <w:ind w:right="1472"/>
              <w:spacing w:after="0"/>
              <w:rPr>
                <w:sz w:val="20"/>
                <w:szCs w:val="20"/>
                <w:color w:val="auto"/>
              </w:rPr>
            </w:pPr>
            <w:r>
              <w:rPr>
                <w:rFonts w:ascii="Arial" w:cs="Arial" w:eastAsia="Arial" w:hAnsi="Arial"/>
                <w:sz w:val="18"/>
                <w:szCs w:val="18"/>
                <w:color w:val="auto"/>
                <w:w w:val="90"/>
              </w:rPr>
              <w:t>(Commission File Number)</w:t>
            </w:r>
          </w:p>
        </w:tc>
        <w:tc>
          <w:tcPr>
            <w:tcW w:w="3980" w:type="dxa"/>
            <w:vAlign w:val="bottom"/>
          </w:tcPr>
          <w:p>
            <w:pPr>
              <w:jc w:val="center"/>
              <w:ind w:left="1472"/>
              <w:spacing w:after="0"/>
              <w:rPr>
                <w:sz w:val="20"/>
                <w:szCs w:val="20"/>
                <w:color w:val="auto"/>
              </w:rPr>
            </w:pPr>
            <w:r>
              <w:rPr>
                <w:rFonts w:ascii="Arial" w:cs="Arial" w:eastAsia="Arial" w:hAnsi="Arial"/>
                <w:sz w:val="18"/>
                <w:szCs w:val="18"/>
                <w:color w:val="auto"/>
                <w:w w:val="92"/>
              </w:rPr>
              <w:t>(IRS Employer Identification No.)</w:t>
            </w:r>
          </w:p>
        </w:tc>
      </w:tr>
      <w:tr>
        <w:trPr>
          <w:trHeight w:val="420"/>
        </w:trPr>
        <w:tc>
          <w:tcPr>
            <w:tcW w:w="4420" w:type="dxa"/>
            <w:vAlign w:val="bottom"/>
          </w:tcPr>
          <w:p>
            <w:pPr>
              <w:jc w:val="center"/>
              <w:ind w:right="1492"/>
              <w:spacing w:after="0"/>
              <w:rPr>
                <w:sz w:val="20"/>
                <w:szCs w:val="20"/>
                <w:color w:val="auto"/>
              </w:rPr>
            </w:pPr>
            <w:r>
              <w:rPr>
                <w:rFonts w:ascii="Arial" w:cs="Arial" w:eastAsia="Arial" w:hAnsi="Arial"/>
                <w:sz w:val="18"/>
                <w:szCs w:val="18"/>
                <w:b w:val="1"/>
                <w:bCs w:val="1"/>
                <w:color w:val="auto"/>
                <w:w w:val="90"/>
              </w:rPr>
              <w:t>1500 Market Street</w:t>
            </w:r>
          </w:p>
        </w:tc>
        <w:tc>
          <w:tcPr>
            <w:tcW w:w="3980" w:type="dxa"/>
            <w:vAlign w:val="bottom"/>
          </w:tcPr>
          <w:p>
            <w:pPr>
              <w:spacing w:after="0"/>
              <w:rPr>
                <w:sz w:val="24"/>
                <w:szCs w:val="24"/>
                <w:color w:val="auto"/>
              </w:rPr>
            </w:pPr>
          </w:p>
        </w:tc>
      </w:tr>
      <w:tr>
        <w:trPr>
          <w:trHeight w:val="222"/>
        </w:trPr>
        <w:tc>
          <w:tcPr>
            <w:tcW w:w="44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9"/>
              </w:rPr>
              <w:t>Philadelphia, PA</w:t>
            </w:r>
          </w:p>
        </w:tc>
        <w:tc>
          <w:tcPr>
            <w:tcW w:w="398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19102-2148</w:t>
            </w:r>
          </w:p>
        </w:tc>
      </w:tr>
      <w:tr>
        <w:trPr>
          <w:trHeight w:val="222"/>
        </w:trPr>
        <w:tc>
          <w:tcPr>
            <w:tcW w:w="4420" w:type="dxa"/>
            <w:vAlign w:val="bottom"/>
          </w:tcPr>
          <w:p>
            <w:pPr>
              <w:jc w:val="center"/>
              <w:ind w:right="1472"/>
              <w:spacing w:after="0"/>
              <w:rPr>
                <w:sz w:val="20"/>
                <w:szCs w:val="20"/>
                <w:color w:val="auto"/>
              </w:rPr>
            </w:pPr>
            <w:r>
              <w:rPr>
                <w:rFonts w:ascii="Arial" w:cs="Arial" w:eastAsia="Arial" w:hAnsi="Arial"/>
                <w:sz w:val="18"/>
                <w:szCs w:val="18"/>
                <w:color w:val="auto"/>
                <w:w w:val="90"/>
              </w:rPr>
              <w:t>(Address of Principal Executive Offices)</w:t>
            </w:r>
          </w:p>
        </w:tc>
        <w:tc>
          <w:tcPr>
            <w:tcW w:w="3980" w:type="dxa"/>
            <w:vAlign w:val="bottom"/>
          </w:tcPr>
          <w:p>
            <w:pPr>
              <w:jc w:val="center"/>
              <w:ind w:left="1472"/>
              <w:spacing w:after="0"/>
              <w:rPr>
                <w:sz w:val="20"/>
                <w:szCs w:val="20"/>
                <w:color w:val="auto"/>
              </w:rPr>
            </w:pPr>
            <w:r>
              <w:rPr>
                <w:rFonts w:ascii="Arial" w:cs="Arial" w:eastAsia="Arial" w:hAnsi="Arial"/>
                <w:sz w:val="18"/>
                <w:szCs w:val="18"/>
                <w:color w:val="auto"/>
                <w:w w:val="91"/>
              </w:rPr>
              <w:t>(Zip Code)</w:t>
            </w:r>
          </w:p>
        </w:tc>
      </w:tr>
    </w:tbl>
    <w:p>
      <w:pPr>
        <w:spacing w:after="0" w:line="312"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665-1700</w:t>
      </w:r>
    </w:p>
    <w:p>
      <w:pPr>
        <w:spacing w:after="0" w:line="96"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208280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60"/>
          </w:cols>
          <w:pgMar w:left="240" w:top="571"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Shareholder Approval of the Comcast Corporation 2002 Restricted Stock Plan, as Amended and Restated</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14, 2005, the Compensation Committee of the Board of Directors of Comcast Corporation (the “Company”) approved, subject to the receipt of shareholder approval, an amendment to the Comcast Corporation 2002 Restricted Stock Plan (the “Plan”) to increase the number of shares available for issuance under the Plan from 15,000,000 to 35,000,000. On May 18, 2006, at the Company’s annual meeting of shareholders, shareholders of the Company approved this amendment in approving the Plan, as Amended and Restated.</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May 18, 2006</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Senior Vice President, 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2019-12-15T06:54:37Z</dcterms:created>
  <dcterms:modified xsi:type="dcterms:W3CDTF">2019-12-15T06:54:37Z</dcterms:modified>
</cp:coreProperties>
</file>